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tm2626897d2_s8.htm"/>
      <w:bookmarkStart w:id="1" w:name="kstm2626897d2_s8"/>
      <w:bookmarkEnd w:id="0"/>
      <w:bookmarkEnd w:id="1"/>
      <w:r>
        <w:rPr>
          <w:rFonts w:ascii="Times New Roman;Times;Serif" w:hAnsi="Times New Roman;Times;Serif"/>
          <w:b/>
          <w:i w:val="false"/>
          <w:caps w:val="false"/>
          <w:smallCaps w:val="false"/>
          <w:sz w:val="20"/>
        </w:rPr>
        <w:t>As filed with the Securities and Exchange Commission on October 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193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657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Navitas Semiconductor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28" w:type="dxa"/>
          <w:right w:w="0" w:type="dxa"/>
        </w:tblCellMar>
      </w:tblPr>
      <w:tblGrid>
        <w:gridCol w:w="4880"/>
        <w:gridCol w:w="60"/>
        <w:gridCol w:w="3275"/>
      </w:tblGrid>
      <w:tr>
        <w:trPr/>
        <w:tc>
          <w:tcPr>
            <w:tcW w:w="4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85-2560226</w:t>
            </w:r>
          </w:p>
        </w:tc>
      </w:tr>
      <w:tr>
        <w:trPr/>
        <w:tc>
          <w:tcPr>
            <w:tcW w:w="4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3520 Challenger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Torrance, California 90503-1640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Navitas Semiconductor Corporation 2021 Equity Incentive Plan</w:t>
      </w:r>
      <w:r>
        <w:rPr>
          <w:rFonts w:ascii="Times New Roman;Times;Serif" w:hAnsi="Times New Roman;Times;Serif"/>
          <w:b w:val="false"/>
          <w:i w:val="false"/>
          <w:caps w:val="false"/>
          <w:smallCaps w:val="false"/>
          <w:sz w:val="20"/>
        </w:rPr>
        <w:b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Sant, Esq.</w:t>
        <w:br/>
        <w:t>Senior Vice President, General Counsel and Secretary</w:t>
        <w:br/>
        <w:t>Navitas Semiconductor Corporation</w:t>
        <w:br/>
        <w:t>3520 Challenger Street</w:t>
        <w:br/>
        <w:t>Torrance, California 90503-1640</w:t>
        <w:br/>
      </w: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(844) 654-2642</w:t>
        <w:br/>
      </w: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Copy to:</w:t>
      </w:r>
      <w:r>
        <w:rPr>
          <w:rFonts w:ascii="Times New Roman;Times;Serif" w:hAnsi="Times New Roman;Times;Serif"/>
          <w:b/>
          <w:i w:val="false"/>
          <w:caps w:val="false"/>
          <w:smallCaps w:val="false"/>
          <w:sz w:val="20"/>
        </w:rPr>
        <w:br/>
        <w:t>Katheryn A. Gettman,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J. Roggow,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Cozen O’Connor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World Trade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Greenwich Street, 56th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908-1294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sales to take place as soon after the effective date of the registration statement as awards granted under the above-named plans are granted, exercised and/or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 (the “Registrant”) is filing this registration statement on Form S-8 pursuant to and in accordance with General Instruction E of Form S-8 to register an aggregate of 35,000,000 additional shares (the “Additional Shares”) of its Class A common stock, par value $0.0001 per share (“Common Stock”), for issuance under the Navitas Semiconductor Corporation 2021 Equity Incentive Plan (the “Plan”). These additional shares of Common Stock have become reserved for issuance as a result of the operation of the “evergreen” provisions of the Plan, which provide that the total number of shares of Common Stock subject to each Plan will be increased on the first day of each fiscal year pursuant to a specified formula or such lesser amount as the Board of Directors (the “Board”) of the Registrant may determine. The Registrant first registered the offer and sale of shares of Common Stock in connection with the Plan on its registration statement on Form S-8 (File No. 333-262324) filed with the Securities and Exchange Commission (the “SEC”) on January 24, 2022, and subsequently registered the offer and sale of additional shares of Common Stock in connection with the Plan on its Registration Statement on Form S-8 (File No. 333-271253), filed with the SEC on April 14, 2023 (as amended by Amendment No. 1 to Form S-8, filed with the SEC on April 26, 2023), its Registration Statement on Form S-8 (File No. 333-277685), filed with the SEC on March 6, 2024, and its Registration Statement on Form S-8 (File No. 333-277759), filed with the SEC on March 7, 2024 (collectively, the “Previous Registration Statements”). The Additional Shares are apportioned by year as follows, calculated in accordance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7,542,568</w:t>
        <w:br/>
        <w:t>2026: 4,610,509</w:t>
        <w:br/>
        <w:t>2027 (projection): 10,763,027</w:t>
        <w:br/>
        <w:t>2028 (projection): 11,193,549</w:t>
        <w:br/>
      </w:r>
      <w:r>
        <w:rPr>
          <w:rFonts w:ascii="Times New Roman;Times;Serif" w:hAnsi="Times New Roman;Times;Serif"/>
          <w:b w:val="false"/>
          <w:i/>
          <w:caps w:val="false"/>
          <w:smallCaps w:val="false"/>
          <w:sz w:val="20"/>
        </w:rPr>
        <w:t>Total (rounded up to nearest 1 million shares)</w:t>
      </w:r>
      <w:r>
        <w:rPr>
          <w:rFonts w:ascii="Times New Roman;Times;Serif" w:hAnsi="Times New Roman;Times;Serif"/>
          <w:b w:val="false"/>
          <w:i w:val="false"/>
          <w:caps w:val="false"/>
          <w:smallCaps w:val="false"/>
          <w:sz w:val="20"/>
        </w:rPr>
        <w:t>: 35,000,000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that the number of shares of Common Stock reserved for issuance shall increase annually in an amount that is equal to the lesser of&amp;numsp;(i)&amp;numsp;four percent&amp;numsp;(4%) of the number of shares of Common Stock outstanding as of the conclusion of the Registrant's immediately preceding fiscal year, or&amp;numsp;(ii)&amp;numsp;such amount, if any, as the Board of the Registrant may determine. For 2026, there was an increase in shares of Common Stock reserved under the Plan of four percent&amp;numsp;(4%) as described in clause&amp;numsp;(i)&amp;numsp;of the foregoing sentence. For 2026, the Board approved an increase to the shares of Common Stock reserved under the Plan equal to two percent&amp;numsp;(2)% of the number of shares of Common Stock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reflected for 2027 and 2028 is an aggregate estimate of the increases that would be expected to occur on each of January 1, 2027 and January 1, 2028. This estimate assumes&amp;numsp;(i)&amp;numsp;an increase of four percent&amp;numsp;(4%) to the Registrant's shares of Common Stock as of December 31, 2026 and December 31, 2027, respectively, and&amp;numsp;(ii)&amp;numsp;that the number of shares of Common Stock outstanding as of each of December 31, 2026 and December 31, 2027 is 269,062,970&amp;numsp;(the "Base Outstanding Shares"). The Base Outstanding Shares equals&amp;numsp;(y)&amp;numsp;the number of shares of Common Stock outstanding on September 28, 2026, plus&amp;numsp;(x)&amp;numsp;approximately 6.9 million shares of Common Stock issuable to certain securityholders of Claros&amp;numsp;(as defined below)&amp;numsp;in connection with the closing of the transactions contemplated under that certain Agreement and Plan of Merger, by and among the Registrant, Claros, Inc.&amp;numsp;("Claros"), Compass Merger Sub 1 Inc., Compass Merger Sub 2 LLC, and Shareholder Representative Services LLC, on each of January 1, 2027 and January 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E of Form S-8, the contents of the Previous Registration Statements are hereby incorporated by reference. Only those items of Form S-8 containing new information not contained in the Previous Registration Statements are presented herein. The filing fee is being paid with respect to the additional securities only, as set forth in Exhibit 107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SEC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3">
              <w:r>
                <w:rPr>
                  <w:rStyle w:val="InternetLink"/>
                </w:rPr>
                <w:t>Annual Report on Form 10-K for the fiscal year ended December 31, 2025, filed with the SEC on February 27, 2026</w:t>
              </w:r>
            </w:hyperlink>
            <w:r>
              <w:rPr/>
              <w:t xml:space="preserve">, as amended by Amendment No. 1 to </w:t>
            </w:r>
            <w:hyperlink r:id="rId4">
              <w:r>
                <w:rPr>
                  <w:rStyle w:val="InternetLink"/>
                </w:rPr>
                <w:t>Annual Report on Form 10-K/A for the fiscal year ended December 31, 2025, filed with the SEC on April 30,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Quarterly Reports on Form 10-Q for the quarter ended March 31, 2026, filed with the SEC on </w:t>
            </w:r>
            <w:hyperlink r:id="rId5">
              <w:r>
                <w:rPr>
                  <w:rStyle w:val="InternetLink"/>
                </w:rPr>
                <w:t>May 5, 2026</w:t>
              </w:r>
            </w:hyperlink>
            <w:r>
              <w:rPr/>
              <w:t xml:space="preserve">, and for the quarter ended June 30, 2026, filed with the SEC on </w:t>
            </w:r>
            <w:hyperlink r:id="rId6">
              <w:r>
                <w:rPr>
                  <w:rStyle w:val="InternetLink"/>
                </w:rPr>
                <w:t>July 27,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Current Reports on Form 8-K filed with the SEC on </w:t>
            </w:r>
            <w:hyperlink r:id="rId7">
              <w:r>
                <w:rPr>
                  <w:rStyle w:val="InternetLink"/>
                </w:rPr>
                <w:t>February 24, 2026</w:t>
              </w:r>
            </w:hyperlink>
            <w:r>
              <w:rPr/>
              <w:t>; </w:t>
            </w:r>
            <w:hyperlink r:id="rId8">
              <w:r>
                <w:rPr>
                  <w:rStyle w:val="InternetLink"/>
                </w:rPr>
                <w:t>March 11, 2026</w:t>
              </w:r>
            </w:hyperlink>
            <w:r>
              <w:rPr/>
              <w:t xml:space="preserve"> (Item 5.02 only), </w:t>
            </w:r>
            <w:hyperlink r:id="rId9">
              <w:r>
                <w:rPr>
                  <w:rStyle w:val="InternetLink"/>
                </w:rPr>
                <w:t>March 17, 2026</w:t>
              </w:r>
            </w:hyperlink>
            <w:r>
              <w:rPr/>
              <w:t>, </w:t>
            </w:r>
            <w:hyperlink r:id="rId10">
              <w:r>
                <w:rPr>
                  <w:rStyle w:val="InternetLink"/>
                </w:rPr>
                <w:t>April 13, 2026</w:t>
              </w:r>
            </w:hyperlink>
            <w:r>
              <w:rPr/>
              <w:t>, </w:t>
            </w:r>
            <w:hyperlink r:id="rId11">
              <w:r>
                <w:rPr>
                  <w:rStyle w:val="InternetLink"/>
                </w:rPr>
                <w:t>May 4, 2026</w:t>
              </w:r>
            </w:hyperlink>
            <w:r>
              <w:rPr/>
              <w:t xml:space="preserve"> (Item 5.02 only), </w:t>
            </w:r>
            <w:hyperlink r:id="rId12">
              <w:r>
                <w:rPr>
                  <w:rStyle w:val="InternetLink"/>
                </w:rPr>
                <w:t>May 11, 2026</w:t>
              </w:r>
            </w:hyperlink>
            <w:r>
              <w:rPr/>
              <w:t>, </w:t>
            </w:r>
            <w:hyperlink r:id="rId13">
              <w:r>
                <w:rPr>
                  <w:rStyle w:val="InternetLink"/>
                </w:rPr>
                <w:t>May 13, 2026</w:t>
              </w:r>
            </w:hyperlink>
            <w:r>
              <w:rPr/>
              <w:t>, </w:t>
            </w:r>
            <w:hyperlink r:id="rId14">
              <w:r>
                <w:rPr>
                  <w:rStyle w:val="InternetLink"/>
                </w:rPr>
                <w:t>May 22, 2026</w:t>
              </w:r>
            </w:hyperlink>
            <w:r>
              <w:rPr/>
              <w:t>, </w:t>
            </w:r>
            <w:hyperlink r:id="rId15">
              <w:r>
                <w:rPr>
                  <w:rStyle w:val="InternetLink"/>
                </w:rPr>
                <w:t>May 22, 2026</w:t>
              </w:r>
            </w:hyperlink>
            <w:r>
              <w:rPr/>
              <w:t xml:space="preserve">, </w:t>
            </w:r>
            <w:hyperlink r:id="rId16">
              <w:r>
                <w:rPr>
                  <w:rStyle w:val="InternetLink"/>
                </w:rPr>
                <w:t>June 4, 2026</w:t>
              </w:r>
            </w:hyperlink>
            <w:r>
              <w:rPr/>
              <w:t xml:space="preserve">, </w:t>
            </w:r>
            <w:hyperlink r:id="rId17">
              <w:r>
                <w:rPr>
                  <w:rStyle w:val="InternetLink"/>
                </w:rPr>
                <w:t>June 9, 2026</w:t>
              </w:r>
            </w:hyperlink>
            <w:r>
              <w:rPr/>
              <w:t xml:space="preserve">, </w:t>
            </w:r>
            <w:hyperlink r:id="rId18">
              <w:r>
                <w:rPr>
                  <w:rStyle w:val="InternetLink"/>
                </w:rPr>
                <w:t>June 15, 2026</w:t>
              </w:r>
            </w:hyperlink>
            <w:r>
              <w:rPr/>
              <w:t xml:space="preserve">, </w:t>
            </w:r>
            <w:hyperlink r:id="rId19">
              <w:r>
                <w:rPr>
                  <w:rStyle w:val="InternetLink"/>
                </w:rPr>
                <w:t>June 26, 2026</w:t>
              </w:r>
            </w:hyperlink>
            <w:r>
              <w:rPr/>
              <w:t xml:space="preserve">, </w:t>
            </w:r>
            <w:hyperlink r:id="rId20">
              <w:r>
                <w:rPr>
                  <w:rStyle w:val="InternetLink"/>
                </w:rPr>
                <w:t>August 25, 2026</w:t>
              </w:r>
            </w:hyperlink>
            <w:r>
              <w:rPr/>
              <w:t xml:space="preserve">, </w:t>
            </w:r>
            <w:hyperlink r:id="rId21">
              <w:r>
                <w:rPr>
                  <w:rStyle w:val="InternetLink"/>
                </w:rPr>
                <w:t>September 21, 2026</w:t>
              </w:r>
            </w:hyperlink>
            <w:r>
              <w:rPr/>
              <w:t xml:space="preserve"> (as amended by </w:t>
            </w:r>
            <w:hyperlink r:id="rId22">
              <w:r>
                <w:rPr>
                  <w:rStyle w:val="InternetLink"/>
                </w:rPr>
                <w:t>Current Report on Form 8-K/A filed on September 21, 2026</w:t>
              </w:r>
            </w:hyperlink>
            <w:r>
              <w:rPr/>
              <w:t xml:space="preserve">) and </w:t>
            </w:r>
            <w:hyperlink r:id="rId23">
              <w:r>
                <w:rPr>
                  <w:rStyle w:val="InternetLink"/>
                </w:rPr>
                <w:t>October 6, 2026</w:t>
              </w:r>
            </w:hyperlink>
            <w:r>
              <w:rPr/>
              <w:t xml:space="preserve"> (Item 8.01 only);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Common Stock contained in the Registrant’s Registration Statement on </w:t>
            </w:r>
            <w:hyperlink r:id="rId24">
              <w:r>
                <w:rPr>
                  <w:rStyle w:val="InternetLink"/>
                </w:rPr>
                <w:t>Form 8-A, filed with the SEC on October 19, 2021</w:t>
              </w:r>
            </w:hyperlink>
            <w:r>
              <w:rPr/>
              <w:t>, including any amendments filed for the purpose of updating such description, including </w:t>
            </w:r>
            <w:hyperlink r:id="rId25">
              <w:r>
                <w:rPr>
                  <w:rStyle w:val="InternetLink"/>
                </w:rPr>
                <w:t>Exhibit 4.1</w:t>
              </w:r>
            </w:hyperlink>
            <w:r>
              <w:rPr/>
              <w:t> to Annual Report on Form 10-K for the fiscal year ended December 31, 2025, as filed with the SEC on February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Registrant with the SEC pursuant to Sections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or 8-K/A that it may from time to time furnish to the SEC or any other document or information deemed to have been furnished and not filed with the SEC will be incorporated by reference into, or otherwise included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Second Amended and Restated Certificate of Incorporation of Navitas Semiconductor Corporation (incorporated by reference to Exhibit 3.1 of the Registrant’s Current Report on Form 8-K, filed with the SEC on October 25, 2021).</w:t>
              </w:r>
            </w:hyperlink>
          </w:p>
        </w:tc>
      </w:tr>
      <w:tr>
        <w:trPr/>
        <w:tc>
          <w:tcPr>
            <w:tcW w:w="995"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Amended and Restated Bylaws of Navitas Semiconductor Corporation (incorporated by reference to Exhibit 3.1 of the Registrant’s Current Report on Form 8-K, filed with the SEC on April 10, 2025).</w:t>
              </w:r>
            </w:hyperlink>
          </w:p>
        </w:tc>
      </w:tr>
      <w:tr>
        <w:trPr/>
        <w:tc>
          <w:tcPr>
            <w:tcW w:w="995" w:type="dxa"/>
            <w:tcBorders/>
            <w:tcMar>
              <w:bottom w:w="0" w:type="dxa"/>
            </w:tcMar>
            <w:vAlign w:val="center"/>
          </w:tcPr>
          <w:p>
            <w:pPr>
              <w:pStyle w:val="TableContents"/>
              <w:bidi w:val="0"/>
              <w:spacing w:before="0" w:after="283"/>
              <w:jc w:val="left"/>
              <w:rPr/>
            </w:pPr>
            <w:hyperlink w:anchor="tm2626897d2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2_ex5-1.htm">
              <w:r>
                <w:rPr>
                  <w:rStyle w:val="InternetLink"/>
                  <w:rFonts w:ascii="Times New Roman;Times;Serif" w:hAnsi="Times New Roman;Times;Serif"/>
                  <w:sz w:val="20"/>
                </w:rPr>
                <w:t>Opinion of Cozen O’Connor.</w:t>
              </w:r>
            </w:hyperlink>
          </w:p>
        </w:tc>
      </w:tr>
      <w:tr>
        <w:trPr/>
        <w:tc>
          <w:tcPr>
            <w:tcW w:w="995" w:type="dxa"/>
            <w:tcBorders/>
            <w:tcMar>
              <w:bottom w:w="0" w:type="dxa"/>
            </w:tcMar>
            <w:vAlign w:val="center"/>
          </w:tcPr>
          <w:p>
            <w:pPr>
              <w:pStyle w:val="TableContents"/>
              <w:bidi w:val="0"/>
              <w:spacing w:before="0" w:after="283"/>
              <w:jc w:val="left"/>
              <w:rPr/>
            </w:pPr>
            <w:hyperlink w:anchor="tm2626897d2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2_ex23-1.htm">
              <w:r>
                <w:rPr>
                  <w:rStyle w:val="InternetLink"/>
                  <w:rFonts w:ascii="Times New Roman;Times;Serif" w:hAnsi="Times New Roman;Times;Serif"/>
                  <w:sz w:val="20"/>
                </w:rPr>
                <w:t>Consent of KPMG LLP.</w:t>
              </w:r>
            </w:hyperlink>
          </w:p>
        </w:tc>
      </w:tr>
      <w:tr>
        <w:trPr/>
        <w:tc>
          <w:tcPr>
            <w:tcW w:w="995" w:type="dxa"/>
            <w:tcBorders/>
            <w:tcMar>
              <w:bottom w:w="0" w:type="dxa"/>
            </w:tcMar>
            <w:vAlign w:val="center"/>
          </w:tcPr>
          <w:p>
            <w:pPr>
              <w:pStyle w:val="TableContents"/>
              <w:bidi w:val="0"/>
              <w:spacing w:before="0" w:after="283"/>
              <w:jc w:val="left"/>
              <w:rPr/>
            </w:pPr>
            <w:hyperlink w:anchor="tm2626897d2_ex23-2.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2_ex23-2.htm">
              <w:r>
                <w:rPr>
                  <w:rStyle w:val="InternetLink"/>
                  <w:rFonts w:ascii="Times New Roman;Times;Serif" w:hAnsi="Times New Roman;Times;Serif"/>
                  <w:sz w:val="20"/>
                </w:rPr>
                <w:t>Consent of Baker Tilly US, LLP.</w:t>
              </w:r>
            </w:hyperlink>
          </w:p>
        </w:tc>
      </w:tr>
      <w:tr>
        <w:trPr/>
        <w:tc>
          <w:tcPr>
            <w:tcW w:w="995" w:type="dxa"/>
            <w:tcBorders/>
            <w:tcMar>
              <w:bottom w:w="0" w:type="dxa"/>
            </w:tcMar>
            <w:vAlign w:val="center"/>
          </w:tcPr>
          <w:p>
            <w:pPr>
              <w:pStyle w:val="TableContents"/>
              <w:bidi w:val="0"/>
              <w:spacing w:before="0" w:after="283"/>
              <w:jc w:val="left"/>
              <w:rPr/>
            </w:pPr>
            <w:hyperlink w:anchor="tm2626897d2_ex5-1.htm">
              <w:r>
                <w:rPr>
                  <w:rStyle w:val="InternetLink"/>
                  <w:rFonts w:ascii="Times New Roman;Times;Serif" w:hAnsi="Times New Roman;Times;Serif"/>
                  <w:sz w:val="20"/>
                </w:rPr>
                <w:t>23.3*</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2_ex5-1.htm">
              <w:r>
                <w:rPr>
                  <w:rStyle w:val="InternetLink"/>
                  <w:rFonts w:ascii="Times New Roman;Times;Serif" w:hAnsi="Times New Roman;Times;Serif"/>
                  <w:sz w:val="20"/>
                </w:rPr>
                <w:t>Consent of Cozen O’Connor (included in Exhibit 5.1).</w:t>
              </w:r>
            </w:hyperlink>
          </w:p>
        </w:tc>
      </w:tr>
      <w:tr>
        <w:trPr/>
        <w:tc>
          <w:tcPr>
            <w:tcW w:w="99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 to this registration statement).</w:t>
              </w:r>
            </w:hyperlink>
          </w:p>
        </w:tc>
      </w:tr>
      <w:tr>
        <w:trPr/>
        <w:tc>
          <w:tcPr>
            <w:tcW w:w="995" w:type="dxa"/>
            <w:tcBorders/>
            <w:tcMar>
              <w:bottom w:w="0" w:type="dxa"/>
            </w:tcMar>
            <w:vAlign w:val="center"/>
          </w:tcPr>
          <w:p>
            <w:pPr>
              <w:pStyle w:val="TableContents"/>
              <w:bidi w:val="0"/>
              <w:spacing w:before="0" w:after="283"/>
              <w:jc w:val="left"/>
              <w:rPr/>
            </w:pPr>
            <w:hyperlink r:id="rId30">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31">
              <w:r>
                <w:rPr>
                  <w:rStyle w:val="InternetLink"/>
                  <w:sz w:val="20"/>
                </w:rPr>
                <w:t>Navitas Semiconductor Corporation 2021 Equity Incentive Plan (incorporated by reference to Exhibit 10.5 of the Registrant’s Current Report on Form 8-K/A, filed with the SEC on November 15, 2021).</w:t>
              </w:r>
            </w:hyperlink>
          </w:p>
        </w:tc>
      </w:tr>
      <w:tr>
        <w:trPr/>
        <w:tc>
          <w:tcPr>
            <w:tcW w:w="995" w:type="dxa"/>
            <w:tcBorders/>
            <w:tcMar>
              <w:bottom w:w="0" w:type="dxa"/>
            </w:tcMar>
            <w:vAlign w:val="center"/>
          </w:tcPr>
          <w:p>
            <w:pPr>
              <w:pStyle w:val="TableContents"/>
              <w:bidi w:val="0"/>
              <w:spacing w:before="0" w:after="283"/>
              <w:jc w:val="left"/>
              <w:rPr/>
            </w:pPr>
            <w:hyperlink w:anchor="tm2626897d2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2_ex-filingfees.htm">
              <w:r>
                <w:rPr>
                  <w:rStyle w:val="InternetLink"/>
                  <w:rFonts w:ascii="Times New Roman;Times;Serif" w:hAnsi="Times New Roman;Times;Serif"/>
                  <w:sz w:val="20"/>
                </w:rPr>
                <w:t>Filing Fees Table.</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caused this registration statement to be signed on its behalf by the undersigned, thereunto duly authorized, in the City of Torrance, State of California, on October 6, 2026.</w:t>
      </w:r>
    </w:p>
    <w:p>
      <w:pPr>
        <w:pStyle w:val="TextBody"/>
        <w:bidi w:val="0"/>
        <w:spacing w:before="0" w:after="0"/>
        <w:ind w:left="0" w:right="0" w:hanging="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75"/>
        <w:gridCol w:w="4175"/>
      </w:tblGrid>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Chris Allexandre</w:t>
            </w:r>
          </w:p>
        </w:tc>
      </w:tr>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Chris Allexandre  </w:t>
            </w:r>
          </w:p>
        </w:tc>
      </w:tr>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directors and officers of Navitas Semiconductor Corporation hereby constitutes and appoints each of Chris Allexandre, Tonya Stevens and Matthew Sant as his or her true and lawful attorneys-in-fact and agents, with full powers of substitution and resubstitution, for him or her and in his or her name, place and stead, in any and all capacities, to sign the registration statement filed herewith and any and all amendments to this registration statement (including post-effective amendments and any related registration statements thereto filed pursuant to Rule 462 and otherwise), and cause the same to be filed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the undersigned might or could do in person, hereby ratifying and confirming all that said attorneys-in-fact and agents, or any of them, or his or their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2165"/>
        <w:gridCol w:w="60"/>
        <w:gridCol w:w="3830"/>
        <w:gridCol w:w="60"/>
        <w:gridCol w:w="1340"/>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 Allexandre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 Allexandre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Tonya Stevens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and Treasurer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Tonya Stevens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Richard J. Hendrix</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Richard J. Hendrix</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Cristiano Amoruso</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Cristiano Amoruso</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Gregory M. Fischer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Gregory M. Fischer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Davin D. Lee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Davin D. Lee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Brian Long</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Brian Long</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Moxam</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Moxam</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Dipender Saluja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Dipender Saluja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Gary K. Wunderlich, Jr.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Gary K. Wunderlich, Jr.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II-4</w:t>
      </w:r>
    </w:p>
    <w:p>
      <w:pPr>
        <w:pStyle w:val="TextBody"/>
        <w:bidi w:val="0"/>
        <w:spacing w:before="0" w:after="283"/>
        <w:jc w:val="left"/>
        <w:rPr/>
      </w:pPr>
      <w:r>
        <w:rPr/>
        <w:t> </w:t>
      </w:r>
    </w:p>
    <w:p>
      <w:pPr>
        <w:pStyle w:val="TextBody"/>
        <w:bidi w:val="0"/>
        <w:spacing w:before="0" w:after="0"/>
        <w:ind w:left="0" w:right="0" w:hanging="0"/>
        <w:jc w:val="left"/>
        <w:rPr/>
      </w:pPr>
      <w:bookmarkStart w:id="3" w:name="tm2626897d2_ex5-1.htm"/>
      <w:bookmarkStart w:id="4" w:name="kstm2626897d2_ex51"/>
      <w:bookmarkEnd w:id="3"/>
      <w:bookmarkEnd w:id="4"/>
      <w:r>
        <w:rPr/>
        <w:t> </w:t>
      </w:r>
      <w:r>
        <w:br w:type="page"/>
      </w:r>
    </w:p>
    <w:p>
      <w:pPr>
        <w:pStyle w:val="TextBody"/>
        <w:bidi w:val="0"/>
        <w:spacing w:before="0" w:after="0"/>
        <w:ind w:left="0" w:right="0" w:hanging="0"/>
        <w:jc w:val="right"/>
        <w:rPr>
          <w:b/>
        </w:rPr>
      </w:pPr>
      <w:r>
        <w:rPr>
          <w:b/>
        </w:rPr>
        <w:t>Exhibit 5.1</w:t>
      </w:r>
    </w:p>
    <w:p>
      <w:pPr>
        <w:pStyle w:val="TextBody"/>
        <w:bidi w:val="0"/>
        <w:spacing w:before="0" w:after="0"/>
        <w:ind w:left="0" w:right="0" w:hanging="0"/>
        <w:jc w:val="left"/>
        <w:rPr/>
      </w:pPr>
      <w:r>
        <w:rPr/>
        <w:t> </w:t>
      </w:r>
    </w:p>
    <w:p>
      <w:pPr>
        <w:pStyle w:val="TextBody"/>
        <w:bidi w:val="0"/>
        <w:spacing w:before="0" w:after="0"/>
        <w:ind w:left="0" w:right="0" w:hanging="0"/>
        <w:jc w:val="right"/>
        <w:rPr/>
      </w:pPr>
      <w:r>
        <w:rPr/>
        <w:drawing>
          <wp:inline distT="0" distB="0" distL="0" distR="0">
            <wp:extent cx="2333625"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2"/>
                    <a:stretch>
                      <a:fillRect/>
                    </a:stretch>
                  </pic:blipFill>
                  <pic:spPr bwMode="auto">
                    <a:xfrm>
                      <a:off x="0" y="0"/>
                      <a:ext cx="2333625" cy="7048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br/>
        <w:t>Torrance, California 90503-1640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Registration Statement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Navitas Semiconductor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connection with the registration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an additional 35,000,000 shares (the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pursuant to the terms of Company’s 2021 Equity Incentive Plan (the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examined and are familiar with originals or copies, certified or otherwise identified to our satisfaction of (i) the Plan, (ii) the Second Amended and Restated Certificate of Incorporation of the Company, as in effect on the date hereof, together with all amendments thereto adopted through the date, (iii) the Amended and Restated Bylaws of the Company, as amended, as in effect on the date hereof, (iv) the Registration Statement on Form S-8 and all exhibits thereto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covering the registration of the Shares under the Securities Act, and (v) such other corporate records, certificates, other documents, and questions of law as we have considered necessary or appropriate for the purposes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copies. As to any facts material to this opinion that we did not independently establish or verify, we have relied upon oral or written statements and representations of officers and other representatives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qualifications and limitations set forth herein, we are of the opinion that the Shares have been duly authorized and, when the Shares have been duly issued and delivered pursuant to the terms of the Plan, such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limited to the federal laws of the United States of America and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such consent, we do not hereby admit that we are in the category of persons whose consent is required under Section 7 of the Securities Act, or the rules and regulations of the Securities and Exchange Commission. This opinion is being delivered in accordance with the requirements of Item 601(b)(5)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has been prepared for your use in connection with the issuance of the Shares under the Plan, and speaks as of the date hereof. We assume no obligation to advise you of any fact, circumstance, event or change in the law or the facts that may hereafter be brought to our attention, whether or not such occurrence would affect or modify the opinions expressed herein.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issuance of the Shares while the Registration Statement is in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firstLine="816"/>
        <w:jc w:val="left"/>
        <w:rPr>
          <w:caps w:val="false"/>
          <w:smallCaps w:val="false"/>
        </w:rPr>
      </w:pPr>
      <w:r>
        <w:rPr>
          <w:caps w:val="false"/>
          <w:smallCaps w:val="false"/>
        </w:rPr>
        <w:t> </w:t>
      </w:r>
    </w:p>
    <w:p>
      <w:pPr>
        <w:pStyle w:val="TextBody"/>
        <w:bidi w:val="0"/>
        <w:spacing w:before="0" w:after="0"/>
        <w:ind w:left="0" w:right="0" w:firstLine="8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Cozen O’Connor</w:t>
      </w:r>
    </w:p>
    <w:p>
      <w:pPr>
        <w:pStyle w:val="TextBody"/>
        <w:bidi w:val="0"/>
        <w:spacing w:before="0" w:after="0"/>
        <w:ind w:left="0" w:right="0" w:firstLine="816"/>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816"/>
        <w:jc w:val="left"/>
        <w:rPr>
          <w:caps w:val="false"/>
          <w:smallCaps w:val="false"/>
        </w:rPr>
      </w:pPr>
      <w:r>
        <w:rPr>
          <w:caps w:val="false"/>
          <w:smallCaps w:val="false"/>
        </w:rPr>
        <w:t> </w:t>
      </w:r>
    </w:p>
    <w:p>
      <w:pPr>
        <w:pStyle w:val="TextBody"/>
        <w:bidi w:val="0"/>
        <w:jc w:val="left"/>
        <w:rPr/>
      </w:pPr>
      <w:bookmarkStart w:id="5" w:name="tm2626897d2_ex23-1.htm"/>
      <w:bookmarkStart w:id="6" w:name="kstm2626897d2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28725"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3"/>
                    <a:stretch>
                      <a:fillRect/>
                    </a:stretch>
                  </pic:blipFill>
                  <pic:spPr bwMode="auto">
                    <a:xfrm>
                      <a:off x="0" y="0"/>
                      <a:ext cx="122872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345"/>
      </w:tblGrid>
      <w:tr>
        <w:trPr/>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KPMG LLP</w:t>
              <w:br/>
              <w:t>Suite 1050</w:t>
              <w:br/>
              <w:t>833 East Michigan Street</w:t>
              <w:br/>
              <w:t>Milwaukee, WI 53202-5337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February 27, 2026, with respect to the consolidated financial statements of Navitas Semiconductor Corporation,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895"/>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Wisconsin</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0092" w:type="dxa"/>
            <w:tcBorders/>
            <w:vAlign w:val="center"/>
          </w:tcPr>
          <w:p>
            <w:pPr>
              <w:pStyle w:val="TableContents"/>
              <w:bidi w:val="0"/>
              <w:spacing w:before="0" w:after="283"/>
              <w:jc w:val="both"/>
              <w:rPr>
                <w:sz w:val="14"/>
              </w:rPr>
            </w:pPr>
            <w:r>
              <w:rPr>
                <w:sz w:val="14"/>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7" w:name="tm2626897d2_ex23-2.htm"/>
      <w:bookmarkStart w:id="8" w:name="kstm2626897d2_ex232"/>
      <w:bookmarkEnd w:id="7"/>
      <w:bookmarkEnd w:id="8"/>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Navitas Semiconductor Corporation (the “Company”) of our report dated March 19, 2025, relating to the consolidated financial statements of the Company as of December 31, 2024 and for the year then ended, appearing in the Annual Report on Form 10-K of the Company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9" w:name="tm2626897d2_ex-filingfees.htm"/>
      <w:bookmarkStart w:id="10" w:name="kstm2626897d2_exfilingfees"/>
      <w:bookmarkStart w:id="11" w:name="tm2626897d2_ex-filingfees.htm"/>
      <w:bookmarkStart w:id="12" w:name="kstm2626897d2_exfilingfees"/>
      <w:bookmarkEnd w:id="11"/>
      <w:bookmarkEnd w:id="12"/>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Navitas Semiconductor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4"/>
        <w:gridCol w:w="1295"/>
        <w:gridCol w:w="1204"/>
        <w:gridCol w:w="1222"/>
        <w:gridCol w:w="1824"/>
        <w:gridCol w:w="100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2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4" w:type="dxa"/>
            <w:tcBorders/>
            <w:shd w:fill="E7E7E2" w:val="clear"/>
            <w:vAlign w:val="center"/>
          </w:tcPr>
          <w:p>
            <w:pPr>
              <w:pStyle w:val="TableContents"/>
              <w:bidi w:val="0"/>
              <w:spacing w:before="0" w:after="283"/>
              <w:jc w:val="left"/>
              <w:rPr/>
            </w:pPr>
            <w:r>
              <w:rPr/>
              <w:t xml:space="preserve">Class A common stock, par value $0.0001 per share </w:t>
            </w:r>
          </w:p>
        </w:tc>
        <w:tc>
          <w:tcPr>
            <w:tcW w:w="1295" w:type="dxa"/>
            <w:tcBorders/>
            <w:shd w:fill="E7E7E2" w:val="clear"/>
            <w:vAlign w:val="center"/>
          </w:tcPr>
          <w:p>
            <w:pPr>
              <w:pStyle w:val="TableContents"/>
              <w:bidi w:val="0"/>
              <w:spacing w:before="0" w:after="283"/>
              <w:jc w:val="center"/>
              <w:rPr/>
            </w:pPr>
            <w:r>
              <w:rPr/>
              <w:t xml:space="preserve">Other </w:t>
            </w:r>
          </w:p>
        </w:tc>
        <w:tc>
          <w:tcPr>
            <w:tcW w:w="1204" w:type="dxa"/>
            <w:tcBorders/>
            <w:shd w:fill="E7E7E2" w:val="clear"/>
            <w:vAlign w:val="center"/>
          </w:tcPr>
          <w:p>
            <w:pPr>
              <w:pStyle w:val="TableContents"/>
              <w:bidi w:val="0"/>
              <w:spacing w:before="0" w:after="283"/>
              <w:jc w:val="right"/>
              <w:rPr/>
            </w:pPr>
            <w:r>
              <w:rPr/>
              <w:t xml:space="preserve">35,000,000 </w:t>
            </w:r>
          </w:p>
        </w:tc>
        <w:tc>
          <w:tcPr>
            <w:tcW w:w="1222" w:type="dxa"/>
            <w:tcBorders/>
            <w:shd w:fill="E7E7E2" w:val="clear"/>
            <w:vAlign w:val="center"/>
          </w:tcPr>
          <w:p>
            <w:pPr>
              <w:pStyle w:val="TableContents"/>
              <w:bidi w:val="0"/>
              <w:spacing w:before="0" w:after="283"/>
              <w:jc w:val="right"/>
              <w:rPr/>
            </w:pPr>
            <w:r>
              <w:rPr/>
              <w:t xml:space="preserve">$ 11.86 </w:t>
            </w:r>
          </w:p>
        </w:tc>
        <w:tc>
          <w:tcPr>
            <w:tcW w:w="1824" w:type="dxa"/>
            <w:tcBorders/>
            <w:shd w:fill="E7E7E2" w:val="clear"/>
            <w:vAlign w:val="center"/>
          </w:tcPr>
          <w:p>
            <w:pPr>
              <w:pStyle w:val="TableContents"/>
              <w:bidi w:val="0"/>
              <w:spacing w:before="0" w:after="283"/>
              <w:jc w:val="right"/>
              <w:rPr/>
            </w:pPr>
            <w:r>
              <w:rPr/>
              <w:t xml:space="preserve">$ 415,100,000.00 </w:t>
            </w:r>
          </w:p>
        </w:tc>
        <w:tc>
          <w:tcPr>
            <w:tcW w:w="1007" w:type="dxa"/>
            <w:tcBorders/>
            <w:shd w:fill="E7E7E2" w:val="clear"/>
            <w:vAlign w:val="center"/>
          </w:tcPr>
          <w:p>
            <w:pPr>
              <w:pStyle w:val="TableContents"/>
              <w:bidi w:val="0"/>
              <w:spacing w:before="0" w:after="283"/>
              <w:jc w:val="right"/>
              <w:rPr/>
            </w:pPr>
            <w:r>
              <w:rPr/>
              <w:t xml:space="preserve">0.000087 </w:t>
            </w:r>
          </w:p>
        </w:tc>
        <w:tc>
          <w:tcPr>
            <w:tcW w:w="1429" w:type="dxa"/>
            <w:tcBorders/>
            <w:shd w:fill="E7E7E2" w:val="clear"/>
            <w:vAlign w:val="center"/>
          </w:tcPr>
          <w:p>
            <w:pPr>
              <w:pStyle w:val="TableContents"/>
              <w:bidi w:val="0"/>
              <w:spacing w:before="0" w:after="283"/>
              <w:jc w:val="right"/>
              <w:rPr/>
            </w:pPr>
            <w:r>
              <w:rPr/>
              <w:t xml:space="preserve">$ 36,113.70 </w:t>
            </w:r>
          </w:p>
        </w:tc>
      </w:tr>
      <w:tr>
        <w:trPr/>
        <w:tc>
          <w:tcPr>
            <w:tcW w:w="4723" w:type="dxa"/>
            <w:gridSpan w:val="5"/>
            <w:tcBorders/>
            <w:vAlign w:val="center"/>
          </w:tcPr>
          <w:p>
            <w:pPr>
              <w:pStyle w:val="TableContents"/>
              <w:bidi w:val="0"/>
              <w:spacing w:before="0" w:after="0"/>
              <w:ind w:left="0" w:right="0" w:hanging="0"/>
              <w:jc w:val="right"/>
              <w:rPr/>
            </w:pPr>
            <w:r>
              <w:rPr/>
              <w:t>Total Offering Amounts:</w:t>
            </w:r>
          </w:p>
        </w:tc>
        <w:tc>
          <w:tcPr>
            <w:tcW w:w="12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ind w:left="0" w:right="0" w:hanging="0"/>
              <w:jc w:val="right"/>
              <w:rPr/>
            </w:pPr>
            <w:bookmarkStart w:id="13" w:name="MaxAggtOfferingPrice"/>
            <w:bookmarkEnd w:id="13"/>
            <w:r>
              <w:rPr/>
              <w:t xml:space="preserve">$ 415,100,000.00 </w:t>
            </w:r>
          </w:p>
        </w:tc>
        <w:tc>
          <w:tcPr>
            <w:tcW w:w="100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$ 36,113.70 </w:t>
            </w:r>
          </w:p>
        </w:tc>
      </w:tr>
      <w:tr>
        <w:trPr/>
        <w:tc>
          <w:tcPr>
            <w:tcW w:w="4723" w:type="dxa"/>
            <w:gridSpan w:val="5"/>
            <w:tcBorders/>
            <w:vAlign w:val="center"/>
          </w:tcPr>
          <w:p>
            <w:pPr>
              <w:pStyle w:val="TableContents"/>
              <w:bidi w:val="0"/>
              <w:spacing w:before="0" w:after="0"/>
              <w:ind w:left="0" w:right="0" w:hanging="0"/>
              <w:jc w:val="right"/>
              <w:rPr/>
            </w:pPr>
            <w:r>
              <w:rPr/>
              <w:t xml:space="preserve">Total Fee Offsets: </w:t>
            </w:r>
          </w:p>
        </w:tc>
        <w:tc>
          <w:tcPr>
            <w:tcW w:w="12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23" w:type="dxa"/>
            <w:gridSpan w:val="5"/>
            <w:tcBorders/>
            <w:vAlign w:val="center"/>
          </w:tcPr>
          <w:p>
            <w:pPr>
              <w:pStyle w:val="TableContents"/>
              <w:bidi w:val="0"/>
              <w:spacing w:before="0" w:after="0"/>
              <w:ind w:left="0" w:right="0" w:hanging="0"/>
              <w:jc w:val="right"/>
              <w:rPr/>
            </w:pPr>
            <w:r>
              <w:rPr/>
              <w:t xml:space="preserve">Net Fee Due: </w:t>
            </w:r>
          </w:p>
        </w:tc>
        <w:tc>
          <w:tcPr>
            <w:tcW w:w="12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6" w:name="NetFeeAmt"/>
            <w:bookmarkEnd w:id="16"/>
            <w:r>
              <w:rPr/>
              <w:t xml:space="preserve">$ 36,113.70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Note 1a. Pursuant to Rule 416 promulgated under the Securities Act of 1933, as amended (the "Securities Act"), this registration statement also covers an indeterminate number of additional shares of the Registrant's Class A common stock, par value $0.0001 per share (the "Class A Common Stock") that may become issuable under the Registrant's 2021 Equity Incentive Plan by reason of any stock split, stock distribution or similar transaction. Note 1b. Estimated solely for the purpose of calculating the amount of the registration fee pursuant to Rules 457(c) and 457(h) of the Securities Act, based upon the average of the high and low prices of the Class A Common Stock on the New York Stock Exchange on October 1,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21769/000182176926000007/nvts-20251231.htm" TargetMode="External"/><Relationship Id="rId4" Type="http://schemas.openxmlformats.org/officeDocument/2006/relationships/hyperlink" Target="https://www.sec.gov/ix?doc=/Archives/edgar/data/1821769/000110465926052971/nvts-20251231x10ka.htm" TargetMode="External"/><Relationship Id="rId5" Type="http://schemas.openxmlformats.org/officeDocument/2006/relationships/hyperlink" Target="https://www.sec.gov/ix?doc=/Archives/edgar/data/1821769/000162828026030524/nvts-20260331.htm" TargetMode="External"/><Relationship Id="rId6" Type="http://schemas.openxmlformats.org/officeDocument/2006/relationships/hyperlink" Target="https://www.sec.gov/ix?doc=/Archives/edgar/data/1821769/000162828026049808/nvts-20260630.htm" TargetMode="External"/><Relationship Id="rId7" Type="http://schemas.openxmlformats.org/officeDocument/2006/relationships/hyperlink" Target="https://www.sec.gov/ix?doc=/Archives/edgar/data/1821769/000110465926019220/tm267059d1_8k.htm" TargetMode="External"/><Relationship Id="rId8" Type="http://schemas.openxmlformats.org/officeDocument/2006/relationships/hyperlink" Target="https://www.sec.gov/ix?doc=/Archives/edgar/data/1821769/000110465926026385/tm268482d1_8k.htm" TargetMode="External"/><Relationship Id="rId9" Type="http://schemas.openxmlformats.org/officeDocument/2006/relationships/hyperlink" Target="https://www.sec.gov/ix?doc=/Archives/edgar/data/1821769/000110465926029469/tm269070d1_8k.htm" TargetMode="External"/><Relationship Id="rId10" Type="http://schemas.openxmlformats.org/officeDocument/2006/relationships/hyperlink" Target="https://www.sec.gov/ix?doc=/Archives/edgar/data/1821769/000110465926042619/tm2611717d1_8k.htm" TargetMode="External"/><Relationship Id="rId11" Type="http://schemas.openxmlformats.org/officeDocument/2006/relationships/hyperlink" Target="https://www.sec.gov/ix?doc=/Archives/edgar/data/1821769/000110465926054482/tm2613278d1_8k.htm" TargetMode="External"/><Relationship Id="rId12" Type="http://schemas.openxmlformats.org/officeDocument/2006/relationships/hyperlink" Target="https://www.sec.gov/ix?doc=/Archives/edgar/data/1821769/000110465926058734/tm2613239d3_8k.htm" TargetMode="External"/><Relationship Id="rId13" Type="http://schemas.openxmlformats.org/officeDocument/2006/relationships/hyperlink" Target="https://www.sec.gov/ix?doc=/Archives/edgar/data/1821769/000110465926059828/tm2614473d1_8k.htm" TargetMode="External"/><Relationship Id="rId14" Type="http://schemas.openxmlformats.org/officeDocument/2006/relationships/hyperlink" Target="https://www.sec.gov/ix?doc=/Archives/edgar/data/1821769/000110465926065731/tm2614473d1_8k.htm" TargetMode="External"/><Relationship Id="rId15" Type="http://schemas.openxmlformats.org/officeDocument/2006/relationships/hyperlink" Target="https://www.sec.gov/ix?doc=/Archives/edgar/data/1821769/000110465926065737/tm2615305d2_8k.htm" TargetMode="External"/><Relationship Id="rId16" Type="http://schemas.openxmlformats.org/officeDocument/2006/relationships/hyperlink" Target="https://www.sec.gov/ix?doc=/Archives/edgar/data/1821769/000110465926070530/tm2616859d1_8k.htm" TargetMode="External"/><Relationship Id="rId17" Type="http://schemas.openxmlformats.org/officeDocument/2006/relationships/hyperlink" Target="https://www.sec.gov/ix?doc=/Archives/edgar/data/1821769/000110465926071850/tm2617349d1_8k.htm" TargetMode="External"/><Relationship Id="rId18" Type="http://schemas.openxmlformats.org/officeDocument/2006/relationships/hyperlink" Target="https://www.sec.gov/ix?doc=/Archives/edgar/data/1821769/000110465926074127/tm2617991d1_8k.htm" TargetMode="External"/><Relationship Id="rId19" Type="http://schemas.openxmlformats.org/officeDocument/2006/relationships/hyperlink" Target="https://www.sec.gov/ix?doc=/Archives/edgar/data/1821769/000110465926078274/tm2619097d1_8k.htm" TargetMode="External"/><Relationship Id="rId20" Type="http://schemas.openxmlformats.org/officeDocument/2006/relationships/hyperlink" Target="https://www.sec.gov/ix?doc=/Archives/edgar/data/1821769/000110465926100478/tm2623854d1_8k.htm" TargetMode="External"/><Relationship Id="rId21" Type="http://schemas.openxmlformats.org/officeDocument/2006/relationships/hyperlink" Target="https://www.sec.gov/ix?doc=/Archives/edgar/data/1821769/000110465926109125/tm2625807d1_8k.htm" TargetMode="External"/><Relationship Id="rId22" Type="http://schemas.openxmlformats.org/officeDocument/2006/relationships/hyperlink" Target="https://www.sec.gov/ix?doc=/Archives/edgar/data/1821769/000110465926109227/tm2625807d2_8ka.htm" TargetMode="External"/><Relationship Id="rId23" Type="http://schemas.openxmlformats.org/officeDocument/2006/relationships/hyperlink" Target="https://www.sec.gov/ix?doc=/Archives/edgar/data/0001821769/000110465926114051/tm2626897d3_8k.htm" TargetMode="External"/><Relationship Id="rId24" Type="http://schemas.openxmlformats.org/officeDocument/2006/relationships/hyperlink" Target="https://www.sec.gov/Archives/edgar/data/1821769/000119312521301974/d242787d8a12b.htm" TargetMode="External"/><Relationship Id="rId25" Type="http://schemas.openxmlformats.org/officeDocument/2006/relationships/hyperlink" Target="https://www.sec.gov/Archives/edgar/data/1821769/000182176924000024/exhibit41-descriptionofsec.htm" TargetMode="External"/><Relationship Id="rId26" Type="http://schemas.openxmlformats.org/officeDocument/2006/relationships/hyperlink" Target="https://www.sec.gov/Archives/edgar/data/1821769/000119312521306726/d225525dex31.htm" TargetMode="External"/><Relationship Id="rId27" Type="http://schemas.openxmlformats.org/officeDocument/2006/relationships/hyperlink" Target="https://www.sec.gov/Archives/edgar/data/1821769/000119312521306726/d225525dex31.htm" TargetMode="External"/><Relationship Id="rId28" Type="http://schemas.openxmlformats.org/officeDocument/2006/relationships/hyperlink" Target="https://www.sec.gov/Archives/edgar/data/1821769/000182176925000049/a20250408-arbylawsasamende.htm" TargetMode="External"/><Relationship Id="rId29" Type="http://schemas.openxmlformats.org/officeDocument/2006/relationships/hyperlink" Target="https://www.sec.gov/Archives/edgar/data/1821769/000182176925000049/a20250408-arbylawsasamende.htm" TargetMode="External"/><Relationship Id="rId30" Type="http://schemas.openxmlformats.org/officeDocument/2006/relationships/hyperlink" Target="https://www.sec.gov/Archives/edgar/data/1821769/000119312521329813/d606117dex105.htm" TargetMode="External"/><Relationship Id="rId31" Type="http://schemas.openxmlformats.org/officeDocument/2006/relationships/hyperlink" Target="https://www.sec.gov/Archives/edgar/data/1821769/000119312521329813/d606117dex105.htm" TargetMode="External"/><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2992</Words>
  <Characters>16083</Characters>
  <CharactersWithSpaces>19159</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