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0001520256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22"/>
          <w:szCs w:val="22"/>
          <w:color w:val="auto"/>
        </w:rPr>
        <w:t>NAVITAS SEMICONDUCTOR CORPORATION 001-39755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3520 CHALLENGER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TORRANCE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90503-1640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844-654-2642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 M. KINZER</w:t>
      </w:r>
    </w:p>
    <w:p>
      <w:pPr>
        <w:spacing w:after="0" w:line="44" w:lineRule="exact"/>
        <w:rPr>
          <w:sz w:val="24"/>
          <w:szCs w:val="24"/>
          <w:color w:val="auto"/>
        </w:rPr>
      </w:pPr>
    </w:p>
    <w:p>
      <w:pPr>
        <w:sectPr>
          <w:pgSz w:w="11900" w:h="16838" w:orient="portrait"/>
          <w:cols w:equalWidth="0" w:num="2">
            <w:col w:w="5740" w:space="620"/>
            <w:col w:w="4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COO, CTO AND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both"/>
        <w:ind w:left="40" w:right="200"/>
        <w:spacing w:after="0" w:line="261" w:lineRule="auto"/>
        <w:rPr>
          <w:sz w:val="20"/>
          <w:szCs w:val="20"/>
          <w:color w:val="auto"/>
        </w:rPr>
      </w:pPr>
      <w:r>
        <w:rPr>
          <w:rFonts w:ascii="Times New Roman" w:cs="Times New Roman" w:eastAsia="Times New Roman" w:hAnsi="Times New Roman"/>
          <w:sz w:val="21"/>
          <w:szCs w:val="21"/>
          <w:color w:val="auto"/>
        </w:rPr>
        <w:t>CLASS A COMMON STOCK, PAR VALUE $0.0001 PER SHARE</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MORGAN STANLEY</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SMITH BARNEY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OPERATIONS</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DEPARTMENT</w:t>
            </w:r>
          </w:p>
        </w:tc>
        <w:tc>
          <w:tcPr>
            <w:tcW w:w="12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6"/>
              </w:rPr>
              <w:t>150000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463516.83</w:t>
            </w:r>
          </w:p>
        </w:tc>
        <w:tc>
          <w:tcPr>
            <w:tcW w:w="0" w:type="dxa"/>
            <w:vAlign w:val="bottom"/>
          </w:tcPr>
          <w:p>
            <w:pPr>
              <w:spacing w:after="0"/>
              <w:rPr>
                <w:sz w:val="1"/>
                <w:szCs w:val="1"/>
                <w:color w:val="auto"/>
              </w:rPr>
            </w:pPr>
          </w:p>
        </w:tc>
      </w:tr>
      <w:tr>
        <w:trPr>
          <w:trHeight w:val="161"/>
        </w:trPr>
        <w:tc>
          <w:tcPr>
            <w:tcW w:w="2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2000 WESTCHESTER</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AVENUE</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PURCHASE  NY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10577-2530</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183457686</w:t>
        <w:tab/>
        <w:t>08/27/2024</w:t>
      </w:r>
      <w:r>
        <w:rPr>
          <w:sz w:val="20"/>
          <w:szCs w:val="20"/>
          <w:color w:val="auto"/>
        </w:rPr>
        <w:tab/>
      </w:r>
      <w:r>
        <w:rPr>
          <w:rFonts w:ascii="Times New Roman" w:cs="Times New Roman" w:eastAsia="Times New Roman" w:hAnsi="Times New Roman"/>
          <w:sz w:val="21"/>
          <w:szCs w:val="21"/>
          <w:color w:val="auto"/>
        </w:rPr>
        <w:t>NASD</w:t>
      </w:r>
    </w:p>
    <w:p>
      <w:pPr>
        <w:spacing w:after="0" w:line="1079" w:lineRule="exact"/>
        <w:rPr>
          <w:sz w:val="24"/>
          <w:szCs w:val="24"/>
          <w:color w:val="auto"/>
        </w:rPr>
      </w:pPr>
    </w:p>
    <w:p>
      <w:pPr>
        <w:sectPr>
          <w:pgSz w:w="11900" w:h="16838" w:orient="portrait"/>
          <w:cols w:equalWidth="0" w:num="3">
            <w:col w:w="2220" w:space="280"/>
            <w:col w:w="47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4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120" w:type="dxa"/>
            <w:vAlign w:val="bottom"/>
          </w:tcPr>
          <w:p>
            <w:pPr>
              <w:spacing w:after="0"/>
              <w:rPr>
                <w:sz w:val="21"/>
                <w:szCs w:val="21"/>
                <w:color w:val="auto"/>
              </w:rPr>
            </w:pPr>
          </w:p>
        </w:tc>
        <w:tc>
          <w:tcPr>
            <w:tcW w:w="14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7"/>
              </w:rPr>
              <w:t>EXERCISE OF</w:t>
            </w:r>
          </w:p>
        </w:tc>
        <w:tc>
          <w:tcPr>
            <w:tcW w:w="0" w:type="dxa"/>
            <w:vAlign w:val="bottom"/>
          </w:tcPr>
          <w:p>
            <w:pPr>
              <w:spacing w:after="0"/>
              <w:rPr>
                <w:sz w:val="1"/>
                <w:szCs w:val="1"/>
                <w:color w:val="auto"/>
              </w:rPr>
            </w:pPr>
          </w:p>
        </w:tc>
      </w:tr>
      <w:tr>
        <w:trPr>
          <w:trHeight w:val="216"/>
        </w:trPr>
        <w:tc>
          <w:tcPr>
            <w:tcW w:w="13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STOCK, PAR</w:t>
            </w:r>
          </w:p>
        </w:tc>
        <w:tc>
          <w:tcPr>
            <w:tcW w:w="1120" w:type="dxa"/>
            <w:vAlign w:val="bottom"/>
          </w:tcPr>
          <w:p>
            <w:pPr>
              <w:spacing w:after="0"/>
              <w:rPr>
                <w:sz w:val="18"/>
                <w:szCs w:val="18"/>
                <w:color w:val="auto"/>
              </w:rPr>
            </w:pPr>
          </w:p>
        </w:tc>
        <w:tc>
          <w:tcPr>
            <w:tcW w:w="14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VALUE</w:t>
            </w:r>
          </w:p>
        </w:tc>
        <w:tc>
          <w:tcPr>
            <w:tcW w:w="2560" w:type="dxa"/>
            <w:vAlign w:val="bottom"/>
            <w:gridSpan w:val="2"/>
          </w:tcPr>
          <w:p>
            <w:pPr>
              <w:ind w:left="140"/>
              <w:spacing w:after="0" w:line="269" w:lineRule="exact"/>
              <w:rPr>
                <w:sz w:val="20"/>
                <w:szCs w:val="20"/>
                <w:color w:val="auto"/>
              </w:rPr>
            </w:pPr>
            <w:r>
              <w:rPr>
                <w:rFonts w:ascii="Times New Roman" w:cs="Times New Roman" w:eastAsia="Times New Roman" w:hAnsi="Times New Roman"/>
                <w:sz w:val="17"/>
                <w:szCs w:val="17"/>
                <w:color w:val="auto"/>
              </w:rPr>
              <w:t xml:space="preserve">05/10/2022 </w:t>
            </w:r>
            <w:r>
              <w:rPr>
                <w:rFonts w:ascii="Times New Roman" w:cs="Times New Roman" w:eastAsia="Times New Roman" w:hAnsi="Times New Roman"/>
                <w:sz w:val="31"/>
                <w:szCs w:val="31"/>
                <w:color w:val="auto"/>
                <w:vertAlign w:val="subscript"/>
              </w:rPr>
              <w:t>STOCK</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$0.0001 PER</w:t>
            </w:r>
          </w:p>
        </w:tc>
        <w:tc>
          <w:tcPr>
            <w:tcW w:w="1120" w:type="dxa"/>
            <w:vAlign w:val="bottom"/>
          </w:tcPr>
          <w:p>
            <w:pPr>
              <w:spacing w:after="0"/>
              <w:rPr>
                <w:sz w:val="21"/>
                <w:szCs w:val="21"/>
                <w:color w:val="auto"/>
              </w:rPr>
            </w:pPr>
          </w:p>
        </w:tc>
        <w:tc>
          <w:tcPr>
            <w:tcW w:w="14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OPTIONS</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SHARE</w:t>
            </w: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5"/>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9"/>
              </w:rPr>
              <w:t>450072</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05/10/2022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3960" w:space="320"/>
            <w:col w:w="696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99" w:lineRule="exact"/>
        <w:rPr>
          <w:sz w:val="20"/>
          <w:szCs w:val="20"/>
          <w:color w:val="auto"/>
        </w:rPr>
      </w:pPr>
    </w:p>
    <w:p>
      <w:pPr>
        <w:ind w:left="940" w:right="72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Sales of shares set forth herein are made solely to satisfy tax withholding obligations of the reporting person in connection with the vesting and settlement of 364,800 restricted stock units on 08/25/2024.</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08/27/2024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Paul D. Delva as attorney-in-fact for Daniel M. Kinzer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2024-08-27T17:39:13Z</dcterms:created>
  <dcterms:modified xsi:type="dcterms:W3CDTF">2024-08-27T17:39:13Z</dcterms:modified>
</cp:coreProperties>
</file>