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drawing>
          <wp:anchor simplePos="0" relativeHeight="251657728" behindDoc="1" locked="0" layoutInCell="0" allowOverlap="1">
            <wp:simplePos x="0" y="0"/>
            <wp:positionH relativeFrom="page">
              <wp:posOffset>233680</wp:posOffset>
            </wp:positionH>
            <wp:positionV relativeFrom="page">
              <wp:posOffset>629285</wp:posOffset>
            </wp:positionV>
            <wp:extent cx="708088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080885" cy="8255"/>
                    </a:xfrm>
                    <a:prstGeom prst="rect">
                      <a:avLst/>
                    </a:prstGeom>
                    <a:noFill/>
                  </pic:spPr>
                </pic:pic>
              </a:graphicData>
            </a:graphic>
          </wp:anchor>
        </w:drawing>
        <w:drawing>
          <wp:anchor simplePos="0" relativeHeight="251657728" behindDoc="1" locked="0" layoutInCell="0" allowOverlap="1">
            <wp:simplePos x="0" y="0"/>
            <wp:positionH relativeFrom="page">
              <wp:posOffset>233680</wp:posOffset>
            </wp:positionH>
            <wp:positionV relativeFrom="page">
              <wp:posOffset>586105</wp:posOffset>
            </wp:positionV>
            <wp:extent cx="7080885" cy="25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080885" cy="25400"/>
                    </a:xfrm>
                    <a:prstGeom prst="rect">
                      <a:avLst/>
                    </a:prstGeom>
                    <a:noFill/>
                  </pic:spPr>
                </pic:pic>
              </a:graphicData>
            </a:graphic>
          </wp:anchor>
        </w:drawing>
        <w:t>UNITED STATES</w:t>
      </w:r>
    </w:p>
    <w:p>
      <w:pPr>
        <w:jc w:val="center"/>
        <w:ind w:right="20"/>
        <w:spacing w:after="0" w:line="209" w:lineRule="auto"/>
        <w:rPr>
          <w:sz w:val="20"/>
          <w:szCs w:val="20"/>
          <w:color w:val="auto"/>
        </w:rPr>
      </w:pPr>
      <w:r>
        <w:rPr>
          <w:rFonts w:ascii="Times New Roman" w:cs="Times New Roman" w:eastAsia="Times New Roman" w:hAnsi="Times New Roman"/>
          <w:sz w:val="22"/>
          <w:szCs w:val="22"/>
          <w:b w:val="1"/>
          <w:bCs w:val="1"/>
          <w:color w:val="auto"/>
        </w:rPr>
        <w:t>SECURITIES AND EXCHANGE COMMISSION</w:t>
      </w:r>
    </w:p>
    <w:p>
      <w:pPr>
        <w:spacing w:after="0" w:line="1"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91"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9"/>
          <w:szCs w:val="29"/>
          <w:b w:val="1"/>
          <w:bCs w:val="1"/>
          <w:color w:val="auto"/>
        </w:rPr>
        <w:t>FORM 8-K</w:t>
      </w:r>
    </w:p>
    <w:p>
      <w:pPr>
        <w:spacing w:after="0" w:line="223"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CURRENT REPORT</w:t>
      </w: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Pursuant to Section 13 or 15(d) of the Securities Exchange Act of 1934</w:t>
      </w:r>
    </w:p>
    <w:p>
      <w:pPr>
        <w:spacing w:after="0" w:line="188"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Date of Report (Date of earliest event reported): January 19, 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2687955</wp:posOffset>
            </wp:positionH>
            <wp:positionV relativeFrom="paragraph">
              <wp:posOffset>173990</wp:posOffset>
            </wp:positionV>
            <wp:extent cx="1774190" cy="3771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74190" cy="3771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0" w:lineRule="exact"/>
        <w:rPr>
          <w:sz w:val="24"/>
          <w:szCs w:val="24"/>
          <w:color w:val="auto"/>
        </w:rPr>
      </w:pPr>
    </w:p>
    <w:p>
      <w:pPr>
        <w:jc w:val="center"/>
        <w:ind w:right="20"/>
        <w:spacing w:after="0"/>
        <w:rPr>
          <w:sz w:val="20"/>
          <w:szCs w:val="20"/>
          <w:color w:val="auto"/>
        </w:rPr>
      </w:pPr>
      <w:r>
        <w:rPr>
          <w:rFonts w:ascii="Calibri" w:cs="Calibri" w:eastAsia="Calibri" w:hAnsi="Calibri"/>
          <w:sz w:val="32"/>
          <w:szCs w:val="32"/>
          <w:b w:val="1"/>
          <w:bCs w:val="1"/>
          <w:color w:val="auto"/>
        </w:rPr>
        <w:t>Navitas Semiconductor Corporaton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17780</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84"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208"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1420" w:type="dxa"/>
            <w:vAlign w:val="bottom"/>
          </w:tcPr>
          <w:p>
            <w:pPr>
              <w:spacing w:after="0"/>
              <w:rPr>
                <w:sz w:val="20"/>
                <w:szCs w:val="20"/>
                <w:color w:val="auto"/>
              </w:rPr>
            </w:pPr>
          </w:p>
        </w:tc>
        <w:tc>
          <w:tcPr>
            <w:tcW w:w="1400" w:type="dxa"/>
            <w:vAlign w:val="bottom"/>
          </w:tcPr>
          <w:p>
            <w:pPr>
              <w:jc w:val="center"/>
              <w:ind w:right="570"/>
              <w:spacing w:after="0"/>
              <w:rPr>
                <w:sz w:val="20"/>
                <w:szCs w:val="20"/>
                <w:color w:val="auto"/>
              </w:rPr>
            </w:pPr>
            <w:r>
              <w:rPr>
                <w:rFonts w:ascii="Times New Roman" w:cs="Times New Roman" w:eastAsia="Times New Roman" w:hAnsi="Times New Roman"/>
                <w:sz w:val="18"/>
                <w:szCs w:val="18"/>
                <w:b w:val="1"/>
                <w:bCs w:val="1"/>
                <w:color w:val="auto"/>
              </w:rPr>
              <w:t>Delaware</w:t>
            </w:r>
          </w:p>
        </w:tc>
        <w:tc>
          <w:tcPr>
            <w:tcW w:w="4420" w:type="dxa"/>
            <w:vAlign w:val="bottom"/>
            <w:gridSpan w:val="4"/>
          </w:tcPr>
          <w:p>
            <w:pPr>
              <w:jc w:val="right"/>
              <w:ind w:right="1150"/>
              <w:spacing w:after="0"/>
              <w:rPr>
                <w:sz w:val="20"/>
                <w:szCs w:val="20"/>
                <w:color w:val="auto"/>
              </w:rPr>
            </w:pPr>
            <w:r>
              <w:rPr>
                <w:rFonts w:ascii="Times New Roman" w:cs="Times New Roman" w:eastAsia="Times New Roman" w:hAnsi="Times New Roman"/>
                <w:sz w:val="18"/>
                <w:szCs w:val="18"/>
                <w:b w:val="1"/>
                <w:bCs w:val="1"/>
                <w:color w:val="auto"/>
              </w:rPr>
              <w:t>001-39755</w:t>
            </w: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580" w:type="dxa"/>
            <w:vAlign w:val="bottom"/>
            <w:gridSpan w:val="2"/>
          </w:tcPr>
          <w:p>
            <w:pPr>
              <w:jc w:val="right"/>
              <w:ind w:right="1360"/>
              <w:spacing w:after="0"/>
              <w:rPr>
                <w:sz w:val="20"/>
                <w:szCs w:val="20"/>
                <w:color w:val="auto"/>
              </w:rPr>
            </w:pPr>
            <w:r>
              <w:rPr>
                <w:rFonts w:ascii="Times New Roman" w:cs="Times New Roman" w:eastAsia="Times New Roman" w:hAnsi="Times New Roman"/>
                <w:sz w:val="18"/>
                <w:szCs w:val="18"/>
                <w:b w:val="1"/>
                <w:bCs w:val="1"/>
                <w:color w:val="auto"/>
              </w:rPr>
              <w:t>85-2560226</w:t>
            </w:r>
          </w:p>
        </w:tc>
      </w:tr>
      <w:tr>
        <w:trPr>
          <w:trHeight w:val="218"/>
        </w:trPr>
        <w:tc>
          <w:tcPr>
            <w:tcW w:w="2820" w:type="dxa"/>
            <w:vAlign w:val="bottom"/>
            <w:tcBorders>
              <w:top w:val="single" w:sz="8" w:color="auto"/>
            </w:tcBorders>
            <w:gridSpan w:val="2"/>
          </w:tcPr>
          <w:p>
            <w:pPr>
              <w:jc w:val="center"/>
              <w:ind w:left="670"/>
              <w:spacing w:after="0"/>
              <w:rPr>
                <w:sz w:val="20"/>
                <w:szCs w:val="20"/>
                <w:color w:val="auto"/>
              </w:rPr>
            </w:pPr>
            <w:r>
              <w:rPr>
                <w:rFonts w:ascii="Times New Roman" w:cs="Times New Roman" w:eastAsia="Times New Roman" w:hAnsi="Times New Roman"/>
                <w:sz w:val="18"/>
                <w:szCs w:val="18"/>
                <w:color w:val="auto"/>
              </w:rPr>
              <w:t>(State or other jurisdiction</w:t>
            </w:r>
          </w:p>
        </w:tc>
        <w:tc>
          <w:tcPr>
            <w:tcW w:w="76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3580" w:type="dxa"/>
            <w:vAlign w:val="bottom"/>
            <w:tcBorders>
              <w:top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color w:val="auto"/>
              </w:rPr>
              <w:t>(Commission File Number)</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580" w:type="dxa"/>
            <w:vAlign w:val="bottom"/>
            <w:tcBorders>
              <w:top w:val="single" w:sz="8" w:color="auto"/>
            </w:tcBorders>
            <w:gridSpan w:val="2"/>
          </w:tcPr>
          <w:p>
            <w:pPr>
              <w:ind w:left="560"/>
              <w:spacing w:after="0"/>
              <w:rPr>
                <w:sz w:val="20"/>
                <w:szCs w:val="20"/>
                <w:color w:val="auto"/>
              </w:rPr>
            </w:pPr>
            <w:r>
              <w:rPr>
                <w:rFonts w:ascii="Times New Roman" w:cs="Times New Roman" w:eastAsia="Times New Roman" w:hAnsi="Times New Roman"/>
                <w:sz w:val="18"/>
                <w:szCs w:val="18"/>
                <w:color w:val="auto"/>
              </w:rPr>
              <w:t>(IRS Employer Identification No.)</w:t>
            </w:r>
          </w:p>
        </w:tc>
      </w:tr>
      <w:tr>
        <w:trPr>
          <w:trHeight w:val="234"/>
        </w:trPr>
        <w:tc>
          <w:tcPr>
            <w:tcW w:w="2820" w:type="dxa"/>
            <w:vAlign w:val="bottom"/>
            <w:gridSpan w:val="2"/>
          </w:tcPr>
          <w:p>
            <w:pPr>
              <w:jc w:val="center"/>
              <w:ind w:left="670"/>
              <w:spacing w:after="0"/>
              <w:rPr>
                <w:sz w:val="20"/>
                <w:szCs w:val="20"/>
                <w:color w:val="auto"/>
              </w:rPr>
            </w:pPr>
            <w:r>
              <w:rPr>
                <w:rFonts w:ascii="Times New Roman" w:cs="Times New Roman" w:eastAsia="Times New Roman" w:hAnsi="Times New Roman"/>
                <w:sz w:val="18"/>
                <w:szCs w:val="18"/>
                <w:color w:val="auto"/>
                <w:w w:val="99"/>
              </w:rPr>
              <w:t>of incorporation)</w:t>
            </w:r>
          </w:p>
        </w:tc>
        <w:tc>
          <w:tcPr>
            <w:tcW w:w="7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04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180" w:type="dxa"/>
            <w:vAlign w:val="bottom"/>
          </w:tcPr>
          <w:p>
            <w:pPr>
              <w:spacing w:after="0"/>
              <w:rPr>
                <w:sz w:val="20"/>
                <w:szCs w:val="20"/>
                <w:color w:val="auto"/>
              </w:rPr>
            </w:pPr>
          </w:p>
        </w:tc>
        <w:tc>
          <w:tcPr>
            <w:tcW w:w="1400" w:type="dxa"/>
            <w:vAlign w:val="bottom"/>
          </w:tcPr>
          <w:p>
            <w:pPr>
              <w:spacing w:after="0"/>
              <w:rPr>
                <w:sz w:val="20"/>
                <w:szCs w:val="20"/>
                <w:color w:val="auto"/>
              </w:rPr>
            </w:pPr>
          </w:p>
        </w:tc>
      </w:tr>
      <w:tr>
        <w:trPr>
          <w:trHeight w:val="527"/>
        </w:trPr>
        <w:tc>
          <w:tcPr>
            <w:tcW w:w="14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3040" w:type="dxa"/>
            <w:vAlign w:val="bottom"/>
            <w:gridSpan w:val="3"/>
          </w:tcPr>
          <w:p>
            <w:pPr>
              <w:ind w:left="140"/>
              <w:spacing w:after="0"/>
              <w:rPr>
                <w:sz w:val="20"/>
                <w:szCs w:val="20"/>
                <w:color w:val="auto"/>
              </w:rPr>
            </w:pPr>
            <w:r>
              <w:rPr>
                <w:rFonts w:ascii="Times New Roman" w:cs="Times New Roman" w:eastAsia="Times New Roman" w:hAnsi="Times New Roman"/>
                <w:sz w:val="18"/>
                <w:szCs w:val="18"/>
                <w:b w:val="1"/>
                <w:bCs w:val="1"/>
                <w:color w:val="auto"/>
              </w:rPr>
              <w:t>3520 Challenger Street, Torrance,</w:t>
            </w:r>
          </w:p>
        </w:tc>
        <w:tc>
          <w:tcPr>
            <w:tcW w:w="1800" w:type="dxa"/>
            <w:vAlign w:val="bottom"/>
            <w:gridSpan w:val="4"/>
          </w:tcPr>
          <w:p>
            <w:pPr>
              <w:ind w:left="100"/>
              <w:spacing w:after="0"/>
              <w:rPr>
                <w:sz w:val="20"/>
                <w:szCs w:val="20"/>
                <w:color w:val="auto"/>
              </w:rPr>
            </w:pPr>
            <w:r>
              <w:rPr>
                <w:rFonts w:ascii="Times New Roman" w:cs="Times New Roman" w:eastAsia="Times New Roman" w:hAnsi="Times New Roman"/>
                <w:sz w:val="18"/>
                <w:szCs w:val="18"/>
                <w:b w:val="1"/>
                <w:bCs w:val="1"/>
                <w:color w:val="auto"/>
              </w:rPr>
              <w:t>California</w:t>
            </w:r>
          </w:p>
        </w:tc>
        <w:tc>
          <w:tcPr>
            <w:tcW w:w="2180" w:type="dxa"/>
            <w:vAlign w:val="bottom"/>
          </w:tcPr>
          <w:p>
            <w:pPr>
              <w:jc w:val="right"/>
              <w:ind w:right="690"/>
              <w:spacing w:after="0"/>
              <w:rPr>
                <w:sz w:val="20"/>
                <w:szCs w:val="20"/>
                <w:color w:val="auto"/>
              </w:rPr>
            </w:pPr>
            <w:r>
              <w:rPr>
                <w:rFonts w:ascii="Times New Roman" w:cs="Times New Roman" w:eastAsia="Times New Roman" w:hAnsi="Times New Roman"/>
                <w:sz w:val="18"/>
                <w:szCs w:val="18"/>
                <w:b w:val="1"/>
                <w:bCs w:val="1"/>
                <w:color w:val="auto"/>
              </w:rPr>
              <w:t>90503-1640</w:t>
            </w:r>
          </w:p>
        </w:tc>
        <w:tc>
          <w:tcPr>
            <w:tcW w:w="1400" w:type="dxa"/>
            <w:vAlign w:val="bottom"/>
          </w:tcPr>
          <w:p>
            <w:pPr>
              <w:spacing w:after="0"/>
              <w:rPr>
                <w:sz w:val="24"/>
                <w:szCs w:val="24"/>
                <w:color w:val="auto"/>
              </w:rPr>
            </w:pPr>
          </w:p>
        </w:tc>
      </w:tr>
      <w:tr>
        <w:trPr>
          <w:trHeight w:val="228"/>
        </w:trPr>
        <w:tc>
          <w:tcPr>
            <w:tcW w:w="1420" w:type="dxa"/>
            <w:vAlign w:val="bottom"/>
          </w:tcPr>
          <w:p>
            <w:pPr>
              <w:spacing w:after="0"/>
              <w:rPr>
                <w:sz w:val="19"/>
                <w:szCs w:val="19"/>
                <w:color w:val="auto"/>
              </w:rPr>
            </w:pPr>
          </w:p>
        </w:tc>
        <w:tc>
          <w:tcPr>
            <w:tcW w:w="1400" w:type="dxa"/>
            <w:vAlign w:val="bottom"/>
            <w:tcBorders>
              <w:top w:val="single" w:sz="8" w:color="auto"/>
            </w:tcBorders>
          </w:tcPr>
          <w:p>
            <w:pPr>
              <w:spacing w:after="0"/>
              <w:rPr>
                <w:sz w:val="19"/>
                <w:szCs w:val="19"/>
                <w:color w:val="auto"/>
              </w:rPr>
            </w:pPr>
          </w:p>
        </w:tc>
        <w:tc>
          <w:tcPr>
            <w:tcW w:w="3040" w:type="dxa"/>
            <w:vAlign w:val="bottom"/>
            <w:tcBorders>
              <w:top w:val="single" w:sz="8" w:color="auto"/>
            </w:tcBorders>
            <w:gridSpan w:val="3"/>
          </w:tcPr>
          <w:p>
            <w:pPr>
              <w:ind w:left="8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1380" w:type="dxa"/>
            <w:vAlign w:val="bottom"/>
            <w:tcBorders>
              <w:top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2180" w:type="dxa"/>
            <w:vAlign w:val="bottom"/>
            <w:tcBorders>
              <w:top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(Zip Code)</w:t>
            </w:r>
          </w:p>
        </w:tc>
        <w:tc>
          <w:tcPr>
            <w:tcW w:w="1400" w:type="dxa"/>
            <w:vAlign w:val="bottom"/>
          </w:tcPr>
          <w:p>
            <w:pPr>
              <w:spacing w:after="0"/>
              <w:rPr>
                <w:sz w:val="19"/>
                <w:szCs w:val="19"/>
                <w:color w:val="auto"/>
              </w:rPr>
            </w:pPr>
          </w:p>
        </w:tc>
      </w:tr>
    </w:tbl>
    <w:p>
      <w:pPr>
        <w:spacing w:after="0" w:line="229"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 xml:space="preserve">Registrant’s telephone number, including area code: </w:t>
      </w:r>
      <w:r>
        <w:rPr>
          <w:rFonts w:ascii="Times New Roman" w:cs="Times New Roman" w:eastAsia="Times New Roman" w:hAnsi="Times New Roman"/>
          <w:sz w:val="18"/>
          <w:szCs w:val="18"/>
          <w:b w:val="1"/>
          <w:bCs w:val="1"/>
          <w:color w:val="auto"/>
        </w:rPr>
        <w:t>(844) 654-2642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1264920</wp:posOffset>
            </wp:positionH>
            <wp:positionV relativeFrom="paragraph">
              <wp:posOffset>208280</wp:posOffset>
            </wp:positionV>
            <wp:extent cx="427736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4277360" cy="8890"/>
                    </a:xfrm>
                    <a:prstGeom prst="rect">
                      <a:avLst/>
                    </a:prstGeom>
                    <a:noFill/>
                  </pic:spPr>
                </pic:pic>
              </a:graphicData>
            </a:graphic>
          </wp:anchor>
        </w:drawing>
      </w:r>
    </w:p>
    <w:p>
      <w:pPr>
        <w:spacing w:after="0" w:line="317" w:lineRule="exact"/>
        <w:rPr>
          <w:sz w:val="24"/>
          <w:szCs w:val="24"/>
          <w:color w:val="auto"/>
        </w:rPr>
      </w:pPr>
    </w:p>
    <w:p>
      <w:pPr>
        <w:ind w:left="2980"/>
        <w:spacing w:after="0"/>
        <w:rPr>
          <w:sz w:val="20"/>
          <w:szCs w:val="20"/>
          <w:color w:val="auto"/>
        </w:rPr>
      </w:pPr>
      <w:r>
        <w:rPr>
          <w:rFonts w:ascii="Times New Roman" w:cs="Times New Roman" w:eastAsia="Times New Roman" w:hAnsi="Times New Roman"/>
          <w:sz w:val="18"/>
          <w:szCs w:val="18"/>
          <w:color w:val="auto"/>
        </w:rPr>
        <w:t>(Former Name or Former Address, if Changed Since Last Report)</w:t>
      </w:r>
    </w:p>
    <w:p>
      <w:pPr>
        <w:spacing w:after="0" w:line="333" w:lineRule="exact"/>
        <w:rPr>
          <w:sz w:val="24"/>
          <w:szCs w:val="24"/>
          <w:color w:val="auto"/>
        </w:rPr>
      </w:pPr>
    </w:p>
    <w:p>
      <w:pPr>
        <w:ind w:right="640"/>
        <w:spacing w:after="0" w:line="237"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obligations of the registrant under any of the following provisions:</w:t>
      </w:r>
    </w:p>
    <w:p>
      <w:pPr>
        <w:spacing w:after="0" w:line="239" w:lineRule="exact"/>
        <w:rPr>
          <w:sz w:val="24"/>
          <w:szCs w:val="24"/>
          <w:color w:val="auto"/>
        </w:rPr>
      </w:pPr>
    </w:p>
    <w:p>
      <w:pPr>
        <w:ind w:left="520" w:hanging="494"/>
        <w:spacing w:after="0"/>
        <w:tabs>
          <w:tab w:leader="none" w:pos="52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62" w:lineRule="exact"/>
        <w:rPr>
          <w:rFonts w:ascii="MS PGothic" w:cs="MS PGothic" w:eastAsia="MS PGothic" w:hAnsi="MS PGothic"/>
          <w:sz w:val="22"/>
          <w:szCs w:val="22"/>
          <w:color w:val="auto"/>
        </w:rPr>
      </w:pPr>
    </w:p>
    <w:p>
      <w:pPr>
        <w:ind w:left="520" w:hanging="494"/>
        <w:spacing w:after="0" w:line="225" w:lineRule="auto"/>
        <w:tabs>
          <w:tab w:leader="none" w:pos="52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56" w:lineRule="exact"/>
        <w:rPr>
          <w:rFonts w:ascii="MS PGothic" w:cs="MS PGothic" w:eastAsia="MS PGothic" w:hAnsi="MS PGothic"/>
          <w:sz w:val="22"/>
          <w:szCs w:val="22"/>
          <w:color w:val="auto"/>
        </w:rPr>
      </w:pPr>
    </w:p>
    <w:p>
      <w:pPr>
        <w:ind w:left="520" w:hanging="494"/>
        <w:spacing w:after="0" w:line="225" w:lineRule="auto"/>
        <w:tabs>
          <w:tab w:leader="none" w:pos="52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56" w:lineRule="exact"/>
        <w:rPr>
          <w:rFonts w:ascii="MS PGothic" w:cs="MS PGothic" w:eastAsia="MS PGothic" w:hAnsi="MS PGothic"/>
          <w:sz w:val="22"/>
          <w:szCs w:val="22"/>
          <w:color w:val="auto"/>
        </w:rPr>
      </w:pPr>
    </w:p>
    <w:p>
      <w:pPr>
        <w:ind w:left="520" w:hanging="494"/>
        <w:spacing w:after="0" w:line="225" w:lineRule="auto"/>
        <w:tabs>
          <w:tab w:leader="none" w:pos="52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7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27" w:lineRule="exact"/>
        <w:rPr>
          <w:sz w:val="24"/>
          <w:szCs w:val="24"/>
          <w:color w:val="auto"/>
        </w:rPr>
      </w:pPr>
    </w:p>
    <w:tbl>
      <w:tblPr>
        <w:tblLayout w:type="fixed"/>
        <w:tblInd w:w="10" w:type="dxa"/>
        <w:tblCellMar>
          <w:top w:w="0" w:type="dxa"/>
          <w:left w:w="0" w:type="dxa"/>
          <w:bottom w:w="0" w:type="dxa"/>
          <w:right w:w="0" w:type="dxa"/>
        </w:tblCellMar>
      </w:tblPr>
      <w:tr>
        <w:trPr>
          <w:trHeight w:val="236"/>
        </w:trPr>
        <w:tc>
          <w:tcPr>
            <w:tcW w:w="418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Title of each class</w:t>
            </w:r>
          </w:p>
        </w:tc>
        <w:tc>
          <w:tcPr>
            <w:tcW w:w="236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Trading Symbol(s)</w:t>
            </w:r>
          </w:p>
        </w:tc>
        <w:tc>
          <w:tcPr>
            <w:tcW w:w="472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Name of each exchange on which registered</w:t>
            </w:r>
          </w:p>
        </w:tc>
        <w:tc>
          <w:tcPr>
            <w:tcW w:w="0" w:type="dxa"/>
            <w:vAlign w:val="bottom"/>
          </w:tcPr>
          <w:p>
            <w:pPr>
              <w:spacing w:after="0"/>
              <w:rPr>
                <w:sz w:val="1"/>
                <w:szCs w:val="1"/>
                <w:color w:val="auto"/>
              </w:rPr>
            </w:pPr>
          </w:p>
        </w:tc>
      </w:tr>
      <w:tr>
        <w:trPr>
          <w:trHeight w:val="155"/>
        </w:trPr>
        <w:tc>
          <w:tcPr>
            <w:tcW w:w="4180" w:type="dxa"/>
            <w:vAlign w:val="bottom"/>
            <w:tcBorders>
              <w:left w:val="single" w:sz="8" w:color="auto"/>
              <w:right w:val="single" w:sz="8" w:color="auto"/>
            </w:tcBorders>
          </w:tcPr>
          <w:p>
            <w:pPr>
              <w:jc w:val="center"/>
              <w:spacing w:after="0" w:line="155" w:lineRule="exact"/>
              <w:rPr>
                <w:sz w:val="20"/>
                <w:szCs w:val="20"/>
                <w:color w:val="auto"/>
              </w:rPr>
            </w:pPr>
            <w:r>
              <w:rPr>
                <w:rFonts w:ascii="Times New Roman" w:cs="Times New Roman" w:eastAsia="Times New Roman" w:hAnsi="Times New Roman"/>
                <w:sz w:val="16"/>
                <w:szCs w:val="16"/>
                <w:b w:val="1"/>
                <w:bCs w:val="1"/>
                <w:color w:val="auto"/>
              </w:rPr>
              <w:t>Class A Common Stock,</w:t>
            </w:r>
          </w:p>
        </w:tc>
        <w:tc>
          <w:tcPr>
            <w:tcW w:w="23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rPr>
              <w:t>NVTS</w:t>
            </w:r>
          </w:p>
        </w:tc>
        <w:tc>
          <w:tcPr>
            <w:tcW w:w="4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rPr>
              <w:t>The Nasdaq Stock Market LLC</w:t>
            </w:r>
          </w:p>
        </w:tc>
        <w:tc>
          <w:tcPr>
            <w:tcW w:w="0" w:type="dxa"/>
            <w:vAlign w:val="bottom"/>
          </w:tcPr>
          <w:p>
            <w:pPr>
              <w:spacing w:after="0"/>
              <w:rPr>
                <w:sz w:val="1"/>
                <w:szCs w:val="1"/>
                <w:color w:val="auto"/>
              </w:rPr>
            </w:pPr>
          </w:p>
        </w:tc>
      </w:tr>
      <w:tr>
        <w:trPr>
          <w:trHeight w:val="129"/>
        </w:trPr>
        <w:tc>
          <w:tcPr>
            <w:tcW w:w="41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rPr>
              <w:t>par value $0.0001 per share</w:t>
            </w:r>
          </w:p>
        </w:tc>
        <w:tc>
          <w:tcPr>
            <w:tcW w:w="2360" w:type="dxa"/>
            <w:vAlign w:val="bottom"/>
            <w:tcBorders>
              <w:right w:val="single" w:sz="8" w:color="auto"/>
            </w:tcBorders>
            <w:vMerge w:val="continue"/>
          </w:tcPr>
          <w:p>
            <w:pPr>
              <w:spacing w:after="0"/>
              <w:rPr>
                <w:sz w:val="11"/>
                <w:szCs w:val="11"/>
                <w:color w:val="auto"/>
              </w:rPr>
            </w:pPr>
          </w:p>
        </w:tc>
        <w:tc>
          <w:tcPr>
            <w:tcW w:w="47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85"/>
        </w:trPr>
        <w:tc>
          <w:tcPr>
            <w:tcW w:w="4180" w:type="dxa"/>
            <w:vAlign w:val="bottom"/>
            <w:tcBorders>
              <w:left w:val="single" w:sz="8" w:color="auto"/>
              <w:bottom w:val="single" w:sz="8" w:color="auto"/>
              <w:right w:val="single" w:sz="8" w:color="auto"/>
            </w:tcBorders>
            <w:vMerge w:val="continue"/>
          </w:tcPr>
          <w:p>
            <w:pPr>
              <w:spacing w:after="0"/>
              <w:rPr>
                <w:sz w:val="7"/>
                <w:szCs w:val="7"/>
                <w:color w:val="auto"/>
              </w:rPr>
            </w:pPr>
          </w:p>
        </w:tc>
        <w:tc>
          <w:tcPr>
            <w:tcW w:w="2360" w:type="dxa"/>
            <w:vAlign w:val="bottom"/>
            <w:tcBorders>
              <w:bottom w:val="single" w:sz="8" w:color="auto"/>
              <w:right w:val="single" w:sz="8" w:color="auto"/>
            </w:tcBorders>
          </w:tcPr>
          <w:p>
            <w:pPr>
              <w:spacing w:after="0"/>
              <w:rPr>
                <w:sz w:val="7"/>
                <w:szCs w:val="7"/>
                <w:color w:val="auto"/>
              </w:rPr>
            </w:pPr>
          </w:p>
        </w:tc>
        <w:tc>
          <w:tcPr>
            <w:tcW w:w="47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4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w:t>
      </w:r>
    </w:p>
    <w:p>
      <w:pPr>
        <w:spacing w:after="0" w:line="205" w:lineRule="auto"/>
        <w:rPr>
          <w:sz w:val="20"/>
          <w:szCs w:val="20"/>
          <w:color w:val="auto"/>
        </w:rPr>
      </w:pPr>
      <w:r>
        <w:rPr>
          <w:rFonts w:ascii="Times New Roman" w:cs="Times New Roman" w:eastAsia="Times New Roman" w:hAnsi="Times New Roman"/>
          <w:sz w:val="18"/>
          <w:szCs w:val="18"/>
          <w:color w:val="auto"/>
        </w:rPr>
        <w:t>chapter) or Rule 12b-2 of the Securities Exchange Act of 1934 (§240.12b-2 of this chapter).</w:t>
      </w:r>
    </w:p>
    <w:p>
      <w:pPr>
        <w:spacing w:after="0" w:line="1"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192" w:lineRule="exact"/>
        <w:rPr>
          <w:sz w:val="24"/>
          <w:szCs w:val="24"/>
          <w:color w:val="auto"/>
        </w:rPr>
      </w:pPr>
    </w:p>
    <w:p>
      <w:pPr>
        <w:ind w:right="180"/>
        <w:spacing w:after="0" w:line="222"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1329055</wp:posOffset>
            </wp:positionV>
            <wp:extent cx="715772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57720" cy="42545"/>
                    </a:xfrm>
                    <a:prstGeom prst="rect">
                      <a:avLst/>
                    </a:prstGeom>
                    <a:noFill/>
                  </pic:spPr>
                </pic:pic>
              </a:graphicData>
            </a:graphic>
          </wp:anchor>
        </w:drawing>
        <w:drawing>
          <wp:anchor simplePos="0" relativeHeight="251657728" behindDoc="1" locked="0" layoutInCell="0" allowOverlap="1">
            <wp:simplePos x="0" y="0"/>
            <wp:positionH relativeFrom="column">
              <wp:posOffset>30480</wp:posOffset>
            </wp:positionH>
            <wp:positionV relativeFrom="paragraph">
              <wp:posOffset>784860</wp:posOffset>
            </wp:positionV>
            <wp:extent cx="7080885" cy="254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080885" cy="25400"/>
                    </a:xfrm>
                    <a:prstGeom prst="rect">
                      <a:avLst/>
                    </a:prstGeom>
                    <a:noFill/>
                  </pic:spPr>
                </pic:pic>
              </a:graphicData>
            </a:graphic>
          </wp:anchor>
        </w:drawing>
        <w:drawing>
          <wp:anchor simplePos="0" relativeHeight="251657728" behindDoc="1" locked="0" layoutInCell="0" allowOverlap="1">
            <wp:simplePos x="0" y="0"/>
            <wp:positionH relativeFrom="column">
              <wp:posOffset>30480</wp:posOffset>
            </wp:positionH>
            <wp:positionV relativeFrom="paragraph">
              <wp:posOffset>758825</wp:posOffset>
            </wp:positionV>
            <wp:extent cx="708088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080885" cy="8255"/>
                    </a:xfrm>
                    <a:prstGeom prst="rect">
                      <a:avLst/>
                    </a:prstGeom>
                    <a:noFill/>
                  </pic:spPr>
                </pic:pic>
              </a:graphicData>
            </a:graphic>
          </wp:anchor>
        </w:drawing>
      </w:r>
    </w:p>
    <w:p>
      <w:pPr>
        <w:sectPr>
          <w:pgSz w:w="11900" w:h="16838" w:orient="portrait"/>
          <w:cols w:equalWidth="0" w:num="1">
            <w:col w:w="11260"/>
          </w:cols>
          <w:pgMar w:left="320" w:top="1287" w:right="31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color w:val="auto"/>
        </w:rPr>
        <w:t>Item 8.01. Other Events.</w:t>
      </w:r>
    </w:p>
    <w:p>
      <w:pPr>
        <w:spacing w:after="0" w:line="21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18"/>
          <w:szCs w:val="18"/>
          <w:color w:val="auto"/>
        </w:rPr>
        <w:t>On January 19, 2023, Navitas Semiconductor Corporation issued a press release to announce an agreement to acquire the remaining minority interest in a silicon control IC joint venture from the joint venture partner. The press release is included as Exhibit 99.1 and incorporated by reference in this report.</w:t>
      </w: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9.01. Financial Statements and Exhibits.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 Exhibits.</w:t>
      </w:r>
    </w:p>
    <w:p>
      <w:pPr>
        <w:spacing w:after="0" w:line="264" w:lineRule="exact"/>
        <w:rPr>
          <w:sz w:val="20"/>
          <w:szCs w:val="20"/>
          <w:color w:val="auto"/>
        </w:rPr>
      </w:pPr>
    </w:p>
    <w:tbl>
      <w:tblPr>
        <w:tblLayout w:type="fixed"/>
        <w:tblInd w:w="80" w:type="dxa"/>
        <w:tblCellMar>
          <w:top w:w="0" w:type="dxa"/>
          <w:left w:w="0" w:type="dxa"/>
          <w:bottom w:w="0" w:type="dxa"/>
          <w:right w:w="0" w:type="dxa"/>
        </w:tblCellMar>
      </w:tblPr>
      <w:tr>
        <w:trPr>
          <w:trHeight w:val="184"/>
        </w:trPr>
        <w:tc>
          <w:tcPr>
            <w:tcW w:w="110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Exhibit</w:t>
            </w:r>
          </w:p>
        </w:tc>
        <w:tc>
          <w:tcPr>
            <w:tcW w:w="2640" w:type="dxa"/>
            <w:vAlign w:val="bottom"/>
            <w:vMerge w:val="restart"/>
          </w:tcPr>
          <w:p>
            <w:pPr>
              <w:spacing w:after="0"/>
              <w:rPr>
                <w:sz w:val="20"/>
                <w:szCs w:val="20"/>
                <w:color w:val="auto"/>
              </w:rPr>
            </w:pPr>
            <w:r>
              <w:rPr>
                <w:rFonts w:ascii="Times New Roman" w:cs="Times New Roman" w:eastAsia="Times New Roman" w:hAnsi="Times New Roman"/>
                <w:sz w:val="16"/>
                <w:szCs w:val="16"/>
                <w:b w:val="1"/>
                <w:bCs w:val="1"/>
                <w:color w:val="auto"/>
              </w:rPr>
              <w:t>Description</w:t>
            </w:r>
          </w:p>
        </w:tc>
        <w:tc>
          <w:tcPr>
            <w:tcW w:w="0" w:type="dxa"/>
            <w:vAlign w:val="bottom"/>
          </w:tcPr>
          <w:p>
            <w:pPr>
              <w:spacing w:after="0"/>
              <w:rPr>
                <w:sz w:val="1"/>
                <w:szCs w:val="1"/>
                <w:color w:val="auto"/>
              </w:rPr>
            </w:pPr>
          </w:p>
        </w:tc>
      </w:tr>
      <w:tr>
        <w:trPr>
          <w:trHeight w:val="211"/>
        </w:trPr>
        <w:tc>
          <w:tcPr>
            <w:tcW w:w="110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Number</w:t>
            </w:r>
          </w:p>
        </w:tc>
        <w:tc>
          <w:tcPr>
            <w:tcW w:w="26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4"/>
        </w:trPr>
        <w:tc>
          <w:tcPr>
            <w:tcW w:w="1100" w:type="dxa"/>
            <w:vAlign w:val="bottom"/>
          </w:tcPr>
          <w:p>
            <w:pPr>
              <w:spacing w:after="0" w:line="194" w:lineRule="exact"/>
              <w:rPr>
                <w:sz w:val="20"/>
                <w:szCs w:val="20"/>
                <w:color w:val="auto"/>
              </w:rPr>
            </w:pPr>
            <w:r>
              <w:rPr>
                <w:rFonts w:ascii="Times New Roman" w:cs="Times New Roman" w:eastAsia="Times New Roman" w:hAnsi="Times New Roman"/>
                <w:sz w:val="18"/>
                <w:szCs w:val="18"/>
                <w:color w:val="auto"/>
              </w:rPr>
              <w:t>99.1</w:t>
            </w:r>
          </w:p>
        </w:tc>
        <w:tc>
          <w:tcPr>
            <w:tcW w:w="2640" w:type="dxa"/>
            <w:vAlign w:val="bottom"/>
            <w:tcBorders>
              <w:bottom w:val="single" w:sz="8" w:color="0000FF"/>
            </w:tcBorders>
          </w:tcPr>
          <w:p>
            <w:pPr>
              <w:spacing w:after="0" w:line="194" w:lineRule="exact"/>
              <w:rPr>
                <w:sz w:val="20"/>
                <w:szCs w:val="20"/>
                <w:color w:val="auto"/>
              </w:rPr>
            </w:pPr>
            <w:r>
              <w:rPr>
                <w:rFonts w:ascii="Times New Roman" w:cs="Times New Roman" w:eastAsia="Times New Roman" w:hAnsi="Times New Roman"/>
                <w:sz w:val="18"/>
                <w:szCs w:val="18"/>
                <w:color w:val="0000FF"/>
                <w:w w:val="99"/>
              </w:rPr>
              <w:t>Press release dated January 19, 2023</w:t>
            </w:r>
          </w:p>
        </w:tc>
        <w:tc>
          <w:tcPr>
            <w:tcW w:w="0" w:type="dxa"/>
            <w:vAlign w:val="bottom"/>
          </w:tcPr>
          <w:p>
            <w:pPr>
              <w:spacing w:after="0"/>
              <w:rPr>
                <w:sz w:val="1"/>
                <w:szCs w:val="1"/>
                <w:color w:val="auto"/>
              </w:rPr>
            </w:pPr>
          </w:p>
        </w:tc>
      </w:tr>
      <w:tr>
        <w:trPr>
          <w:trHeight w:val="250"/>
        </w:trPr>
        <w:tc>
          <w:tcPr>
            <w:tcW w:w="1100" w:type="dxa"/>
            <w:vAlign w:val="bottom"/>
          </w:tcPr>
          <w:p>
            <w:pPr>
              <w:spacing w:after="0"/>
              <w:rPr>
                <w:sz w:val="20"/>
                <w:szCs w:val="20"/>
                <w:color w:val="auto"/>
              </w:rPr>
            </w:pPr>
            <w:r>
              <w:rPr>
                <w:rFonts w:ascii="Times New Roman" w:cs="Times New Roman" w:eastAsia="Times New Roman" w:hAnsi="Times New Roman"/>
                <w:sz w:val="18"/>
                <w:szCs w:val="18"/>
                <w:color w:val="auto"/>
              </w:rPr>
              <w:t>104</w:t>
            </w:r>
          </w:p>
        </w:tc>
        <w:tc>
          <w:tcPr>
            <w:tcW w:w="2640" w:type="dxa"/>
            <w:vAlign w:val="bottom"/>
          </w:tcPr>
          <w:p>
            <w:pPr>
              <w:spacing w:after="0"/>
              <w:rPr>
                <w:sz w:val="20"/>
                <w:szCs w:val="20"/>
                <w:color w:val="auto"/>
              </w:rPr>
            </w:pPr>
            <w:r>
              <w:rPr>
                <w:rFonts w:ascii="Times New Roman" w:cs="Times New Roman" w:eastAsia="Times New Roman" w:hAnsi="Times New Roman"/>
                <w:sz w:val="18"/>
                <w:szCs w:val="18"/>
                <w:color w:val="auto"/>
              </w:rPr>
              <w:t>Cover Page Interactive Data File</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43"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199"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NAVITAS SEMICONDUCTOR CORPORATION</w:t>
      </w:r>
    </w:p>
    <w:p>
      <w:pPr>
        <w:spacing w:after="0" w:line="3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Dated: January 19, 2023</w:t>
      </w:r>
    </w:p>
    <w:p>
      <w:pPr>
        <w:spacing w:after="0" w:line="23" w:lineRule="exact"/>
        <w:rPr>
          <w:sz w:val="20"/>
          <w:szCs w:val="20"/>
          <w:color w:val="auto"/>
        </w:rPr>
      </w:pPr>
    </w:p>
    <w:tbl>
      <w:tblPr>
        <w:tblLayout w:type="fixed"/>
        <w:tblInd w:w="5620" w:type="dxa"/>
        <w:tblCellMar>
          <w:top w:w="0" w:type="dxa"/>
          <w:left w:w="0" w:type="dxa"/>
          <w:bottom w:w="0" w:type="dxa"/>
          <w:right w:w="0" w:type="dxa"/>
        </w:tblCellMar>
      </w:tblPr>
      <w:tr>
        <w:trPr>
          <w:trHeight w:val="229"/>
        </w:trPr>
        <w:tc>
          <w:tcPr>
            <w:tcW w:w="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By:</w:t>
            </w:r>
          </w:p>
        </w:tc>
        <w:tc>
          <w:tcPr>
            <w:tcW w:w="5140" w:type="dxa"/>
            <w:vAlign w:val="bottom"/>
            <w:tcBorders>
              <w:bottom w:val="single" w:sz="8" w:color="auto"/>
            </w:tcBorders>
          </w:tcPr>
          <w:p>
            <w:pPr>
              <w:ind w:left="220"/>
              <w:spacing w:after="0"/>
              <w:rPr>
                <w:sz w:val="20"/>
                <w:szCs w:val="20"/>
                <w:color w:val="auto"/>
              </w:rPr>
            </w:pPr>
            <w:r>
              <w:rPr>
                <w:rFonts w:ascii="Times New Roman" w:cs="Times New Roman" w:eastAsia="Times New Roman" w:hAnsi="Times New Roman"/>
                <w:sz w:val="18"/>
                <w:szCs w:val="18"/>
                <w:color w:val="auto"/>
              </w:rPr>
              <w:t>/s/ Gene Sheridan</w:t>
            </w:r>
          </w:p>
        </w:tc>
      </w:tr>
      <w:tr>
        <w:trPr>
          <w:trHeight w:val="218"/>
        </w:trPr>
        <w:tc>
          <w:tcPr>
            <w:tcW w:w="480" w:type="dxa"/>
            <w:vAlign w:val="bottom"/>
          </w:tcPr>
          <w:p>
            <w:pPr>
              <w:spacing w:after="0"/>
              <w:rPr>
                <w:sz w:val="18"/>
                <w:szCs w:val="18"/>
                <w:color w:val="auto"/>
              </w:rPr>
            </w:pPr>
          </w:p>
        </w:tc>
        <w:tc>
          <w:tcPr>
            <w:tcW w:w="51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Gene Sheridan</w:t>
            </w:r>
          </w:p>
        </w:tc>
      </w:tr>
      <w:tr>
        <w:trPr>
          <w:trHeight w:val="234"/>
        </w:trPr>
        <w:tc>
          <w:tcPr>
            <w:tcW w:w="480" w:type="dxa"/>
            <w:vAlign w:val="bottom"/>
          </w:tcPr>
          <w:p>
            <w:pPr>
              <w:spacing w:after="0"/>
              <w:rPr>
                <w:sz w:val="20"/>
                <w:szCs w:val="20"/>
                <w:color w:val="auto"/>
              </w:rPr>
            </w:pPr>
          </w:p>
        </w:tc>
        <w:tc>
          <w:tcPr>
            <w:tcW w:w="51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President and Chief Executive Officer</w:t>
            </w:r>
          </w:p>
        </w:tc>
      </w:tr>
    </w:tbl>
    <w:p>
      <w:pPr>
        <w:sectPr>
          <w:pgSz w:w="11900" w:h="16838" w:orient="portrait"/>
          <w:cols w:equalWidth="0" w:num="1">
            <w:col w:w="11240"/>
          </w:cols>
          <w:pgMar w:left="320" w:top="752" w:right="339" w:bottom="1440" w:gutter="0" w:footer="0" w:header="0"/>
        </w:sectPr>
      </w:pPr>
    </w:p>
    <w:bookmarkStart w:id="2" w:name="page3"/>
    <w:bookmarkEnd w:id="2"/>
    <w:p>
      <w:pPr>
        <w:jc w:val="right"/>
        <w:spacing w:after="0"/>
        <w:rPr>
          <w:sz w:val="20"/>
          <w:szCs w:val="20"/>
          <w:color w:val="auto"/>
        </w:rPr>
      </w:pPr>
      <w:r>
        <w:rPr>
          <w:rFonts w:ascii="Times New Roman" w:cs="Times New Roman" w:eastAsia="Times New Roman" w:hAnsi="Times New Roman"/>
          <w:sz w:val="20"/>
          <w:szCs w:val="20"/>
          <w:b w:val="1"/>
          <w:bCs w:val="1"/>
          <w:color w:val="auto"/>
        </w:rPr>
        <w:t>Exhibit 99.1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spacing w:after="0"/>
        <w:rPr>
          <w:sz w:val="20"/>
          <w:szCs w:val="20"/>
          <w:color w:val="auto"/>
        </w:rPr>
      </w:pPr>
      <w:r>
        <w:rPr>
          <w:rFonts w:ascii="Calibri" w:cs="Calibri" w:eastAsia="Calibri" w:hAnsi="Calibri"/>
          <w:sz w:val="29"/>
          <w:szCs w:val="29"/>
          <w:b w:val="1"/>
          <w:bCs w:val="1"/>
          <w:color w:val="auto"/>
        </w:rPr>
        <w:t>Navitas to Acquire Silicon Control IC Company</w:t>
      </w:r>
    </w:p>
    <w:p>
      <w:pPr>
        <w:spacing w:after="0" w:line="347" w:lineRule="exact"/>
        <w:rPr>
          <w:sz w:val="20"/>
          <w:szCs w:val="20"/>
          <w:color w:val="auto"/>
        </w:rPr>
      </w:pPr>
    </w:p>
    <w:p>
      <w:pPr>
        <w:jc w:val="center"/>
        <w:ind w:left="340" w:right="60"/>
        <w:spacing w:after="0" w:line="211" w:lineRule="auto"/>
        <w:rPr>
          <w:sz w:val="20"/>
          <w:szCs w:val="20"/>
          <w:color w:val="auto"/>
        </w:rPr>
      </w:pPr>
      <w:r>
        <w:rPr>
          <w:rFonts w:ascii="Calibri" w:cs="Calibri" w:eastAsia="Calibri" w:hAnsi="Calibri"/>
          <w:sz w:val="22"/>
          <w:szCs w:val="22"/>
          <w:b w:val="1"/>
          <w:bCs w:val="1"/>
          <w:color w:val="auto"/>
        </w:rPr>
        <w:t>Strategic silicon control IC capability expected to accelerate next-generaton GaN and SiC share gains vs. legacy silicon power devices across a broad range of markets</w:t>
      </w:r>
    </w:p>
    <w:p>
      <w:pPr>
        <w:spacing w:after="0" w:line="192" w:lineRule="exact"/>
        <w:rPr>
          <w:sz w:val="20"/>
          <w:szCs w:val="20"/>
          <w:color w:val="auto"/>
        </w:rPr>
      </w:pPr>
    </w:p>
    <w:p>
      <w:pPr>
        <w:ind w:right="100"/>
        <w:spacing w:after="0" w:line="191" w:lineRule="auto"/>
        <w:rPr>
          <w:sz w:val="20"/>
          <w:szCs w:val="20"/>
          <w:color w:val="auto"/>
        </w:rPr>
      </w:pPr>
      <w:r>
        <w:rPr>
          <w:rFonts w:ascii="Calibri" w:cs="Calibri" w:eastAsia="Calibri" w:hAnsi="Calibri"/>
          <w:sz w:val="22"/>
          <w:szCs w:val="22"/>
          <w:b w:val="1"/>
          <w:bCs w:val="1"/>
          <w:color w:val="auto"/>
        </w:rPr>
        <w:t>Torrance, CA – January 19</w:t>
      </w:r>
      <w:r>
        <w:rPr>
          <w:rFonts w:ascii="Calibri" w:cs="Calibri" w:eastAsia="Calibri" w:hAnsi="Calibri"/>
          <w:sz w:val="28"/>
          <w:szCs w:val="28"/>
          <w:b w:val="1"/>
          <w:bCs w:val="1"/>
          <w:color w:val="auto"/>
          <w:vertAlign w:val="superscript"/>
        </w:rPr>
        <w:t>th</w:t>
      </w:r>
      <w:r>
        <w:rPr>
          <w:rFonts w:ascii="Calibri" w:cs="Calibri" w:eastAsia="Calibri" w:hAnsi="Calibri"/>
          <w:sz w:val="22"/>
          <w:szCs w:val="22"/>
          <w:b w:val="1"/>
          <w:bCs w:val="1"/>
          <w:color w:val="auto"/>
        </w:rPr>
        <w:t>, 2023</w:t>
      </w:r>
      <w:r>
        <w:rPr>
          <w:rFonts w:ascii="Calibri" w:cs="Calibri" w:eastAsia="Calibri" w:hAnsi="Calibri"/>
          <w:sz w:val="22"/>
          <w:szCs w:val="22"/>
          <w:color w:val="auto"/>
        </w:rPr>
        <w:t>—Navitas Semiconductor (Nasdaq: NVTS), the only pure-play, next-generaton power</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semiconductor company and industry leader in gallium nitride (GaN) power ICs and silicon carbide (SiC) technology, announced an agreement to acquire the remaining minority interest in its silicon control IC joint venture from Halo Microelectronics for a purchase price of $20 million in Navitas stock.</w:t>
      </w:r>
    </w:p>
    <w:p>
      <w:pPr>
        <w:spacing w:after="0" w:line="204" w:lineRule="exact"/>
        <w:rPr>
          <w:sz w:val="20"/>
          <w:szCs w:val="20"/>
          <w:color w:val="auto"/>
        </w:rPr>
      </w:pPr>
    </w:p>
    <w:p>
      <w:pPr>
        <w:ind w:right="60"/>
        <w:spacing w:after="0" w:line="205" w:lineRule="auto"/>
        <w:rPr>
          <w:sz w:val="20"/>
          <w:szCs w:val="20"/>
          <w:color w:val="auto"/>
        </w:rPr>
      </w:pPr>
      <w:r>
        <w:rPr>
          <w:rFonts w:ascii="Calibri" w:cs="Calibri" w:eastAsia="Calibri" w:hAnsi="Calibri"/>
          <w:sz w:val="22"/>
          <w:szCs w:val="22"/>
          <w:color w:val="auto"/>
        </w:rPr>
        <w:t>In 2021, Navitas and Halo created a joint venture to develop applicaton-specifc silicon controllers that are optmized to work in combinaton with Navitas GaN ICs to set new standards for efciency, density, cost and integraton for a wide range of applicatons.</w:t>
      </w:r>
    </w:p>
    <w:p>
      <w:pPr>
        <w:spacing w:after="0" w:line="203" w:lineRule="exact"/>
        <w:rPr>
          <w:sz w:val="20"/>
          <w:szCs w:val="20"/>
          <w:color w:val="auto"/>
        </w:rPr>
      </w:pPr>
    </w:p>
    <w:p>
      <w:pPr>
        <w:ind w:right="40"/>
        <w:spacing w:after="0" w:line="200" w:lineRule="auto"/>
        <w:rPr>
          <w:sz w:val="20"/>
          <w:szCs w:val="20"/>
          <w:color w:val="auto"/>
        </w:rPr>
      </w:pPr>
      <w:r>
        <w:rPr>
          <w:rFonts w:ascii="Calibri" w:cs="Calibri" w:eastAsia="Calibri" w:hAnsi="Calibri"/>
          <w:sz w:val="22"/>
          <w:szCs w:val="22"/>
          <w:color w:val="auto"/>
        </w:rPr>
        <w:t>The frst family of products have been developed and released to producton which address AC-DC power supply applicatons across mobile, consumer, home appliance and auxiliary power supplies in enterprise, renewables, EV and other related markets. The silicon controller and GaN ICs combine either as a ‘chip-set’ or are co-packaged together to target 20 W to 500 W applicatons and have already been adopted by dozens of customers set to introduce their next-generaton products later this year.</w:t>
      </w:r>
    </w:p>
    <w:p>
      <w:pPr>
        <w:spacing w:after="0" w:line="204" w:lineRule="exact"/>
        <w:rPr>
          <w:sz w:val="20"/>
          <w:szCs w:val="20"/>
          <w:color w:val="auto"/>
        </w:rPr>
      </w:pPr>
    </w:p>
    <w:p>
      <w:pPr>
        <w:jc w:val="both"/>
        <w:ind w:right="100"/>
        <w:spacing w:after="0" w:line="204" w:lineRule="auto"/>
        <w:rPr>
          <w:sz w:val="20"/>
          <w:szCs w:val="20"/>
          <w:color w:val="auto"/>
        </w:rPr>
      </w:pPr>
      <w:r>
        <w:rPr>
          <w:rFonts w:ascii="Calibri" w:cs="Calibri" w:eastAsia="Calibri" w:hAnsi="Calibri"/>
          <w:sz w:val="22"/>
          <w:szCs w:val="22"/>
          <w:color w:val="auto"/>
        </w:rPr>
        <w:t>As Navitas was already the majority shareholder, fnancial results from the joint venture have already been refected in Navitas’ historical fnancial statements and guidance. The transacton is expected to close in February. The addressable market potental for this additonal silicon controller capability is estmated at over $1B per year by 2026.</w:t>
      </w:r>
    </w:p>
    <w:p>
      <w:pPr>
        <w:spacing w:after="0" w:line="206" w:lineRule="exact"/>
        <w:rPr>
          <w:sz w:val="20"/>
          <w:szCs w:val="20"/>
          <w:color w:val="auto"/>
        </w:rPr>
      </w:pPr>
    </w:p>
    <w:p>
      <w:pPr>
        <w:ind w:right="80"/>
        <w:spacing w:after="0" w:line="200" w:lineRule="auto"/>
        <w:rPr>
          <w:sz w:val="20"/>
          <w:szCs w:val="20"/>
          <w:color w:val="auto"/>
        </w:rPr>
      </w:pPr>
      <w:r>
        <w:rPr>
          <w:rFonts w:ascii="Calibri" w:cs="Calibri" w:eastAsia="Calibri" w:hAnsi="Calibri"/>
          <w:sz w:val="22"/>
          <w:szCs w:val="22"/>
          <w:color w:val="auto"/>
        </w:rPr>
        <w:t>“This is another strategic acquisiton for Navitas as we integrate critcal silicon controller capabilites with our leading-edge GaN and SiC technologies,” said Navitas CEO and co-founder Gene Sheridan. “Silicon controllers are needed in all power systems and largely defne the architecture of those systems. By combining silicon controllers with GaN and SiC, Navitas is uniquely positoned to infuence customer architecture decisions to maximize the system benefts and Navitas’ value when using GaN or SiC in next-generaton power electronics.”</w:t>
      </w:r>
    </w:p>
    <w:p>
      <w:pPr>
        <w:spacing w:after="0" w:line="177" w:lineRule="exact"/>
        <w:rPr>
          <w:sz w:val="20"/>
          <w:szCs w:val="20"/>
          <w:color w:val="auto"/>
        </w:rPr>
      </w:pPr>
    </w:p>
    <w:p>
      <w:pPr>
        <w:spacing w:after="0"/>
        <w:rPr>
          <w:sz w:val="20"/>
          <w:szCs w:val="20"/>
          <w:color w:val="auto"/>
        </w:rPr>
      </w:pPr>
      <w:r>
        <w:rPr>
          <w:rFonts w:ascii="Calibri" w:cs="Calibri" w:eastAsia="Calibri" w:hAnsi="Calibri"/>
          <w:sz w:val="20"/>
          <w:szCs w:val="20"/>
          <w:b w:val="1"/>
          <w:bCs w:val="1"/>
          <w:color w:val="auto"/>
        </w:rPr>
        <w:t>Cautonary Statement Regarding Forward-Looking Statements</w:t>
      </w:r>
    </w:p>
    <w:p>
      <w:pPr>
        <w:ind w:right="60"/>
        <w:spacing w:after="0" w:line="193" w:lineRule="auto"/>
        <w:rPr>
          <w:sz w:val="20"/>
          <w:szCs w:val="20"/>
          <w:color w:val="auto"/>
        </w:rPr>
      </w:pPr>
      <w:r>
        <w:rPr>
          <w:rFonts w:ascii="Calibri" w:cs="Calibri" w:eastAsia="Calibri" w:hAnsi="Calibri"/>
          <w:sz w:val="20"/>
          <w:szCs w:val="20"/>
          <w:color w:val="auto"/>
        </w:rPr>
        <w:t>This press release includes “forward-looking statements” within the meaning of Secton 21E of the Securites Exchange Act of 1934, as amended. Forward-looking statements may be identfed by the use of words such as “we expect” or “are expected to be,” “estmate,” “plan,” “project,” “forecast,” “intend,” “antcipate,” “believe,” “seek,” or other similar expressions that predict or indicate future events or trends or that are not statements of historical maters. These forward-looking statements are based on various assumptons and current expectatons of the management of Navitas and are not predictons of actual performance. Such forward-looking statements are provided for illustratve purposes only and are not intended to serve as, and must not be relied on as a guarantee, an assurance, a predicton or a defnitve statement of fact or probability. Actual events and circumstances are difcult or impossible to predict and will difer from assumptons and expectatons. Forward-looking statements are subject to a number of risks and uncertaintes discussed in our annual and quarterly reports fled with the Securites and Exchange Commission.</w:t>
      </w:r>
    </w:p>
    <w:p>
      <w:pPr>
        <w:spacing w:after="0" w:line="200" w:lineRule="exact"/>
        <w:rPr>
          <w:sz w:val="20"/>
          <w:szCs w:val="20"/>
          <w:color w:val="auto"/>
        </w:rPr>
      </w:pPr>
    </w:p>
    <w:p>
      <w:pPr>
        <w:spacing w:after="0" w:line="260"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About Halo</w:t>
      </w:r>
    </w:p>
    <w:p>
      <w:pPr>
        <w:sectPr>
          <w:pgSz w:w="11900" w:h="16838" w:orient="portrait"/>
          <w:cols w:equalWidth="0" w:num="1">
            <w:col w:w="11240"/>
          </w:cols>
          <w:pgMar w:left="320" w:top="342" w:right="339" w:bottom="1440" w:gutter="0" w:footer="0" w:header="0"/>
        </w:sectPr>
      </w:pPr>
    </w:p>
    <w:bookmarkStart w:id="3" w:name="page4"/>
    <w:bookmarkEnd w:id="3"/>
    <w:p>
      <w:pPr>
        <w:spacing w:after="0" w:line="305" w:lineRule="exact"/>
        <w:rPr>
          <w:sz w:val="20"/>
          <w:szCs w:val="20"/>
          <w:color w:val="auto"/>
        </w:rPr>
      </w:pPr>
    </w:p>
    <w:p>
      <w:pPr>
        <w:ind w:right="160"/>
        <w:spacing w:after="0" w:line="198" w:lineRule="auto"/>
        <w:rPr>
          <w:sz w:val="20"/>
          <w:szCs w:val="20"/>
          <w:color w:val="auto"/>
        </w:rPr>
      </w:pPr>
      <w:r>
        <w:rPr>
          <w:rFonts w:ascii="Calibri" w:cs="Calibri" w:eastAsia="Calibri" w:hAnsi="Calibri"/>
          <w:sz w:val="22"/>
          <w:szCs w:val="22"/>
          <w:color w:val="auto"/>
        </w:rPr>
        <w:t>Halo Microelectronics develops analog and power management integrated circuits enabling energy-efcient smart systems, commited to providing customers with a full range of analog chip product lines covering diversifed terminal applicatons. Since 2012, Halo Microelectronics has been driving innovaton in Mobile, IoT, and Automotve systems, built high-performance product lines that can compete with leading internatonal analog chip manufacturers, and won the trust of many mainstream customers around the globe. Halo Microelectronics has realized the deep integraton of research and development with the industry and made signifcant contributons to the realizaton of independent control in the feld of high-performance analog integrated circuits.</w:t>
      </w:r>
    </w:p>
    <w:p>
      <w:pPr>
        <w:spacing w:after="0" w:line="194"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About Navitas</w:t>
      </w:r>
    </w:p>
    <w:p>
      <w:pPr>
        <w:ind w:right="60"/>
        <w:spacing w:after="0" w:line="193" w:lineRule="auto"/>
        <w:rPr>
          <w:sz w:val="20"/>
          <w:szCs w:val="20"/>
          <w:color w:val="auto"/>
        </w:rPr>
      </w:pPr>
      <w:r>
        <w:rPr>
          <w:rFonts w:ascii="Calibri" w:cs="Calibri" w:eastAsia="Calibri" w:hAnsi="Calibri"/>
          <w:sz w:val="22"/>
          <w:szCs w:val="22"/>
          <w:color w:val="auto"/>
        </w:rPr>
        <w:t>Navitas Semiconductor (Nasdaq: NVTS) is the only pure-play, next-generaton power-semiconductor company, founded in 2014. GaNFast™ power ICs integrate gallium nitride (GaN) power and drive, with control, sensing, and protecton to enable faster charging, higher power density, and greater energy savings. Complementary GeneSiC™ power devices are optmized high-power, high-voltage, and high-reliability silicon carbide (SiC) solutons. Focus markets include mobile, consumer, data center, EV, solar, wind, smart grid, and industrial. Over 185 Navitas patents are issued or pending. Over 70 million GaN units have been shipped, now with the industry’s frst and only 20-year warranty. Navitas was the world’s frst semiconductor company to be CarbonNeutral®-certfed.</w:t>
      </w:r>
    </w:p>
    <w:p>
      <w:pPr>
        <w:spacing w:after="0" w:line="232" w:lineRule="exact"/>
        <w:rPr>
          <w:sz w:val="20"/>
          <w:szCs w:val="20"/>
          <w:color w:val="auto"/>
        </w:rPr>
      </w:pPr>
    </w:p>
    <w:p>
      <w:pPr>
        <w:jc w:val="center"/>
        <w:ind w:left="360"/>
        <w:spacing w:after="0" w:line="254" w:lineRule="auto"/>
        <w:rPr>
          <w:sz w:val="20"/>
          <w:szCs w:val="20"/>
          <w:color w:val="auto"/>
        </w:rPr>
      </w:pPr>
      <w:r>
        <w:rPr>
          <w:rFonts w:ascii="Calibri" w:cs="Calibri" w:eastAsia="Calibri" w:hAnsi="Calibri"/>
          <w:sz w:val="20"/>
          <w:szCs w:val="20"/>
          <w:i w:val="1"/>
          <w:iCs w:val="1"/>
          <w:color w:val="auto"/>
        </w:rPr>
        <w:t>Navitas, GaNFast, GaNSense, GeneSiC, and the Navitas logo are trademarks or registered trademarks of Navitas Semiconductor and subsidiaries. All other brands, product names, and marks are or may be trademarks or registered trademarks used to identfy products or services of their respectve owners.</w:t>
      </w:r>
    </w:p>
    <w:p>
      <w:pPr>
        <w:spacing w:after="0" w:line="241" w:lineRule="exact"/>
        <w:rPr>
          <w:sz w:val="20"/>
          <w:szCs w:val="20"/>
          <w:color w:val="auto"/>
        </w:rPr>
      </w:pPr>
    </w:p>
    <w:p>
      <w:pPr>
        <w:jc w:val="center"/>
        <w:ind w:right="-39"/>
        <w:spacing w:after="0"/>
        <w:rPr>
          <w:sz w:val="20"/>
          <w:szCs w:val="20"/>
          <w:color w:val="auto"/>
        </w:rPr>
      </w:pPr>
      <w:r>
        <w:rPr>
          <w:rFonts w:ascii="Calibri" w:cs="Calibri" w:eastAsia="Calibri" w:hAnsi="Calibri"/>
          <w:sz w:val="20"/>
          <w:szCs w:val="20"/>
          <w:color w:val="auto"/>
        </w:rPr>
        <w:t>###</w:t>
      </w:r>
    </w:p>
    <w:p>
      <w:pPr>
        <w:spacing w:after="0" w:line="234" w:lineRule="auto"/>
        <w:rPr>
          <w:sz w:val="20"/>
          <w:szCs w:val="20"/>
          <w:color w:val="auto"/>
        </w:rPr>
      </w:pPr>
      <w:r>
        <w:rPr>
          <w:rFonts w:ascii="Calibri" w:cs="Calibri" w:eastAsia="Calibri" w:hAnsi="Calibri"/>
          <w:sz w:val="22"/>
          <w:szCs w:val="22"/>
          <w:b w:val="1"/>
          <w:bCs w:val="1"/>
          <w:color w:val="auto"/>
        </w:rPr>
        <w:t>Contact Informaton:</w:t>
      </w:r>
    </w:p>
    <w:p>
      <w:pPr>
        <w:spacing w:after="0" w:line="193" w:lineRule="auto"/>
        <w:rPr>
          <w:sz w:val="20"/>
          <w:szCs w:val="20"/>
          <w:color w:val="auto"/>
        </w:rPr>
      </w:pPr>
      <w:r>
        <w:rPr>
          <w:rFonts w:ascii="Calibri" w:cs="Calibri" w:eastAsia="Calibri" w:hAnsi="Calibri"/>
          <w:sz w:val="22"/>
          <w:szCs w:val="22"/>
          <w:color w:val="auto"/>
        </w:rPr>
        <w:t>Stephen Oliver, VP Corporate Marketng &amp; Investor Relatons, ir@navitassemi.com</w:t>
      </w:r>
    </w:p>
    <w:p>
      <w:pPr>
        <w:spacing w:after="0" w:line="191" w:lineRule="auto"/>
        <w:rPr>
          <w:sz w:val="20"/>
          <w:szCs w:val="20"/>
          <w:color w:val="auto"/>
        </w:rPr>
      </w:pPr>
      <w:r>
        <w:rPr>
          <w:rFonts w:ascii="Calibri" w:cs="Calibri" w:eastAsia="Calibri" w:hAnsi="Calibri"/>
          <w:sz w:val="22"/>
          <w:szCs w:val="22"/>
          <w:b w:val="1"/>
          <w:bCs w:val="1"/>
          <w:color w:val="auto"/>
        </w:rPr>
        <w:t>PR image:</w:t>
      </w:r>
    </w:p>
    <w:sectPr>
      <w:pgSz w:w="11900" w:h="16838" w:orient="portrait"/>
      <w:cols w:equalWidth="0" w:num="1">
        <w:col w:w="11220"/>
      </w:cols>
      <w:pgMar w:left="320" w:top="1440" w:right="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2023-01-20T16:03:16Z</dcterms:created>
  <dcterms:modified xsi:type="dcterms:W3CDTF">2023-01-20T16:03:16Z</dcterms:modified>
</cp:coreProperties>
</file>