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2"/>
        </w:trPr>
        <w:tc>
          <w:tcPr>
            <w:tcW w:w="4520" w:type="dxa"/>
            <w:vAlign w:val="bottom"/>
            <w:tcBorders>
              <w:top w:val="single" w:sz="8" w:color="auto"/>
              <w:left w:val="single" w:sz="8" w:color="auto"/>
              <w:right w:val="single" w:sz="8" w:color="auto"/>
            </w:tcBorders>
          </w:tcPr>
          <w:p>
            <w:pPr>
              <w:spacing w:after="0"/>
              <w:rPr>
                <w:sz w:val="17"/>
                <w:szCs w:val="17"/>
                <w:color w:val="auto"/>
              </w:rPr>
            </w:pPr>
          </w:p>
        </w:tc>
        <w:tc>
          <w:tcPr>
            <w:tcW w:w="224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41"/>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15, 2026, Navitas Semiconductor Corporation (the “Company”) issued an aggregate of 3,280,666 shares of the Company’s Class A common stock, par value of $0.0001 per share (the “Class A common stock”), in satisfaction of its obligations with respect to Triggering Event III (as defined in that certain </w:t>
      </w:r>
      <w:hyperlink r:id="rId15">
        <w:r>
          <w:rPr>
            <w:rFonts w:ascii="Times New Roman" w:cs="Times New Roman" w:eastAsia="Times New Roman" w:hAnsi="Times New Roman"/>
            <w:sz w:val="18"/>
            <w:szCs w:val="18"/>
            <w:u w:val="single" w:color="auto"/>
            <w:color w:val="0000EE"/>
          </w:rPr>
          <w:t>Business Combination Agreement and Plan of Reorganization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“Business Combination Agreement”), dated as of May 6, 2021, by and among the Company’s predecessor entity (then named Live Oak Acquisition Corp. II), Live Oak Merger Sub Inc. and Navitas Semiconductor Limited, including as domesticated in the State of Delaware as Navitas Semiconductor Ireland, LLC (“Legacy Navitas”)). Pursuant to the Business Combination Agreement, the former stockholders of Legacy Navitas and certain persons set forth in the Business Combination Agreement had the contingent right to receive up to a total of 10,000,000 shares of Class A common stock from the Company if the Company’s stock price achieved certain price targets before October 19, 2026. As of the date hereof, an aggregate of 9,841,948 shares of Class A common stock have been issued by the Company pursuant to its obligations under the Business Combination Agreement, and all Triggering Events under the Business Combination Agreement have been met and all earnout share issuances required in connection with the Triggering Events have been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15, 2026</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5715</wp:posOffset>
            </wp:positionV>
            <wp:extent cx="3000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ind w:left="652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s://www.sec.gov/Archives/edgar/data/1821769/000119312521154315/d306538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2026-06-15T16:44:08Z</dcterms:created>
  <dcterms:modified xsi:type="dcterms:W3CDTF">2026-06-15T16:44:08Z</dcterms:modified>
</cp:coreProperties>
</file>