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SHELTON RON</w:t>
              </w:r>
            </w:hyperlink>
          </w:p>
        </w:tc>
        <w:tc>
          <w:tcPr>
            <w:tcW w:w="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Navitas Semiconductor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40" w:type="dxa"/>
            <w:vAlign w:val="bottom"/>
            <w:tcBorders>
              <w:bottom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88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2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300" w:type="dxa"/>
            <w:vAlign w:val="bottom"/>
            <w:tcBorders>
              <w:top w:val="single" w:sz="8" w:color="EEEEEE"/>
              <w:bottom w:val="single" w:sz="8" w:color="EEEEEE"/>
            </w:tcBorders>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Sr VP, CFO and Treasurer</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NAVITAS SEMICONDUCTOR</w:t>
            </w:r>
          </w:p>
        </w:tc>
        <w:tc>
          <w:tcPr>
            <w:tcW w:w="2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03/14/2023</w:t>
            </w: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TORRANCE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90503-1640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7,865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382,865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3,313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6.3</w:t>
            </w:r>
            <w:r>
              <w:rPr>
                <w:rFonts w:ascii="Times New Roman" w:cs="Times New Roman" w:eastAsia="Times New Roman" w:hAnsi="Times New Roman"/>
                <w:sz w:val="22"/>
                <w:szCs w:val="22"/>
                <w:color w:val="008000"/>
                <w:w w:val="96"/>
                <w:vertAlign w:val="superscript"/>
              </w:rPr>
              <w:t>(3)</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379,552</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fully vested restricted stock units (RSUs).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issuer policy the reported securities were sold automatically solely to cover applicable withholding taxes, incurred by the reporting person as a result of the settlement of vested restricted stock units (RSUs), in transactions intended to comply with a trading plan under Rule 10b5-1(c) of the Exchange Act.</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$6.20 to $6.31, inclusive. The price reported above reflects the weighted 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4,552 shares of common stock and (ii) 375,000 shares underlying restricted stock units which will vest in 25% increments on each of the first four anniversaries of April 20, 2022, subject to the reporting person's continued employment by the issuer on the applicable vesting date, or earlier upon certain events. Upon vesting, RSUs convert into common stock on a one-for-one basis.</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D. Delva,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9575"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2023-03-16T21:16:39Z</dcterms:created>
  <dcterms:modified xsi:type="dcterms:W3CDTF">2023-03-16T21:16:39Z</dcterms:modified>
</cp:coreProperties>
</file>