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jc w:val="center"/>
        <w:ind w:right="20"/>
        <w:spacing w:after="0" w:line="209"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May 17, 2022</w:t>
      </w: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001-39755</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tcPr>
          <w:p>
            <w:pPr>
              <w:jc w:val="right"/>
              <w:ind w:right="830"/>
              <w:spacing w:after="0"/>
              <w:rPr>
                <w:sz w:val="20"/>
                <w:szCs w:val="20"/>
                <w:color w:val="auto"/>
              </w:rPr>
            </w:pPr>
            <w:r>
              <w:rPr>
                <w:rFonts w:ascii="Arial" w:cs="Arial" w:eastAsia="Arial" w:hAnsi="Arial"/>
                <w:sz w:val="18"/>
                <w:szCs w:val="18"/>
                <w:b w:val="1"/>
                <w:bCs w:val="1"/>
                <w:color w:val="auto"/>
              </w:rPr>
              <w:t>85-2560226</w:t>
            </w:r>
          </w:p>
        </w:tc>
        <w:tc>
          <w:tcPr>
            <w:tcW w:w="440" w:type="dxa"/>
            <w:vAlign w:val="bottom"/>
          </w:tcPr>
          <w:p>
            <w:pPr>
              <w:spacing w:after="0"/>
              <w:rPr>
                <w:sz w:val="20"/>
                <w:szCs w:val="20"/>
                <w:color w:val="auto"/>
              </w:rPr>
            </w:pPr>
          </w:p>
        </w:tc>
      </w:tr>
      <w:tr>
        <w:trPr>
          <w:trHeight w:val="222"/>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40" w:type="dxa"/>
            <w:vAlign w:val="bottom"/>
          </w:tcPr>
          <w:p>
            <w:pPr>
              <w:spacing w:after="0"/>
              <w:rPr>
                <w:sz w:val="19"/>
                <w:szCs w:val="19"/>
                <w:color w:val="auto"/>
              </w:rPr>
            </w:pPr>
          </w:p>
        </w:tc>
        <w:tc>
          <w:tcPr>
            <w:tcW w:w="3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260" w:type="dxa"/>
            <w:vAlign w:val="bottom"/>
          </w:tcPr>
          <w:p>
            <w:pPr>
              <w:spacing w:after="0"/>
              <w:rPr>
                <w:sz w:val="19"/>
                <w:szCs w:val="19"/>
                <w:color w:val="auto"/>
              </w:rPr>
            </w:pPr>
          </w:p>
        </w:tc>
        <w:tc>
          <w:tcPr>
            <w:tcW w:w="35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of incorporation)</w:t>
            </w:r>
          </w:p>
        </w:tc>
        <w:tc>
          <w:tcPr>
            <w:tcW w:w="1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513"/>
        </w:trPr>
        <w:tc>
          <w:tcPr>
            <w:tcW w:w="5120" w:type="dxa"/>
            <w:vAlign w:val="bottom"/>
            <w:gridSpan w:val="3"/>
          </w:tcPr>
          <w:p>
            <w:pPr>
              <w:ind w:left="1280"/>
              <w:spacing w:after="0"/>
              <w:rPr>
                <w:sz w:val="20"/>
                <w:szCs w:val="20"/>
                <w:color w:val="auto"/>
              </w:rPr>
            </w:pPr>
            <w:r>
              <w:rPr>
                <w:rFonts w:ascii="Arial" w:cs="Arial" w:eastAsia="Arial" w:hAnsi="Arial"/>
                <w:sz w:val="18"/>
                <w:szCs w:val="18"/>
                <w:b w:val="1"/>
                <w:bCs w:val="1"/>
                <w:color w:val="auto"/>
                <w:w w:val="91"/>
              </w:rPr>
              <w:t>2101 E. El Segundo Blvd., Suite 205, El Segundo,</w:t>
            </w:r>
          </w:p>
        </w:tc>
        <w:tc>
          <w:tcPr>
            <w:tcW w:w="25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9"/>
              </w:rPr>
              <w:t>CA</w:t>
            </w:r>
          </w:p>
        </w:tc>
        <w:tc>
          <w:tcPr>
            <w:tcW w:w="3140" w:type="dxa"/>
            <w:vAlign w:val="bottom"/>
          </w:tcPr>
          <w:p>
            <w:pPr>
              <w:jc w:val="right"/>
              <w:ind w:right="1390"/>
              <w:spacing w:after="0"/>
              <w:rPr>
                <w:sz w:val="20"/>
                <w:szCs w:val="20"/>
                <w:color w:val="auto"/>
              </w:rPr>
            </w:pPr>
            <w:r>
              <w:rPr>
                <w:rFonts w:ascii="Arial" w:cs="Arial" w:eastAsia="Arial" w:hAnsi="Arial"/>
                <w:sz w:val="18"/>
                <w:szCs w:val="18"/>
                <w:b w:val="1"/>
                <w:bCs w:val="1"/>
                <w:color w:val="auto"/>
              </w:rPr>
              <w:t>90245</w:t>
            </w:r>
          </w:p>
        </w:tc>
        <w:tc>
          <w:tcPr>
            <w:tcW w:w="440" w:type="dxa"/>
            <w:vAlign w:val="bottom"/>
          </w:tcPr>
          <w:p>
            <w:pPr>
              <w:spacing w:after="0"/>
              <w:rPr>
                <w:sz w:val="24"/>
                <w:szCs w:val="24"/>
                <w:color w:val="auto"/>
              </w:rPr>
            </w:pPr>
          </w:p>
        </w:tc>
      </w:tr>
      <w:tr>
        <w:trPr>
          <w:trHeight w:val="224"/>
        </w:trPr>
        <w:tc>
          <w:tcPr>
            <w:tcW w:w="5120" w:type="dxa"/>
            <w:vAlign w:val="bottom"/>
            <w:tcBorders>
              <w:top w:val="single" w:sz="8" w:color="auto"/>
            </w:tcBorders>
            <w:gridSpan w:val="3"/>
          </w:tcPr>
          <w:p>
            <w:pPr>
              <w:ind w:left="1800"/>
              <w:spacing w:after="0"/>
              <w:rPr>
                <w:sz w:val="20"/>
                <w:szCs w:val="20"/>
                <w:color w:val="auto"/>
              </w:rPr>
            </w:pPr>
            <w:r>
              <w:rPr>
                <w:rFonts w:ascii="Arial" w:cs="Arial" w:eastAsia="Arial" w:hAnsi="Arial"/>
                <w:sz w:val="18"/>
                <w:szCs w:val="18"/>
                <w:color w:val="auto"/>
              </w:rPr>
              <w:t>(Address of principal executive offices)</w:t>
            </w:r>
          </w:p>
        </w:tc>
        <w:tc>
          <w:tcPr>
            <w:tcW w:w="134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19"/>
                <w:szCs w:val="19"/>
                <w:color w:val="auto"/>
              </w:rPr>
            </w:pPr>
          </w:p>
        </w:tc>
      </w:tr>
    </w:tbl>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(844) 654-2642</w:t>
      </w:r>
    </w:p>
    <w:p>
      <w:pPr>
        <w:spacing w:after="0" w:line="198"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37204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0" w:lineRule="exact"/>
        <w:rPr>
          <w:sz w:val="24"/>
          <w:szCs w:val="24"/>
          <w:color w:val="auto"/>
        </w:rPr>
      </w:pPr>
    </w:p>
    <w:p>
      <w:pPr>
        <w:jc w:val="center"/>
        <w:ind w:right="24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64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06" w:lineRule="exact"/>
        <w:rPr>
          <w:sz w:val="24"/>
          <w:szCs w:val="24"/>
          <w:color w:val="auto"/>
        </w:rPr>
      </w:pPr>
    </w:p>
    <w:p>
      <w:pPr>
        <w:ind w:left="580" w:hanging="39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ind w:left="580" w:hanging="392"/>
        <w:spacing w:after="0" w:line="203"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ind w:left="840" w:hanging="389"/>
        <w:spacing w:after="0" w:line="203" w:lineRule="auto"/>
        <w:tabs>
          <w:tab w:leader="none" w:pos="84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820" w:hanging="389"/>
        <w:spacing w:after="0"/>
        <w:tabs>
          <w:tab w:leader="none" w:pos="8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59"/>
        </w:trPr>
        <w:tc>
          <w:tcPr>
            <w:tcW w:w="4180" w:type="dxa"/>
            <w:vAlign w:val="bottom"/>
            <w:tcBorders>
              <w:left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color w:val="auto"/>
                <w:w w:val="92"/>
              </w:rPr>
              <w:t>Class A Common Stock,</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NVTS</w:t>
            </w:r>
          </w:p>
        </w:tc>
        <w:tc>
          <w:tcPr>
            <w:tcW w:w="4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The Nasdaq Stock Market LLC</w:t>
            </w:r>
          </w:p>
        </w:tc>
        <w:tc>
          <w:tcPr>
            <w:tcW w:w="0" w:type="dxa"/>
            <w:vAlign w:val="bottom"/>
          </w:tcPr>
          <w:p>
            <w:pPr>
              <w:spacing w:after="0"/>
              <w:rPr>
                <w:sz w:val="1"/>
                <w:szCs w:val="1"/>
                <w:color w:val="auto"/>
              </w:rPr>
            </w:pPr>
          </w:p>
        </w:tc>
      </w:tr>
      <w:tr>
        <w:trPr>
          <w:trHeight w:val="125"/>
        </w:trPr>
        <w:tc>
          <w:tcPr>
            <w:tcW w:w="4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par value $0.0001 per share</w:t>
            </w:r>
          </w:p>
        </w:tc>
        <w:tc>
          <w:tcPr>
            <w:tcW w:w="236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1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both"/>
        <w:ind w:right="40"/>
        <w:spacing w:after="0" w:line="20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5" w:lineRule="exact"/>
        <w:rPr>
          <w:sz w:val="24"/>
          <w:szCs w:val="24"/>
          <w:color w:val="auto"/>
        </w:rPr>
      </w:pPr>
    </w:p>
    <w:p>
      <w:pPr>
        <w:jc w:val="both"/>
        <w:ind w:righ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1313180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6"/>
          <w:szCs w:val="16"/>
          <w:b w:val="1"/>
          <w:bCs w:val="1"/>
          <w:color w:val="auto"/>
        </w:rPr>
        <w:t>Item 5.02.</w:t>
      </w:r>
      <w:r>
        <w:rPr>
          <w:sz w:val="20"/>
          <w:szCs w:val="20"/>
          <w:color w:val="auto"/>
        </w:rPr>
        <w:tab/>
      </w:r>
      <w:r>
        <w:rPr>
          <w:rFonts w:ascii="Arial" w:cs="Arial" w:eastAsia="Arial" w:hAnsi="Arial"/>
          <w:sz w:val="14"/>
          <w:szCs w:val="14"/>
          <w:b w:val="1"/>
          <w:bCs w:val="1"/>
          <w:color w:val="auto"/>
        </w:rPr>
        <w:t>Departure of Certain Officers; Appointment of Certain Officers; Compensatory Arrangements</w:t>
      </w:r>
    </w:p>
    <w:p>
      <w:pPr>
        <w:ind w:left="900"/>
        <w:spacing w:after="0"/>
        <w:rPr>
          <w:sz w:val="20"/>
          <w:szCs w:val="20"/>
          <w:color w:val="auto"/>
        </w:rPr>
      </w:pPr>
      <w:r>
        <w:rPr>
          <w:rFonts w:ascii="Arial" w:cs="Arial" w:eastAsia="Arial" w:hAnsi="Arial"/>
          <w:sz w:val="16"/>
          <w:szCs w:val="16"/>
          <w:b w:val="1"/>
          <w:bCs w:val="1"/>
          <w:color w:val="auto"/>
        </w:rPr>
        <w:t>of Certain Officers.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May 17, 2022, Navitas Semiconductor Corporation (“Navitas”) appointed Ron Shelton as Senior Vice President, Chief Financial Officer and Treasurer. Mr. Shelton, 61, was previously Chief Financial Officer of Adesto Technologies Corporation, a provider of application-specific semiconductors and embedded systems for Internet-of-Things (“IoT”) devices used in industrial, consumer, communications and medical applications, from 2011 to 2020. Mr. Shelton is currently a member of the board of directors and an officer of Parabellum Acquisition Corp. (NYSE: PRBM), a blank check company incorporated in February 2021 for the purpose of effecting a business combination with one or more businesses. In September 2021 Parabellum announced its intention to focus its search for a business combination target on companies that are actively engaged in IoT technology in various segments. Mr. Shelton has significant transactional experience and has been involved in various transactions with an aggregate value of over $2 billion, including mergers and acquisitions, IPOs, debt and equity financings, joint ventures, strategic investments, and technology licensing. Mr. Shelton’s other prior experience includes chief financial officer positions at GigOptix Inc. (NYSE MKT: GIG) (subsequently, GigPeak, Inc. (NYSE MKT: GGOX)) from 2009 to 2011, a consultant for various companies from 2007 to 2009 and chief financial officer positions at Alien Technology, LLC from 2005 to 2007, Alliance Semiconductor (Nasdaq: ALSCE) from 2002 to 2005; EmpowerTel Networks and Lara Networks simultaneously from 1999 to 2002 and Cirrus Logic, Inc. (Nasdaq: CRUS) from 1996 to 1999. Mr. Shelton has a bachelor’s degree in economics from Stanford University.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Mr. Shelton is currently employed by Navitas on a half-time basis and will transition to full-time employment on June 13, 2022. Mr. Shelton’s initial annual base salary is $350,000, with an opportunity to earn an annual incentive bonus of 50% of his base salary if target financial and other performance goals are achieved, and up to a maximum of 70% of his base salary if the goals are exceeded, in accordance with Navitas’ annual bonus plan. In connection with his recruitment, Mr. Shelton will receive grants under the Navitas Semiconductor Corporation 2021 Equity Incentive Plan (“2021 Plan”) of 375,000 restricted stock units (“RSUs”), which will vest ratably over four years, and 225,000 performance-based RSUs subject to stock price and revenue performance goals, with vesting of each RSU award subject to continued employment on the applicable vesting dates. Under Mr. Shelton’s employment offer letter, if Mr. Shelton’s employment is involuntarily terminated without cause and other than as a result of a breach of his employment offer letter, then Mr. Shelton would be eligible for severance benefits equal to 12 months’ base salary and 12 months’ continued health benefits. If such a termination of employment occurs within 12 months of a change in control of Navitas, then Mr. Shelton would be eligible for severance benefits equal to 24 months’ base salary and 24 months’ continued health benefits, and full vesting of equity incentive awards outstanding on the date of termination (with performance-based awards vesting at target achievement). Under Mr. Shelton’s employment offer letter, if Navitas provides severance benefits which are more favorable to any other C-level executive, such improved benefits will be extended to Mr. Shelton.</w:t>
      </w:r>
    </w:p>
    <w:p>
      <w:pPr>
        <w:spacing w:after="0" w:line="19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foregoing description of Mr. Shelton’s employment offer letter and elements of his compensation is qualified in its entirety by reference to the terms and conditions of the 2021 Plan and Mr. Shelton’s employment offer letter, included in past or forthcoming filings with the Securities and Exchange Commission.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Mr. Shelton’s appointment as Chief Financial Officer, Todd Glickman, Senior Vice President, Finance, who served as Navitas’ Interim Chief Financial Officer and Treasurer since October 19, 2021, stopped performing those interim roles effective May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On May 26, 2022, Navitas issued a press release announcing the appointment of Ron Shelton as Senior Vice President, Chief Financial Officer and Treasurer. The press release is furnished as Exhibit 99.1 to this report and incorporated in this Item 7.01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0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2400" w:type="dxa"/>
            <w:vAlign w:val="bottom"/>
            <w:tcBorders>
              <w:bottom w:val="single" w:sz="8" w:color="0000FF"/>
            </w:tcBorders>
          </w:tcPr>
          <w:p>
            <w:pPr>
              <w:spacing w:after="0" w:line="195"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May 26, 2022</w:t>
              </w:r>
            </w:hyperlink>
          </w:p>
        </w:tc>
        <w:tc>
          <w:tcPr>
            <w:tcW w:w="0" w:type="dxa"/>
            <w:vAlign w:val="bottom"/>
          </w:tcPr>
          <w:p>
            <w:pPr>
              <w:spacing w:after="0"/>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2400" w:type="dxa"/>
            <w:vAlign w:val="bottom"/>
          </w:tcPr>
          <w:p>
            <w:pPr>
              <w:spacing w:after="0"/>
              <w:rPr>
                <w:sz w:val="20"/>
                <w:szCs w:val="20"/>
                <w:color w:val="auto"/>
              </w:rPr>
            </w:pPr>
            <w:r>
              <w:rPr>
                <w:rFonts w:ascii="Arial" w:cs="Arial" w:eastAsia="Arial" w:hAnsi="Arial"/>
                <w:sz w:val="18"/>
                <w:szCs w:val="18"/>
                <w:color w:val="auto"/>
                <w:w w:val="91"/>
              </w:rPr>
              <w:t>Cover Page Interactive Data File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45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26, 2022</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Gene Sheridan</w:t>
            </w:r>
          </w:p>
        </w:tc>
      </w:tr>
      <w:tr>
        <w:trPr>
          <w:trHeight w:val="222"/>
        </w:trPr>
        <w:tc>
          <w:tcPr>
            <w:tcW w:w="4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Gene Sheridan</w:t>
            </w:r>
          </w:p>
        </w:tc>
      </w:tr>
      <w:tr>
        <w:trPr>
          <w:trHeight w:val="230"/>
        </w:trPr>
        <w:tc>
          <w:tcPr>
            <w:tcW w:w="480" w:type="dxa"/>
            <w:vAlign w:val="bottom"/>
          </w:tcPr>
          <w:p>
            <w:pPr>
              <w:spacing w:after="0"/>
              <w:rPr>
                <w:sz w:val="20"/>
                <w:szCs w:val="20"/>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4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Navitas Semiconductor Appoints New Chief Financial Officer</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22"/>
          <w:szCs w:val="22"/>
          <w:b w:val="1"/>
          <w:bCs w:val="1"/>
          <w:color w:val="auto"/>
        </w:rPr>
        <w:t xml:space="preserve">EL SEGUNDO, Calif., May 26, 2022 -- </w:t>
      </w:r>
      <w:r>
        <w:rPr>
          <w:rFonts w:ascii="Arial" w:cs="Arial" w:eastAsia="Arial" w:hAnsi="Arial"/>
          <w:sz w:val="22"/>
          <w:szCs w:val="22"/>
          <w:color w:val="auto"/>
        </w:rPr>
        <w:t>Navitas Semiconductor (Nasdaq: NVTS), the industry-leader in gallium nitride</w:t>
      </w:r>
      <w:r>
        <w:rPr>
          <w:rFonts w:ascii="Arial" w:cs="Arial" w:eastAsia="Arial" w:hAnsi="Arial"/>
          <w:sz w:val="22"/>
          <w:szCs w:val="22"/>
          <w:b w:val="1"/>
          <w:bCs w:val="1"/>
          <w:color w:val="auto"/>
        </w:rPr>
        <w:t xml:space="preserve"> </w:t>
      </w:r>
      <w:r>
        <w:rPr>
          <w:rFonts w:ascii="Arial" w:cs="Arial" w:eastAsia="Arial" w:hAnsi="Arial"/>
          <w:sz w:val="22"/>
          <w:szCs w:val="22"/>
          <w:color w:val="auto"/>
        </w:rPr>
        <w:t>(GaN) power ICs, announced the appointment of Ron Shelton as Senior VP, CFO and Treasurer. In parallel, interim CFO, Todd Glickman, will continue in his integral role as SVP of Finance.</w:t>
      </w:r>
    </w:p>
    <w:p>
      <w:pPr>
        <w:spacing w:after="0" w:line="114"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auto"/>
        </w:rPr>
        <w:t>“We welcome Ron to the team as he brings rich experience as a public-company CFO in semiconductors, in M&amp;A and other strategic transactions which will be invaluable in our mission to become the leading next-generation power-semiconductor company,” said Gene Sheridan, Navitas CEO and co-founder. “Additionally, I would like to thank Todd for his support and leadership through Navitas' journey from a start-up through our debut as a public company last October, as our interim CFO. I am grateful to have his continued support as we enter a new phase of growth for our company.”</w:t>
      </w:r>
    </w:p>
    <w:p>
      <w:pPr>
        <w:spacing w:after="0" w:line="143" w:lineRule="exact"/>
        <w:rPr>
          <w:sz w:val="20"/>
          <w:szCs w:val="20"/>
          <w:color w:val="auto"/>
        </w:rPr>
      </w:pPr>
    </w:p>
    <w:p>
      <w:pPr>
        <w:ind w:right="200"/>
        <w:spacing w:after="0" w:line="271" w:lineRule="auto"/>
        <w:rPr>
          <w:sz w:val="20"/>
          <w:szCs w:val="20"/>
          <w:color w:val="auto"/>
        </w:rPr>
      </w:pPr>
      <w:r>
        <w:rPr>
          <w:rFonts w:ascii="Arial" w:cs="Arial" w:eastAsia="Arial" w:hAnsi="Arial"/>
          <w:sz w:val="21"/>
          <w:szCs w:val="21"/>
          <w:color w:val="auto"/>
        </w:rPr>
        <w:t>Mr. Shelton was previously CFO at Adesto Technologies, a provider of application-specific semiconductors and embedded systems for Internet-of-Things (“IoT”) devices, from 2011 to 2020. Prior to that, he was CFO at GigOptix, Cirrus Logic and other successful semiconductor companies. Mr. Shelton is currently a member of the board of directors, and an officer of Parabellum Acquisition Corp. (NYSE: PRBM), a blank-check company formed for the purpose of effecting a business combination. Parabellum has announced its intention to focus its search for a business combination target on companies that are actively engaged in IoT technology in various segments.</w:t>
      </w:r>
    </w:p>
    <w:p>
      <w:pPr>
        <w:spacing w:after="0" w:line="132" w:lineRule="exact"/>
        <w:rPr>
          <w:sz w:val="20"/>
          <w:szCs w:val="20"/>
          <w:color w:val="auto"/>
        </w:rPr>
      </w:pPr>
    </w:p>
    <w:p>
      <w:pPr>
        <w:jc w:val="both"/>
        <w:ind w:right="80"/>
        <w:spacing w:after="0" w:line="277" w:lineRule="auto"/>
        <w:rPr>
          <w:sz w:val="20"/>
          <w:szCs w:val="20"/>
          <w:color w:val="auto"/>
        </w:rPr>
      </w:pPr>
      <w:r>
        <w:rPr>
          <w:rFonts w:ascii="Arial" w:cs="Arial" w:eastAsia="Arial" w:hAnsi="Arial"/>
          <w:sz w:val="21"/>
          <w:szCs w:val="21"/>
          <w:color w:val="auto"/>
        </w:rPr>
        <w:t>Mr. Shelton has significant transactional experience and has been involved in various transactions with an aggregate value of over $2 billion, including mergers and acquisitions, IPOs, debt and equity financings, joint ventures, strategic investments, and technology licensing. Mr. Shelton has a bachelor’s degree in economics from Stanford University.</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Navitas</w:t>
      </w:r>
    </w:p>
    <w:p>
      <w:pPr>
        <w:spacing w:after="0" w:line="192"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Navitas Semiconductor (Nasdaq: NVTS) is the industry leader in GaN power ICs, founded in 2014. GaNFast™ power ICs integrate GaN power with drive, control, protection and sensing to enable faster charging, higher power density and greater energy savings for mobile, consumer, enterprise, eMobility and new-energy markets. Over 150 Navitas patents are issued or pending, and over 50 million units have been shipped with zero reported GaN field failures. Sustainability is a core focus, as every GaNFast power IC shipped saves 4 kg of CO</w:t>
      </w:r>
      <w:r>
        <w:rPr>
          <w:rFonts w:ascii="Arial" w:cs="Arial" w:eastAsia="Arial" w:hAnsi="Arial"/>
          <w:sz w:val="28"/>
          <w:szCs w:val="28"/>
          <w:color w:val="auto"/>
          <w:vertAlign w:val="subscript"/>
        </w:rPr>
        <w:t>2</w:t>
      </w:r>
      <w:r>
        <w:rPr>
          <w:rFonts w:ascii="Arial" w:cs="Arial" w:eastAsia="Arial" w:hAnsi="Arial"/>
          <w:sz w:val="22"/>
          <w:szCs w:val="22"/>
          <w:color w:val="auto"/>
        </w:rPr>
        <w:t xml:space="preserve"> emissions. Navitas rang the Nasdaq opening bell and started trading as NVTS on Nasdaq on October 20th, 2021.</w:t>
      </w:r>
    </w:p>
    <w:p>
      <w:pPr>
        <w:spacing w:after="0" w:line="200" w:lineRule="exact"/>
        <w:rPr>
          <w:sz w:val="20"/>
          <w:szCs w:val="20"/>
          <w:color w:val="auto"/>
        </w:rPr>
      </w:pPr>
    </w:p>
    <w:p>
      <w:pPr>
        <w:spacing w:after="0" w:line="31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i w:val="1"/>
          <w:iCs w:val="1"/>
          <w:color w:val="auto"/>
        </w:rPr>
        <w:t>Navitas Semiconductor, GaNFast and the Navitas logo are trademarks or registered trademarks of Navitas Semiconductor Limited. All other brands, product names and marks are or may be trademarks or registered trademarks used to identify products or services of their respective owners.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ectPr>
          <w:pgSz w:w="11900" w:h="16838" w:orient="portrait"/>
          <w:cols w:equalWidth="0" w:num="1">
            <w:col w:w="11240"/>
          </w:cols>
          <w:pgMar w:left="320" w:top="104" w:right="339" w:bottom="1440" w:gutter="0" w:footer="0" w:header="0"/>
        </w:sectPr>
      </w:pPr>
    </w:p>
    <w:bookmarkStart w:id="4" w:name="page5"/>
    <w:bookmarkEnd w:id="4"/>
    <w:p>
      <w:pPr>
        <w:spacing w:after="0" w:line="6" w:lineRule="exact"/>
        <w:rPr>
          <w:sz w:val="20"/>
          <w:szCs w:val="20"/>
          <w:color w:val="auto"/>
        </w:rPr>
      </w:pPr>
    </w:p>
    <w:p>
      <w:pPr>
        <w:ind w:right="2639"/>
        <w:spacing w:after="0" w:line="416" w:lineRule="auto"/>
        <w:rPr>
          <w:sz w:val="20"/>
          <w:szCs w:val="20"/>
          <w:color w:val="auto"/>
        </w:rPr>
      </w:pPr>
      <w:r>
        <w:rPr>
          <w:rFonts w:ascii="Arial" w:cs="Arial" w:eastAsia="Arial" w:hAnsi="Arial"/>
          <w:sz w:val="20"/>
          <w:szCs w:val="20"/>
          <w:color w:val="auto"/>
        </w:rPr>
        <w:t>Stephen Oliver, VP Corporate Marketing &amp; Investor Relations, Navitas Semiconductor ir@navitassemi.com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2022-05-26T17:06:43Z</dcterms:created>
  <dcterms:modified xsi:type="dcterms:W3CDTF">2022-05-26T17:06:43Z</dcterms:modified>
</cp:coreProperties>
</file>