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177419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419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Navitas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001-39755</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85-2560226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7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3520 Challenger Street, Torrance, California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90503-1640</w:t>
            </w:r>
          </w:p>
        </w:tc>
      </w:tr>
      <w:tr>
        <w:trPr>
          <w:trHeight w:val="228"/>
        </w:trPr>
        <w:tc>
          <w:tcPr>
            <w:tcW w:w="7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654-2642</w:t>
      </w:r>
    </w:p>
    <w:p>
      <w:pPr>
        <w:spacing w:after="0" w:line="22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2"/>
        </w:trPr>
        <w:tc>
          <w:tcPr>
            <w:tcW w:w="4520" w:type="dxa"/>
            <w:vAlign w:val="bottom"/>
            <w:tcBorders>
              <w:top w:val="single" w:sz="8" w:color="auto"/>
              <w:left w:val="single" w:sz="8" w:color="auto"/>
              <w:right w:val="single" w:sz="8" w:color="auto"/>
            </w:tcBorders>
          </w:tcPr>
          <w:p>
            <w:pPr>
              <w:spacing w:after="0"/>
              <w:rPr>
                <w:sz w:val="17"/>
                <w:szCs w:val="17"/>
                <w:color w:val="auto"/>
              </w:rPr>
            </w:pPr>
          </w:p>
        </w:tc>
        <w:tc>
          <w:tcPr>
            <w:tcW w:w="224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41"/>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11, 2026, Navitas Semiconductor Corporation,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entered into a Sales Agreement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with Craig-Hallum Capital Group LLC and UBS Securities LLC (together, the “</w:t>
      </w:r>
      <w:r>
        <w:rPr>
          <w:rFonts w:ascii="Times New Roman" w:cs="Times New Roman" w:eastAsia="Times New Roman" w:hAnsi="Times New Roman"/>
          <w:sz w:val="18"/>
          <w:szCs w:val="18"/>
          <w:i w:val="1"/>
          <w:iCs w:val="1"/>
          <w:color w:val="auto"/>
        </w:rPr>
        <w:t>Sales Agents</w:t>
      </w:r>
      <w:r>
        <w:rPr>
          <w:rFonts w:ascii="Times New Roman" w:cs="Times New Roman" w:eastAsia="Times New Roman" w:hAnsi="Times New Roman"/>
          <w:sz w:val="18"/>
          <w:szCs w:val="18"/>
          <w:color w:val="auto"/>
        </w:rPr>
        <w:t>”). The Sales Agreement provides for the offer and sale of the Company’s Class A common stock, par value $0.0001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from time to time through an “at the market offering” program under which the Sales Agents will act as sales agents or principals, subject to certain limitations. Pursuant to the prospectus supplement filed by the Company on May 11, 2026 (the “</w:t>
      </w:r>
      <w:r>
        <w:rPr>
          <w:rFonts w:ascii="Times New Roman" w:cs="Times New Roman" w:eastAsia="Times New Roman" w:hAnsi="Times New Roman"/>
          <w:sz w:val="18"/>
          <w:szCs w:val="18"/>
          <w:i w:val="1"/>
          <w:iCs w:val="1"/>
          <w:color w:val="auto"/>
        </w:rPr>
        <w:t>ATM Prospectus Supplemen</w:t>
      </w:r>
      <w:r>
        <w:rPr>
          <w:rFonts w:ascii="Times New Roman" w:cs="Times New Roman" w:eastAsia="Times New Roman" w:hAnsi="Times New Roman"/>
          <w:sz w:val="18"/>
          <w:szCs w:val="18"/>
          <w:color w:val="auto"/>
        </w:rPr>
        <w:t>t”), the Company may offer and sell up to $125.0 million of shares of Common Stock pursuant to the terms of the Sales Agreement.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12, 2026, the Company has sold 6,529,666 shares with net proceeds of approximately $122.0 million, net of commissions and estimated offering expenses, under the ATM Prospectus Supplement. Assuming that all trades settle, including trades that have been processed but not yet settled, the Common Stock registered pursuant to the ATM Prospectus Supplement has been fully sold.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00" w:type="dxa"/>
            <w:vAlign w:val="bottom"/>
          </w:tcPr>
          <w:p>
            <w:pPr>
              <w:spacing w:after="0"/>
              <w:rPr>
                <w:sz w:val="24"/>
                <w:szCs w:val="24"/>
                <w:color w:val="auto"/>
              </w:rPr>
            </w:pPr>
          </w:p>
        </w:tc>
      </w:tr>
      <w:tr>
        <w:trPr>
          <w:trHeight w:val="414"/>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Exhibit</w:t>
            </w:r>
          </w:p>
        </w:tc>
        <w:tc>
          <w:tcPr>
            <w:tcW w:w="10100" w:type="dxa"/>
            <w:vAlign w:val="bottom"/>
          </w:tcPr>
          <w:p>
            <w:pPr>
              <w:spacing w:after="0"/>
              <w:rPr>
                <w:sz w:val="24"/>
                <w:szCs w:val="24"/>
                <w:color w:val="auto"/>
              </w:rPr>
            </w:pPr>
          </w:p>
        </w:tc>
      </w:tr>
      <w:tr>
        <w:trPr>
          <w:trHeight w:val="234"/>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28"/>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9"/>
                <w:szCs w:val="19"/>
                <w:color w:val="auto"/>
              </w:rPr>
            </w:pPr>
          </w:p>
        </w:tc>
        <w:tc>
          <w:tcPr>
            <w:tcW w:w="10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r>
        <w:trPr>
          <w:trHeight w:val="549"/>
        </w:trPr>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 Allexandre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Chris Allexandre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2026-05-13T07:17:20Z</dcterms:created>
  <dcterms:modified xsi:type="dcterms:W3CDTF">2026-05-13T07:17:20Z</dcterms:modified>
</cp:coreProperties>
</file>