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166370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1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3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227330</wp:posOffset>
            </wp:positionV>
            <wp:extent cx="14916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139"/>
        <w:spacing w:after="0"/>
        <w:rPr>
          <w:sz w:val="20"/>
          <w:szCs w:val="20"/>
          <w:color w:val="auto"/>
        </w:rPr>
      </w:pPr>
      <w:r>
        <w:rPr>
          <w:rFonts w:ascii="Arial" w:cs="Arial" w:eastAsia="Arial" w:hAnsi="Arial"/>
          <w:sz w:val="32"/>
          <w:szCs w:val="32"/>
          <w:b w:val="1"/>
          <w:bCs w:val="1"/>
          <w:color w:val="auto"/>
        </w:rPr>
        <w:t>FORM 8-A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247015</wp:posOffset>
            </wp:positionV>
            <wp:extent cx="149161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left="460" w:right="2340"/>
        <w:spacing w:after="0" w:line="243" w:lineRule="auto"/>
        <w:rPr>
          <w:sz w:val="20"/>
          <w:szCs w:val="20"/>
          <w:color w:val="auto"/>
        </w:rPr>
      </w:pPr>
      <w:r>
        <w:rPr>
          <w:rFonts w:ascii="Arial" w:cs="Arial" w:eastAsia="Arial" w:hAnsi="Arial"/>
          <w:sz w:val="22"/>
          <w:szCs w:val="22"/>
          <w:b w:val="1"/>
          <w:bCs w:val="1"/>
          <w:color w:val="auto"/>
        </w:rPr>
        <w:t>FOR REGISTRATION OF CERTAIN CLASSES OF SECURITIES PURSUANT TO SECTION 12(b) OR 12(g)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215265</wp:posOffset>
            </wp:positionV>
            <wp:extent cx="14916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05" w:lineRule="exact"/>
        <w:rPr>
          <w:sz w:val="24"/>
          <w:szCs w:val="24"/>
          <w:color w:val="auto"/>
        </w:rPr>
      </w:pPr>
    </w:p>
    <w:p>
      <w:pPr>
        <w:jc w:val="center"/>
        <w:ind w:right="-139"/>
        <w:spacing w:after="0"/>
        <w:rPr>
          <w:sz w:val="20"/>
          <w:szCs w:val="20"/>
          <w:color w:val="auto"/>
        </w:rPr>
      </w:pPr>
      <w:r>
        <w:rPr>
          <w:rFonts w:ascii="Arial" w:cs="Arial" w:eastAsia="Arial" w:hAnsi="Arial"/>
          <w:sz w:val="43"/>
          <w:szCs w:val="43"/>
          <w:b w:val="1"/>
          <w:bCs w:val="1"/>
          <w:color w:val="auto"/>
        </w:rPr>
        <w:t>NAVITAS SEMICONDUCTOR CORPORATION</w:t>
      </w:r>
    </w:p>
    <w:p>
      <w:pPr>
        <w:spacing w:after="0" w:line="50"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236220</wp:posOffset>
            </wp:positionV>
            <wp:extent cx="149161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60" w:type="dxa"/>
        <w:tblCellMar>
          <w:top w:w="0" w:type="dxa"/>
          <w:left w:w="0" w:type="dxa"/>
          <w:bottom w:w="0" w:type="dxa"/>
          <w:right w:w="0" w:type="dxa"/>
        </w:tblCellMar>
      </w:tblPr>
      <w:tr>
        <w:trPr>
          <w:trHeight w:val="212"/>
        </w:trPr>
        <w:tc>
          <w:tcPr>
            <w:tcW w:w="2260" w:type="dxa"/>
            <w:vAlign w:val="bottom"/>
          </w:tcPr>
          <w:p>
            <w:pPr>
              <w:spacing w:after="0"/>
              <w:rPr>
                <w:sz w:val="18"/>
                <w:szCs w:val="18"/>
                <w:color w:val="auto"/>
              </w:rPr>
            </w:pPr>
          </w:p>
        </w:tc>
        <w:tc>
          <w:tcPr>
            <w:tcW w:w="4180" w:type="dxa"/>
            <w:vAlign w:val="bottom"/>
            <w:gridSpan w:val="2"/>
          </w:tcPr>
          <w:p>
            <w:pPr>
              <w:jc w:val="center"/>
              <w:ind w:right="3050"/>
              <w:spacing w:after="0"/>
              <w:rPr>
                <w:sz w:val="20"/>
                <w:szCs w:val="20"/>
                <w:color w:val="auto"/>
              </w:rPr>
            </w:pPr>
            <w:r>
              <w:rPr>
                <w:rFonts w:ascii="Arial" w:cs="Arial" w:eastAsia="Arial" w:hAnsi="Arial"/>
                <w:sz w:val="18"/>
                <w:szCs w:val="18"/>
                <w:b w:val="1"/>
                <w:bCs w:val="1"/>
                <w:color w:val="auto"/>
                <w:w w:val="91"/>
              </w:rPr>
              <w:t>Delaware</w:t>
            </w:r>
          </w:p>
        </w:tc>
        <w:tc>
          <w:tcPr>
            <w:tcW w:w="3060" w:type="dxa"/>
            <w:vAlign w:val="bottom"/>
            <w:gridSpan w:val="2"/>
          </w:tcPr>
          <w:p>
            <w:pPr>
              <w:jc w:val="right"/>
              <w:ind w:right="548"/>
              <w:spacing w:after="0"/>
              <w:rPr>
                <w:sz w:val="20"/>
                <w:szCs w:val="20"/>
                <w:color w:val="auto"/>
              </w:rPr>
            </w:pPr>
            <w:r>
              <w:rPr>
                <w:rFonts w:ascii="Arial" w:cs="Arial" w:eastAsia="Arial" w:hAnsi="Arial"/>
                <w:sz w:val="18"/>
                <w:szCs w:val="18"/>
                <w:b w:val="1"/>
                <w:bCs w:val="1"/>
                <w:color w:val="auto"/>
              </w:rPr>
              <w:t>85-2560226</w:t>
            </w:r>
          </w:p>
        </w:tc>
        <w:tc>
          <w:tcPr>
            <w:tcW w:w="200" w:type="dxa"/>
            <w:vAlign w:val="bottom"/>
          </w:tcPr>
          <w:p>
            <w:pPr>
              <w:spacing w:after="0"/>
              <w:rPr>
                <w:sz w:val="18"/>
                <w:szCs w:val="18"/>
                <w:color w:val="auto"/>
              </w:rPr>
            </w:pPr>
          </w:p>
        </w:tc>
      </w:tr>
      <w:tr>
        <w:trPr>
          <w:trHeight w:val="186"/>
        </w:trPr>
        <w:tc>
          <w:tcPr>
            <w:tcW w:w="6440" w:type="dxa"/>
            <w:vAlign w:val="bottom"/>
            <w:gridSpan w:val="3"/>
          </w:tcPr>
          <w:p>
            <w:pPr>
              <w:jc w:val="center"/>
              <w:ind w:right="790"/>
              <w:spacing w:after="0"/>
              <w:rPr>
                <w:sz w:val="20"/>
                <w:szCs w:val="20"/>
                <w:color w:val="auto"/>
              </w:rPr>
            </w:pPr>
            <w:r>
              <w:rPr>
                <w:rFonts w:ascii="Arial" w:cs="Arial" w:eastAsia="Arial" w:hAnsi="Arial"/>
                <w:sz w:val="14"/>
                <w:szCs w:val="14"/>
                <w:b w:val="1"/>
                <w:bCs w:val="1"/>
                <w:color w:val="auto"/>
                <w:w w:val="93"/>
              </w:rPr>
              <w:t>(State of incorporation or organization)</w:t>
            </w:r>
          </w:p>
        </w:tc>
        <w:tc>
          <w:tcPr>
            <w:tcW w:w="3260" w:type="dxa"/>
            <w:vAlign w:val="bottom"/>
            <w:gridSpan w:val="3"/>
          </w:tcPr>
          <w:p>
            <w:pPr>
              <w:jc w:val="center"/>
              <w:ind w:left="694"/>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399"/>
        </w:trPr>
        <w:tc>
          <w:tcPr>
            <w:tcW w:w="6440" w:type="dxa"/>
            <w:vAlign w:val="bottom"/>
            <w:gridSpan w:val="3"/>
          </w:tcPr>
          <w:p>
            <w:pPr>
              <w:jc w:val="center"/>
              <w:ind w:right="790"/>
              <w:spacing w:after="0"/>
              <w:rPr>
                <w:sz w:val="20"/>
                <w:szCs w:val="20"/>
                <w:color w:val="auto"/>
              </w:rPr>
            </w:pPr>
            <w:r>
              <w:rPr>
                <w:rFonts w:ascii="Arial" w:cs="Arial" w:eastAsia="Arial" w:hAnsi="Arial"/>
                <w:sz w:val="18"/>
                <w:szCs w:val="18"/>
                <w:b w:val="1"/>
                <w:bCs w:val="1"/>
                <w:color w:val="auto"/>
                <w:w w:val="89"/>
              </w:rPr>
              <w:t>2101 El Segundo Blvd., Suite 204,</w:t>
            </w:r>
          </w:p>
        </w:tc>
        <w:tc>
          <w:tcPr>
            <w:tcW w:w="102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225"/>
        </w:trPr>
        <w:tc>
          <w:tcPr>
            <w:tcW w:w="6440" w:type="dxa"/>
            <w:vAlign w:val="bottom"/>
            <w:gridSpan w:val="3"/>
          </w:tcPr>
          <w:p>
            <w:pPr>
              <w:jc w:val="center"/>
              <w:ind w:right="770"/>
              <w:spacing w:after="0"/>
              <w:rPr>
                <w:sz w:val="20"/>
                <w:szCs w:val="20"/>
                <w:color w:val="auto"/>
              </w:rPr>
            </w:pPr>
            <w:r>
              <w:rPr>
                <w:rFonts w:ascii="Arial" w:cs="Arial" w:eastAsia="Arial" w:hAnsi="Arial"/>
                <w:sz w:val="18"/>
                <w:szCs w:val="18"/>
                <w:b w:val="1"/>
                <w:bCs w:val="1"/>
                <w:color w:val="auto"/>
                <w:w w:val="90"/>
              </w:rPr>
              <w:t>El Segundo, CA</w:t>
            </w:r>
          </w:p>
        </w:tc>
        <w:tc>
          <w:tcPr>
            <w:tcW w:w="3060" w:type="dxa"/>
            <w:vAlign w:val="bottom"/>
            <w:gridSpan w:val="2"/>
          </w:tcPr>
          <w:p>
            <w:pPr>
              <w:jc w:val="right"/>
              <w:ind w:right="748"/>
              <w:spacing w:after="0"/>
              <w:rPr>
                <w:sz w:val="20"/>
                <w:szCs w:val="20"/>
                <w:color w:val="auto"/>
              </w:rPr>
            </w:pPr>
            <w:r>
              <w:rPr>
                <w:rFonts w:ascii="Arial" w:cs="Arial" w:eastAsia="Arial" w:hAnsi="Arial"/>
                <w:sz w:val="18"/>
                <w:szCs w:val="18"/>
                <w:b w:val="1"/>
                <w:bCs w:val="1"/>
                <w:color w:val="auto"/>
              </w:rPr>
              <w:t>90245</w:t>
            </w:r>
          </w:p>
        </w:tc>
        <w:tc>
          <w:tcPr>
            <w:tcW w:w="200" w:type="dxa"/>
            <w:vAlign w:val="bottom"/>
          </w:tcPr>
          <w:p>
            <w:pPr>
              <w:spacing w:after="0"/>
              <w:rPr>
                <w:sz w:val="19"/>
                <w:szCs w:val="19"/>
                <w:color w:val="auto"/>
              </w:rPr>
            </w:pPr>
          </w:p>
        </w:tc>
      </w:tr>
      <w:tr>
        <w:trPr>
          <w:trHeight w:val="186"/>
        </w:trPr>
        <w:tc>
          <w:tcPr>
            <w:tcW w:w="6440" w:type="dxa"/>
            <w:vAlign w:val="bottom"/>
            <w:gridSpan w:val="3"/>
          </w:tcPr>
          <w:p>
            <w:pPr>
              <w:jc w:val="center"/>
              <w:ind w:right="770"/>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1020" w:type="dxa"/>
            <w:vAlign w:val="bottom"/>
          </w:tcPr>
          <w:p>
            <w:pPr>
              <w:spacing w:after="0"/>
              <w:rPr>
                <w:sz w:val="16"/>
                <w:szCs w:val="16"/>
                <w:color w:val="auto"/>
              </w:rPr>
            </w:pPr>
          </w:p>
        </w:tc>
        <w:tc>
          <w:tcPr>
            <w:tcW w:w="22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(Zip Code)</w:t>
            </w:r>
          </w:p>
        </w:tc>
      </w:tr>
      <w:tr>
        <w:trPr>
          <w:trHeight w:val="417"/>
        </w:trPr>
        <w:tc>
          <w:tcPr>
            <w:tcW w:w="2260" w:type="dxa"/>
            <w:vAlign w:val="bottom"/>
          </w:tcPr>
          <w:p>
            <w:pPr>
              <w:spacing w:after="0"/>
              <w:rPr>
                <w:sz w:val="24"/>
                <w:szCs w:val="24"/>
                <w:color w:val="auto"/>
              </w:rPr>
            </w:pPr>
          </w:p>
        </w:tc>
        <w:tc>
          <w:tcPr>
            <w:tcW w:w="7440" w:type="dxa"/>
            <w:vAlign w:val="bottom"/>
            <w:gridSpan w:val="5"/>
          </w:tcPr>
          <w:p>
            <w:pPr>
              <w:ind w:left="900"/>
              <w:spacing w:after="0"/>
              <w:rPr>
                <w:sz w:val="20"/>
                <w:szCs w:val="20"/>
                <w:color w:val="auto"/>
              </w:rPr>
            </w:pPr>
            <w:r>
              <w:rPr>
                <w:rFonts w:ascii="Arial" w:cs="Arial" w:eastAsia="Arial" w:hAnsi="Arial"/>
                <w:sz w:val="18"/>
                <w:szCs w:val="18"/>
                <w:b w:val="1"/>
                <w:bCs w:val="1"/>
                <w:color w:val="auto"/>
              </w:rPr>
              <w:t>Securities to be registered pursuant to Section 12(b) of the Act:</w:t>
            </w:r>
          </w:p>
        </w:tc>
      </w:tr>
      <w:tr>
        <w:trPr>
          <w:trHeight w:val="369"/>
        </w:trPr>
        <w:tc>
          <w:tcPr>
            <w:tcW w:w="6440" w:type="dxa"/>
            <w:vAlign w:val="bottom"/>
            <w:gridSpan w:val="3"/>
          </w:tcPr>
          <w:p>
            <w:pPr>
              <w:jc w:val="center"/>
              <w:ind w:right="730"/>
              <w:spacing w:after="0"/>
              <w:rPr>
                <w:sz w:val="20"/>
                <w:szCs w:val="20"/>
                <w:color w:val="auto"/>
              </w:rPr>
            </w:pPr>
            <w:r>
              <w:rPr>
                <w:rFonts w:ascii="Arial" w:cs="Arial" w:eastAsia="Arial" w:hAnsi="Arial"/>
                <w:sz w:val="14"/>
                <w:szCs w:val="14"/>
                <w:b w:val="1"/>
                <w:bCs w:val="1"/>
                <w:color w:val="auto"/>
                <w:w w:val="90"/>
              </w:rPr>
              <w:t>Title for each class</w:t>
            </w:r>
          </w:p>
        </w:tc>
        <w:tc>
          <w:tcPr>
            <w:tcW w:w="1020" w:type="dxa"/>
            <w:vAlign w:val="bottom"/>
          </w:tcPr>
          <w:p>
            <w:pPr>
              <w:spacing w:after="0"/>
              <w:rPr>
                <w:sz w:val="24"/>
                <w:szCs w:val="24"/>
                <w:color w:val="auto"/>
              </w:rPr>
            </w:pPr>
          </w:p>
        </w:tc>
        <w:tc>
          <w:tcPr>
            <w:tcW w:w="22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Name of each exchange on which</w:t>
            </w:r>
          </w:p>
        </w:tc>
      </w:tr>
      <w:tr>
        <w:trPr>
          <w:trHeight w:val="171"/>
        </w:trPr>
        <w:tc>
          <w:tcPr>
            <w:tcW w:w="226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to be so registered</w:t>
            </w:r>
          </w:p>
        </w:tc>
        <w:tc>
          <w:tcPr>
            <w:tcW w:w="30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each class is to be registered</w:t>
            </w:r>
          </w:p>
        </w:tc>
        <w:tc>
          <w:tcPr>
            <w:tcW w:w="200" w:type="dxa"/>
            <w:vAlign w:val="bottom"/>
          </w:tcPr>
          <w:p>
            <w:pPr>
              <w:spacing w:after="0"/>
              <w:rPr>
                <w:sz w:val="14"/>
                <w:szCs w:val="14"/>
                <w:color w:val="auto"/>
              </w:rPr>
            </w:pPr>
          </w:p>
        </w:tc>
      </w:tr>
      <w:tr>
        <w:trPr>
          <w:trHeight w:val="191"/>
        </w:trPr>
        <w:tc>
          <w:tcPr>
            <w:tcW w:w="2260" w:type="dxa"/>
            <w:vAlign w:val="bottom"/>
          </w:tcPr>
          <w:p>
            <w:pPr>
              <w:ind w:left="1120"/>
              <w:spacing w:after="0" w:line="191" w:lineRule="exact"/>
              <w:rPr>
                <w:sz w:val="20"/>
                <w:szCs w:val="20"/>
                <w:color w:val="auto"/>
              </w:rPr>
            </w:pPr>
            <w:r>
              <w:rPr>
                <w:rFonts w:ascii="Arial" w:cs="Arial" w:eastAsia="Arial" w:hAnsi="Arial"/>
                <w:sz w:val="18"/>
                <w:szCs w:val="18"/>
                <w:b w:val="1"/>
                <w:bCs w:val="1"/>
                <w:color w:val="auto"/>
                <w:w w:val="81"/>
              </w:rPr>
              <w:t>Common Stock,</w:t>
            </w:r>
          </w:p>
        </w:tc>
        <w:tc>
          <w:tcPr>
            <w:tcW w:w="1120" w:type="dxa"/>
            <w:vAlign w:val="bottom"/>
          </w:tcPr>
          <w:p>
            <w:pPr>
              <w:jc w:val="center"/>
              <w:spacing w:after="0" w:line="191" w:lineRule="exact"/>
              <w:rPr>
                <w:sz w:val="20"/>
                <w:szCs w:val="20"/>
                <w:color w:val="auto"/>
              </w:rPr>
            </w:pPr>
            <w:r>
              <w:rPr>
                <w:rFonts w:ascii="Arial" w:cs="Arial" w:eastAsia="Arial" w:hAnsi="Arial"/>
                <w:sz w:val="18"/>
                <w:szCs w:val="18"/>
                <w:b w:val="1"/>
                <w:bCs w:val="1"/>
                <w:color w:val="auto"/>
                <w:w w:val="91"/>
              </w:rPr>
              <w:t>par value $</w:t>
            </w:r>
          </w:p>
        </w:tc>
        <w:tc>
          <w:tcPr>
            <w:tcW w:w="3060" w:type="dxa"/>
            <w:vAlign w:val="bottom"/>
          </w:tcPr>
          <w:p>
            <w:pPr>
              <w:spacing w:after="0" w:line="191" w:lineRule="exact"/>
              <w:rPr>
                <w:sz w:val="20"/>
                <w:szCs w:val="20"/>
                <w:color w:val="auto"/>
              </w:rPr>
            </w:pPr>
            <w:r>
              <w:rPr>
                <w:rFonts w:ascii="Arial" w:cs="Arial" w:eastAsia="Arial" w:hAnsi="Arial"/>
                <w:sz w:val="18"/>
                <w:szCs w:val="18"/>
                <w:b w:val="1"/>
                <w:bCs w:val="1"/>
                <w:color w:val="auto"/>
              </w:rPr>
              <w:t>0.0001 per share</w:t>
            </w:r>
          </w:p>
        </w:tc>
        <w:tc>
          <w:tcPr>
            <w:tcW w:w="3260" w:type="dxa"/>
            <w:vAlign w:val="bottom"/>
            <w:gridSpan w:val="3"/>
          </w:tcPr>
          <w:p>
            <w:pPr>
              <w:jc w:val="center"/>
              <w:ind w:left="734"/>
              <w:spacing w:after="0" w:line="191" w:lineRule="exact"/>
              <w:rPr>
                <w:sz w:val="20"/>
                <w:szCs w:val="20"/>
                <w:color w:val="auto"/>
              </w:rPr>
            </w:pPr>
            <w:r>
              <w:rPr>
                <w:rFonts w:ascii="Arial" w:cs="Arial" w:eastAsia="Arial" w:hAnsi="Arial"/>
                <w:sz w:val="18"/>
                <w:szCs w:val="18"/>
                <w:b w:val="1"/>
                <w:bCs w:val="1"/>
                <w:color w:val="auto"/>
                <w:w w:val="94"/>
              </w:rPr>
              <w:t>The Nasdaq Stock Market LLC</w:t>
            </w:r>
          </w:p>
        </w:tc>
      </w:tr>
      <w:tr>
        <w:trPr>
          <w:trHeight w:val="216"/>
        </w:trPr>
        <w:tc>
          <w:tcPr>
            <w:tcW w:w="6440" w:type="dxa"/>
            <w:vAlign w:val="bottom"/>
            <w:gridSpan w:val="3"/>
          </w:tcPr>
          <w:p>
            <w:pPr>
              <w:jc w:val="center"/>
              <w:ind w:right="710"/>
              <w:spacing w:after="0"/>
              <w:rPr>
                <w:sz w:val="20"/>
                <w:szCs w:val="20"/>
                <w:color w:val="auto"/>
              </w:rPr>
            </w:pPr>
            <w:r>
              <w:rPr>
                <w:rFonts w:ascii="Arial" w:cs="Arial" w:eastAsia="Arial" w:hAnsi="Arial"/>
                <w:sz w:val="18"/>
                <w:szCs w:val="18"/>
                <w:b w:val="1"/>
                <w:bCs w:val="1"/>
                <w:color w:val="auto"/>
                <w:w w:val="88"/>
              </w:rPr>
              <w:t>Warrants, each exercisable for one share of Common Stock at an exercise</w:t>
            </w:r>
          </w:p>
        </w:tc>
        <w:tc>
          <w:tcPr>
            <w:tcW w:w="3260" w:type="dxa"/>
            <w:vAlign w:val="bottom"/>
            <w:gridSpan w:val="3"/>
          </w:tcPr>
          <w:p>
            <w:pPr>
              <w:jc w:val="center"/>
              <w:ind w:left="734"/>
              <w:spacing w:after="0"/>
              <w:rPr>
                <w:sz w:val="20"/>
                <w:szCs w:val="20"/>
                <w:color w:val="auto"/>
              </w:rPr>
            </w:pPr>
            <w:r>
              <w:rPr>
                <w:rFonts w:ascii="Arial" w:cs="Arial" w:eastAsia="Arial" w:hAnsi="Arial"/>
                <w:sz w:val="18"/>
                <w:szCs w:val="18"/>
                <w:b w:val="1"/>
                <w:bCs w:val="1"/>
                <w:color w:val="auto"/>
                <w:w w:val="94"/>
              </w:rPr>
              <w:t>The Nasdaq Stock Market LLC</w:t>
            </w:r>
          </w:p>
        </w:tc>
      </w:tr>
      <w:tr>
        <w:trPr>
          <w:trHeight w:val="234"/>
        </w:trPr>
        <w:tc>
          <w:tcPr>
            <w:tcW w:w="6440" w:type="dxa"/>
            <w:vAlign w:val="bottom"/>
            <w:gridSpan w:val="3"/>
          </w:tcPr>
          <w:p>
            <w:pPr>
              <w:jc w:val="center"/>
              <w:ind w:right="710"/>
              <w:spacing w:after="0"/>
              <w:rPr>
                <w:sz w:val="20"/>
                <w:szCs w:val="20"/>
                <w:color w:val="auto"/>
              </w:rPr>
            </w:pPr>
            <w:r>
              <w:rPr>
                <w:rFonts w:ascii="Arial" w:cs="Arial" w:eastAsia="Arial" w:hAnsi="Arial"/>
                <w:sz w:val="18"/>
                <w:szCs w:val="18"/>
                <w:b w:val="1"/>
                <w:bCs w:val="1"/>
                <w:color w:val="auto"/>
                <w:w w:val="89"/>
              </w:rPr>
              <w:t>price of $11.50 per share</w:t>
            </w:r>
          </w:p>
        </w:tc>
        <w:tc>
          <w:tcPr>
            <w:tcW w:w="102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200" w:type="dxa"/>
            <w:vAlign w:val="bottom"/>
          </w:tcPr>
          <w:p>
            <w:pPr>
              <w:spacing w:after="0"/>
              <w:rPr>
                <w:sz w:val="20"/>
                <w:szCs w:val="20"/>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231140</wp:posOffset>
            </wp:positionV>
            <wp:extent cx="14916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200" w:lineRule="exact"/>
        <w:rPr>
          <w:sz w:val="24"/>
          <w:szCs w:val="24"/>
          <w:color w:val="auto"/>
        </w:rPr>
      </w:pPr>
    </w:p>
    <w:p>
      <w:pPr>
        <w:spacing w:after="0" w:line="360"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this form relates to the registration of a class of securities pursuant to Section 12(b) of the Exchange Act and is effective pursuant to General Instruction A.(c), please check the following box.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this form relates to the registration of a class of securities pursuant to Section 12(g) of the Exchange Act and is effective pursuant to General Instruction A.(d), please check the following box. </w:t>
      </w:r>
      <w:r>
        <w:rPr>
          <w:rFonts w:ascii="MS PGothic" w:cs="MS PGothic" w:eastAsia="MS PGothic" w:hAnsi="MS PGothic"/>
          <w:sz w:val="18"/>
          <w:szCs w:val="18"/>
          <w:color w:val="auto"/>
        </w:rPr>
        <w:t>☐</w:t>
      </w:r>
    </w:p>
    <w:p>
      <w:pPr>
        <w:spacing w:after="0" w:line="178"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Securities Act registration statement file number to which this form relates: (if applicable)</w:t>
      </w:r>
    </w:p>
    <w:p>
      <w:pPr>
        <w:spacing w:after="0" w:line="225"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Securities to be registered pursuant to Section 12(g) of the Act: 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205740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368" w:right="47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Explanatory Note</w:t>
      </w:r>
    </w:p>
    <w:p>
      <w:pPr>
        <w:spacing w:after="0" w:line="229" w:lineRule="exact"/>
        <w:rPr>
          <w:sz w:val="20"/>
          <w:szCs w:val="20"/>
          <w:color w:val="auto"/>
        </w:rPr>
      </w:pPr>
    </w:p>
    <w:p>
      <w:pPr>
        <w:ind w:right="460" w:firstLine="449"/>
        <w:spacing w:after="0" w:line="259" w:lineRule="auto"/>
        <w:rPr>
          <w:sz w:val="20"/>
          <w:szCs w:val="20"/>
          <w:color w:val="auto"/>
        </w:rPr>
      </w:pPr>
      <w:r>
        <w:rPr>
          <w:rFonts w:ascii="Arial" w:cs="Arial" w:eastAsia="Arial" w:hAnsi="Arial"/>
          <w:sz w:val="18"/>
          <w:szCs w:val="18"/>
          <w:color w:val="auto"/>
        </w:rPr>
        <w:t>This Registration Statement on Form 8-A is being filed by Navitas Semiconductor Corporation (the “Company”), formerly known as Live Oak Acquisition Corp. II, with the U.S. Securities and Exchange Commission (the “SEC”) in connection with the transfer of the listing of the Company’s Class A common stock, par value $0.0001 per share (“Class A common stock”), and its warrants to purchase shares of Class A common stock (the “warrants”) from the New York Stock Exchange to the Nasdaq Global Market (“Nasdaq”).</w:t>
      </w:r>
    </w:p>
    <w:p>
      <w:pPr>
        <w:spacing w:after="0" w:line="33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6"/>
          <w:szCs w:val="16"/>
          <w:b w:val="1"/>
          <w:bCs w:val="1"/>
          <w:color w:val="auto"/>
        </w:rPr>
        <w:t>Description of Registrant’s Securities to be Registered.</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securities to be registered hereby are the Class A common stock and the warrants.</w:t>
      </w:r>
    </w:p>
    <w:p>
      <w:pPr>
        <w:spacing w:after="0" w:line="225" w:lineRule="exact"/>
        <w:rPr>
          <w:sz w:val="20"/>
          <w:szCs w:val="20"/>
          <w:color w:val="auto"/>
        </w:rPr>
      </w:pPr>
    </w:p>
    <w:p>
      <w:pPr>
        <w:ind w:right="80" w:firstLine="449"/>
        <w:spacing w:after="0" w:line="263" w:lineRule="auto"/>
        <w:rPr>
          <w:sz w:val="20"/>
          <w:szCs w:val="20"/>
          <w:color w:val="auto"/>
        </w:rPr>
      </w:pPr>
      <w:r>
        <w:rPr>
          <w:rFonts w:ascii="Arial" w:cs="Arial" w:eastAsia="Arial" w:hAnsi="Arial"/>
          <w:sz w:val="18"/>
          <w:szCs w:val="18"/>
          <w:color w:val="auto"/>
        </w:rPr>
        <w:t>The descriptions of the Class A common stock and the warrants registered hereunder are set forth under the heading “Description of Securities” in the Company’s definitive proxy statement/prospectus (Registration No. 333-256880) filed with the SEC on June 8, 2021, as amended from time to time, is incorporated herein by reference.</w:t>
      </w:r>
    </w:p>
    <w:p>
      <w:pPr>
        <w:spacing w:after="0" w:line="328"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Exhibits.</w:t>
      </w:r>
    </w:p>
    <w:p>
      <w:pPr>
        <w:spacing w:after="0" w:line="121" w:lineRule="exact"/>
        <w:rPr>
          <w:sz w:val="20"/>
          <w:szCs w:val="20"/>
          <w:color w:val="auto"/>
        </w:rPr>
      </w:pPr>
    </w:p>
    <w:p>
      <w:pPr>
        <w:jc w:val="both"/>
        <w:ind w:firstLine="449"/>
        <w:spacing w:after="0" w:line="263" w:lineRule="auto"/>
        <w:rPr>
          <w:sz w:val="20"/>
          <w:szCs w:val="20"/>
          <w:color w:val="auto"/>
        </w:rPr>
      </w:pPr>
      <w:r>
        <w:rPr>
          <w:rFonts w:ascii="Arial" w:cs="Arial" w:eastAsia="Arial" w:hAnsi="Arial"/>
          <w:sz w:val="18"/>
          <w:szCs w:val="18"/>
          <w:color w:val="auto"/>
        </w:rPr>
        <w:t>In accordance with the “Instructions as to Exhibits” with respect to Form 8-A, no exhibits are required to be filed as part of this registration statement because no other securities of the registrant are registered on Nasdaq and the securities registered hereby are not being registered pursuant to Section 12(g) of the Securities Exchange Act of 1934, as amended.</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20"/>
          </w:cols>
          <w:pgMar w:left="320" w:top="270" w:right="359" w:bottom="1440" w:gutter="0" w:footer="0" w:header="0"/>
        </w:sectPr>
      </w:pPr>
    </w:p>
    <w:bookmarkStart w:id="2" w:name="page3"/>
    <w:bookmarkEnd w:id="2"/>
    <w:p>
      <w:pPr>
        <w:jc w:val="center"/>
        <w:ind w:right="-2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w:t>
      </w:r>
    </w:p>
    <w:p>
      <w:pPr>
        <w:spacing w:after="0" w:line="229" w:lineRule="exact"/>
        <w:rPr>
          <w:sz w:val="20"/>
          <w:szCs w:val="20"/>
          <w:color w:val="auto"/>
        </w:rPr>
      </w:pPr>
    </w:p>
    <w:p>
      <w:pPr>
        <w:ind w:firstLine="449"/>
        <w:spacing w:after="0" w:line="277" w:lineRule="auto"/>
        <w:rPr>
          <w:sz w:val="20"/>
          <w:szCs w:val="20"/>
          <w:color w:val="auto"/>
        </w:rPr>
      </w:pPr>
      <w:r>
        <w:rPr>
          <w:rFonts w:ascii="Arial" w:cs="Arial" w:eastAsia="Arial" w:hAnsi="Arial"/>
          <w:sz w:val="18"/>
          <w:szCs w:val="18"/>
          <w:color w:val="auto"/>
        </w:rPr>
        <w:t>Pursuant to the requirements of Section 12 of the Securities Exchange Act of 1934, the Registrant has duly caused this registration statement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October 19, 2021</w:t>
      </w:r>
    </w:p>
    <w:p>
      <w:pPr>
        <w:spacing w:after="0" w:line="248" w:lineRule="exact"/>
        <w:rPr>
          <w:sz w:val="20"/>
          <w:szCs w:val="20"/>
          <w:color w:val="auto"/>
        </w:rPr>
      </w:pPr>
    </w:p>
    <w:p>
      <w:pPr>
        <w:ind w:left="6760"/>
        <w:spacing w:after="0"/>
        <w:rPr>
          <w:sz w:val="20"/>
          <w:szCs w:val="20"/>
          <w:color w:val="auto"/>
        </w:rPr>
      </w:pPr>
      <w:r>
        <w:rPr>
          <w:rFonts w:ascii="Arial" w:cs="Arial" w:eastAsia="Arial" w:hAnsi="Arial"/>
          <w:sz w:val="18"/>
          <w:szCs w:val="18"/>
          <w:b w:val="1"/>
          <w:bCs w:val="1"/>
          <w:color w:val="auto"/>
        </w:rPr>
        <w:t>NAVITAS SEMICONDUCTOR CORPORATION</w:t>
      </w:r>
    </w:p>
    <w:p>
      <w:pPr>
        <w:spacing w:after="0" w:line="22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By: /s/ Gene Sheridan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4522470</wp:posOffset>
            </wp:positionH>
            <wp:positionV relativeFrom="paragraph">
              <wp:posOffset>14605</wp:posOffset>
            </wp:positionV>
            <wp:extent cx="261429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614295" cy="8255"/>
                    </a:xfrm>
                    <a:prstGeom prst="rect">
                      <a:avLst/>
                    </a:prstGeom>
                    <a:noFill/>
                  </pic:spPr>
                </pic:pic>
              </a:graphicData>
            </a:graphic>
          </wp:anchor>
        </w:drawing>
      </w:r>
    </w:p>
    <w:p>
      <w:pPr>
        <w:spacing w:after="0" w:line="16"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Name: Gene Sheridan</w:t>
      </w:r>
    </w:p>
    <w:p>
      <w:pPr>
        <w:spacing w:after="0" w:line="23"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Title: Chief Executive Officer</w:t>
      </w:r>
    </w:p>
    <w:p>
      <w:pPr>
        <w:spacing w:after="0" w:line="14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3</w:t>
      </w:r>
    </w:p>
    <w:sectPr>
      <w:pgSz w:w="11900" w:h="16838" w:orient="portrait"/>
      <w:cols w:equalWidth="0" w:num="1">
        <w:col w:w="10980"/>
      </w:cols>
      <w:pgMar w:left="320" w:top="270" w:right="5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2021-10-19T15:09:48Z</dcterms:created>
  <dcterms:modified xsi:type="dcterms:W3CDTF">2021-10-19T15:09:48Z</dcterms:modified>
</cp:coreProperties>
</file>