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802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8028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vMerge w:val="restart"/>
          </w:tcPr>
          <w:p>
            <w:pPr>
              <w:spacing w:after="0" w:line="181" w:lineRule="exact"/>
              <w:rPr>
                <w:rFonts w:ascii="Times New Roman" w:cs="Times New Roman" w:eastAsia="Times New Roman" w:hAnsi="Times New Roman"/>
                <w:sz w:val="16"/>
                <w:szCs w:val="16"/>
                <w:color w:val="0000EE"/>
                <w:w w:val="96"/>
              </w:rPr>
            </w:pPr>
            <w:hyperlink r:id="rId11">
              <w:r>
                <w:rPr>
                  <w:rFonts w:ascii="Times New Roman" w:cs="Times New Roman" w:eastAsia="Times New Roman" w:hAnsi="Times New Roman"/>
                  <w:sz w:val="16"/>
                  <w:szCs w:val="16"/>
                  <w:color w:val="0000EE"/>
                  <w:w w:val="96"/>
                </w:rPr>
                <w:t>SiCPower, LLC</w:t>
              </w:r>
            </w:hyperlink>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0000EE"/>
            </w:tcBorders>
            <w:vMerge w:val="continue"/>
          </w:tcPr>
          <w:p>
            <w:pPr>
              <w:spacing w:after="0"/>
              <w:rPr>
                <w:sz w:val="9"/>
                <w:szCs w:val="9"/>
                <w:color w:val="auto"/>
              </w:rPr>
            </w:pPr>
          </w:p>
        </w:tc>
        <w:tc>
          <w:tcPr>
            <w:tcW w:w="98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03/14/2023</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(Last)</w:t>
            </w:r>
          </w:p>
        </w:tc>
        <w:tc>
          <w:tcPr>
            <w:tcW w:w="980" w:type="dxa"/>
            <w:vAlign w:val="bottom"/>
          </w:tcPr>
          <w:p>
            <w:pPr>
              <w:ind w:left="2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5"/>
          <w:szCs w:val="15"/>
          <w:color w:val="0000EE"/>
        </w:rPr>
      </w:pPr>
      <w:hyperlink r:id="rId12">
        <w:r>
          <w:rPr>
            <w:rFonts w:ascii="Times New Roman" w:cs="Times New Roman" w:eastAsia="Times New Roman" w:hAnsi="Times New Roman"/>
            <w:sz w:val="15"/>
            <w:szCs w:val="15"/>
            <w:u w:val="single" w:color="auto"/>
            <w:color w:val="0000EE"/>
          </w:rPr>
          <w:t>Navitas Semiconductor Corp</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NVTS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411"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68"/>
        </w:trPr>
        <w:tc>
          <w:tcPr>
            <w:tcW w:w="24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w w:val="98"/>
              </w:rPr>
              <w:t>C/O CORPORATION SERVICE COMPANY</w:t>
            </w:r>
          </w:p>
        </w:tc>
      </w:tr>
      <w:tr>
        <w:trPr>
          <w:trHeight w:val="200"/>
        </w:trPr>
        <w:tc>
          <w:tcPr>
            <w:tcW w:w="18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251 LITTLE FALLS DRIVE</w:t>
            </w:r>
          </w:p>
        </w:tc>
        <w:tc>
          <w:tcPr>
            <w:tcW w:w="620" w:type="dxa"/>
            <w:vAlign w:val="bottom"/>
          </w:tcPr>
          <w:p>
            <w:pPr>
              <w:spacing w:after="0"/>
              <w:rPr>
                <w:sz w:val="17"/>
                <w:szCs w:val="17"/>
                <w:color w:val="auto"/>
              </w:rPr>
            </w:pPr>
          </w:p>
        </w:tc>
      </w:tr>
      <w:tr>
        <w:trPr>
          <w:trHeight w:val="334"/>
        </w:trPr>
        <w:tc>
          <w:tcPr>
            <w:tcW w:w="1840" w:type="dxa"/>
            <w:vAlign w:val="bottom"/>
          </w:tcPr>
          <w:p>
            <w:pPr>
              <w:spacing w:after="0"/>
              <w:rPr>
                <w:sz w:val="20"/>
                <w:szCs w:val="20"/>
                <w:color w:val="auto"/>
              </w:rPr>
            </w:pPr>
            <w:r>
              <w:rPr>
                <w:rFonts w:ascii="Arial" w:cs="Arial" w:eastAsia="Arial" w:hAnsi="Arial"/>
                <w:sz w:val="10"/>
                <w:szCs w:val="10"/>
                <w:color w:val="auto"/>
              </w:rPr>
              <w:t>(Street)</w:t>
            </w:r>
          </w:p>
        </w:tc>
        <w:tc>
          <w:tcPr>
            <w:tcW w:w="620" w:type="dxa"/>
            <w:vAlign w:val="bottom"/>
          </w:tcPr>
          <w:p>
            <w:pPr>
              <w:spacing w:after="0"/>
              <w:rPr>
                <w:sz w:val="24"/>
                <w:szCs w:val="24"/>
                <w:color w:val="auto"/>
              </w:rPr>
            </w:pPr>
          </w:p>
        </w:tc>
      </w:tr>
      <w:tr>
        <w:trPr>
          <w:trHeight w:val="176"/>
        </w:trPr>
        <w:tc>
          <w:tcPr>
            <w:tcW w:w="18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WILMINGTON   DE</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19808</w:t>
            </w:r>
          </w:p>
        </w:tc>
      </w:tr>
    </w:tbl>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6" w:lineRule="exact"/>
        <w:rPr>
          <w:sz w:val="24"/>
          <w:szCs w:val="24"/>
          <w:color w:val="auto"/>
        </w:rPr>
      </w:pPr>
    </w:p>
    <w:p>
      <w:pPr>
        <w:ind w:left="525"/>
        <w:spacing w:after="0"/>
        <w:tabs>
          <w:tab w:leader="none" w:pos="1765" w:val="left"/>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9"/>
          <w:szCs w:val="9"/>
          <w:color w:val="auto"/>
        </w:rPr>
        <w:t>10% Owner</w:t>
      </w:r>
    </w:p>
    <w:p>
      <w:pPr>
        <w:spacing w:after="0" w:line="50"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5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13"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7"/>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0" w:type="dxa"/>
            <w:vAlign w:val="bottom"/>
            <w:tcBorders>
              <w:bottom w:val="single" w:sz="8" w:color="2C2C2C"/>
            </w:tcBorders>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9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120" w:type="dxa"/>
            <w:vAlign w:val="bottom"/>
            <w:tcBorders>
              <w:bottom w:val="single" w:sz="8" w:color="2C2C2C"/>
            </w:tcBorders>
          </w:tcPr>
          <w:p>
            <w:pPr>
              <w:jc w:val="right"/>
              <w:ind w:right="806"/>
              <w:spacing w:after="0"/>
              <w:rPr>
                <w:sz w:val="20"/>
                <w:szCs w:val="20"/>
                <w:color w:val="auto"/>
              </w:rPr>
            </w:pPr>
            <w:r>
              <w:rPr>
                <w:rFonts w:ascii="Times New Roman" w:cs="Times New Roman" w:eastAsia="Times New Roman" w:hAnsi="Times New Roman"/>
                <w:sz w:val="13"/>
                <w:szCs w:val="13"/>
                <w:color w:val="0000FF"/>
              </w:rPr>
              <w:t>18,645,603</w:t>
            </w:r>
            <w:r>
              <w:rPr>
                <w:rFonts w:ascii="Times New Roman" w:cs="Times New Roman" w:eastAsia="Times New Roman" w:hAnsi="Times New Roman"/>
                <w:sz w:val="16"/>
                <w:szCs w:val="16"/>
                <w:color w:val="008000"/>
                <w:vertAlign w:val="superscript"/>
              </w:rPr>
              <w:t>(1)</w:t>
            </w:r>
          </w:p>
        </w:tc>
        <w:tc>
          <w:tcPr>
            <w:tcW w:w="6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16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6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980" w:type="dxa"/>
            <w:vAlign w:val="bottom"/>
            <w:gridSpan w:val="5"/>
          </w:tcPr>
          <w:p>
            <w:pPr>
              <w:ind w:left="9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gridSpan w:val="2"/>
          </w:tcPr>
          <w:p>
            <w:pPr>
              <w:spacing w:after="0" w:line="20" w:lineRule="exact"/>
              <w:rPr>
                <w:sz w:val="1"/>
                <w:szCs w:val="1"/>
                <w:color w:val="auto"/>
              </w:rPr>
            </w:pPr>
          </w:p>
        </w:tc>
        <w:tc>
          <w:tcPr>
            <w:tcW w:w="2780" w:type="dxa"/>
            <w:vAlign w:val="bottom"/>
            <w:tcBorders>
              <w:bottom w:val="single" w:sz="8" w:color="2C2C2C"/>
            </w:tcBorders>
            <w:gridSpan w:val="2"/>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60" w:type="dxa"/>
            <w:vAlign w:val="bottom"/>
          </w:tcPr>
          <w:p>
            <w:pPr>
              <w:spacing w:after="0"/>
              <w:rPr>
                <w:sz w:val="12"/>
                <w:szCs w:val="12"/>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4"/>
          <w:szCs w:val="24"/>
          <w:color w:val="auto"/>
        </w:rPr>
      </w:pPr>
    </w:p>
    <w:p>
      <w:pPr>
        <w:ind w:left="40" w:right="80" w:hanging="10"/>
        <w:spacing w:after="0" w:line="259" w:lineRule="auto"/>
        <w:tabs>
          <w:tab w:leader="none" w:pos="140"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acquired the reported securities from Ranbir Singh, an executive officer of the issuer, as part of an estate-planning transaction. Dr. Singh is sole manager of the reporting person. Approximately concurrently with the filing of this Form 3, Dr. Singh is filing a Form 4 to report his corresponding disposition of the reported securities.</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1"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8"/>
              </w:rPr>
              <w:t>/s/ Paul D. Delva, attorney-in-fact</w:t>
            </w:r>
          </w:p>
        </w:tc>
        <w:tc>
          <w:tcPr>
            <w:tcW w:w="44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03/16/2023</w:t>
            </w:r>
          </w:p>
        </w:tc>
      </w:tr>
      <w:tr>
        <w:trPr>
          <w:trHeight w:val="172"/>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4"/>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SiCPower, LLC</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Power Of Attorney For Section 16 Reporting Purposes</w:t>
      </w:r>
    </w:p>
    <w:p>
      <w:pPr>
        <w:spacing w:after="0" w:line="3" w:lineRule="exact"/>
        <w:rPr>
          <w:sz w:val="20"/>
          <w:szCs w:val="20"/>
          <w:color w:val="auto"/>
        </w:rPr>
      </w:pPr>
    </w:p>
    <w:p>
      <w:pPr>
        <w:ind w:left="320"/>
        <w:spacing w:after="0"/>
        <w:rPr>
          <w:sz w:val="20"/>
          <w:szCs w:val="20"/>
          <w:color w:val="auto"/>
        </w:rPr>
      </w:pPr>
      <w:r>
        <w:rPr>
          <w:rFonts w:ascii="Courier New" w:cs="Courier New" w:eastAsia="Courier New" w:hAnsi="Courier New"/>
          <w:sz w:val="12"/>
          <w:szCs w:val="12"/>
          <w:color w:val="auto"/>
        </w:rPr>
        <w:t>KNOW ALL BY THESE PRESENTS, that the undersigned hereby constitutes and appoints each of Paul Delva, Doa Yang and Daniel Hall, or any of t</w:t>
      </w:r>
    </w:p>
    <w:p>
      <w:pPr>
        <w:spacing w:after="0" w:line="14" w:lineRule="exact"/>
        <w:rPr>
          <w:sz w:val="20"/>
          <w:szCs w:val="20"/>
          <w:color w:val="auto"/>
        </w:rPr>
      </w:pPr>
    </w:p>
    <w:p>
      <w:pPr>
        <w:ind w:left="540" w:hanging="540"/>
        <w:spacing w:after="0"/>
        <w:tabs>
          <w:tab w:leader="none" w:pos="5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for and on behalf of the undersigned Forms 3, 4, and 5 in accordance with Section 16(a) of the Securities Exchange Act</w:t>
      </w:r>
    </w:p>
    <w:p>
      <w:pPr>
        <w:spacing w:after="0" w:line="2" w:lineRule="exact"/>
        <w:rPr>
          <w:rFonts w:ascii="Courier New" w:cs="Courier New" w:eastAsia="Courier New" w:hAnsi="Courier New"/>
          <w:sz w:val="13"/>
          <w:szCs w:val="13"/>
          <w:color w:val="auto"/>
        </w:rPr>
      </w:pPr>
    </w:p>
    <w:p>
      <w:pPr>
        <w:ind w:left="540" w:hanging="540"/>
        <w:spacing w:after="0"/>
        <w:tabs>
          <w:tab w:leader="none" w:pos="5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w:t>
      </w:r>
    </w:p>
    <w:p>
      <w:pPr>
        <w:spacing w:after="0" w:line="2" w:lineRule="exact"/>
        <w:rPr>
          <w:rFonts w:ascii="Courier New" w:cs="Courier New" w:eastAsia="Courier New" w:hAnsi="Courier New"/>
          <w:sz w:val="13"/>
          <w:szCs w:val="13"/>
          <w:color w:val="auto"/>
        </w:rPr>
      </w:pPr>
    </w:p>
    <w:p>
      <w:pPr>
        <w:jc w:val="both"/>
        <w:ind w:left="320" w:hanging="320"/>
        <w:spacing w:after="0" w:line="265" w:lineRule="auto"/>
        <w:tabs>
          <w:tab w:leader="none" w:pos="554"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 The undersigned hereby grants to each such attorney-in-fact full power and authority to do and perform any and every act and thing whatsoe This Power of Attorney shall remain in full force and effect until the undersigned is no longer required to file Forms 3, 4, and 5 with re</w:t>
      </w:r>
    </w:p>
    <w:p>
      <w:pPr>
        <w:spacing w:after="0"/>
        <w:rPr>
          <w:sz w:val="20"/>
          <w:szCs w:val="20"/>
          <w:color w:val="auto"/>
        </w:rPr>
      </w:pPr>
      <w:r>
        <w:rPr>
          <w:rFonts w:ascii="Courier New" w:cs="Courier New" w:eastAsia="Courier New" w:hAnsi="Courier New"/>
          <w:sz w:val="13"/>
          <w:szCs w:val="13"/>
          <w:color w:val="auto"/>
        </w:rPr>
        <w:t>[Signature Page Follows]</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WITNESS WHEREOF, the undersigned has caused this Power of Attorney to be executed as of March 8, 2023.</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SiCPower, LLC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 Delaware limited liability company</w:t>
      </w:r>
    </w:p>
    <w:p>
      <w:pPr>
        <w:spacing w:after="0" w:line="27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3"/>
          <w:szCs w:val="13"/>
          <w:color w:val="auto"/>
        </w:rPr>
        <w:t>By:</w:t>
      </w:r>
      <w:r>
        <w:rPr>
          <w:sz w:val="20"/>
          <w:szCs w:val="20"/>
          <w:color w:val="auto"/>
        </w:rPr>
        <w:tab/>
      </w:r>
      <w:r>
        <w:rPr>
          <w:rFonts w:ascii="Courier New" w:cs="Courier New" w:eastAsia="Courier New" w:hAnsi="Courier New"/>
          <w:sz w:val="13"/>
          <w:szCs w:val="13"/>
          <w:color w:val="auto"/>
        </w:rPr>
        <w:t>/s/ Ranbir Singh</w:t>
      </w:r>
    </w:p>
    <w:p>
      <w:pPr>
        <w:spacing w:after="0" w:line="27"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Ranbir Singh</w:t>
      </w:r>
    </w:p>
    <w:p>
      <w:pPr>
        <w:spacing w:after="0" w:line="3"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Manager</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968866" TargetMode="External"/><Relationship Id="rId12" Type="http://schemas.openxmlformats.org/officeDocument/2006/relationships/hyperlink" Target="http://www.sec.gov/cgi-bin/browse-edgar?action=getcompany&amp;CIK=0001821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2023-03-16T21:08:34Z</dcterms:created>
  <dcterms:modified xsi:type="dcterms:W3CDTF">2023-03-16T21:08:34Z</dcterms:modified>
</cp:coreProperties>
</file>