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7234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7234555"/>
                    </a:xfrm>
                    <a:prstGeom prst="rect">
                      <a:avLst/>
                    </a:prstGeom>
                    <a:noFill/>
                  </pic:spPr>
                </pic:pic>
              </a:graphicData>
            </a:graphic>
          </wp:anchor>
        </w:drawing>
      </w:r>
    </w:p>
    <w:p>
      <w:pPr>
        <w:spacing w:after="0" w:line="101" w:lineRule="exact"/>
        <w:rPr>
          <w:sz w:val="24"/>
          <w:szCs w:val="24"/>
          <w:color w:val="auto"/>
        </w:rPr>
      </w:pPr>
    </w:p>
    <w:p>
      <w:pPr>
        <w:sectPr>
          <w:pgSz w:w="11900" w:h="16930"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Wunderlich Gary Kent JR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 S. MAIN STREET, #2550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Navitas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NVTS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930" w:orient="portrait"/>
          <w:cols w:equalWidth="0" w:num="3">
            <w:col w:w="3200" w:space="720"/>
            <w:col w:w="3220" w:space="595"/>
            <w:col w:w="3265"/>
          </w:cols>
          <w:pgMar w:left="460" w:top="225" w:right="43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MEMPHIS</w:t>
            </w:r>
          </w:p>
        </w:tc>
        <w:tc>
          <w:tcPr>
            <w:tcW w:w="1040" w:type="dxa"/>
            <w:vAlign w:val="bottom"/>
          </w:tcPr>
          <w:p>
            <w:pPr>
              <w:ind w:left="220"/>
              <w:spacing w:after="0"/>
              <w:rPr>
                <w:sz w:val="20"/>
                <w:szCs w:val="20"/>
                <w:color w:val="auto"/>
              </w:rPr>
            </w:pPr>
            <w:r>
              <w:rPr>
                <w:rFonts w:ascii="Arial" w:cs="Arial" w:eastAsia="Arial" w:hAnsi="Arial"/>
                <w:sz w:val="17"/>
                <w:szCs w:val="17"/>
                <w:color w:val="0000FF"/>
              </w:rPr>
              <w:t>TN</w:t>
            </w:r>
          </w:p>
        </w:tc>
        <w:tc>
          <w:tcPr>
            <w:tcW w:w="1600" w:type="dxa"/>
            <w:vAlign w:val="bottom"/>
          </w:tcPr>
          <w:p>
            <w:pPr>
              <w:ind w:left="400"/>
              <w:spacing w:after="0"/>
              <w:rPr>
                <w:sz w:val="20"/>
                <w:szCs w:val="20"/>
                <w:color w:val="auto"/>
              </w:rPr>
            </w:pPr>
            <w:r>
              <w:rPr>
                <w:rFonts w:ascii="Arial" w:cs="Arial" w:eastAsia="Arial" w:hAnsi="Arial"/>
                <w:sz w:val="17"/>
                <w:szCs w:val="17"/>
                <w:color w:val="0000FF"/>
              </w:rPr>
              <w:t>38103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930" w:orient="portrait"/>
          <w:cols w:equalWidth="0" w:num="2">
            <w:col w:w="3760" w:space="160"/>
            <w:col w:w="708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172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02/27/2023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7"/>
              </w:rPr>
              <w:t>21,705</w:t>
            </w:r>
            <w:r>
              <w:rPr>
                <w:rFonts w:ascii="Arial" w:cs="Arial" w:eastAsia="Arial" w:hAnsi="Arial"/>
                <w:sz w:val="22"/>
                <w:szCs w:val="22"/>
                <w:color w:val="008000"/>
                <w:w w:val="97"/>
                <w:vertAlign w:val="superscript"/>
              </w:rPr>
              <w:t>(1)</w:t>
            </w:r>
          </w:p>
        </w:tc>
        <w:tc>
          <w:tcPr>
            <w:tcW w:w="5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218,137</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2,610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I</w:t>
            </w:r>
          </w:p>
        </w:tc>
        <w:tc>
          <w:tcPr>
            <w:tcW w:w="8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Trust A</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2,610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I</w:t>
            </w:r>
          </w:p>
        </w:tc>
        <w:tc>
          <w:tcPr>
            <w:tcW w:w="8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Trust B</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2,610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I</w:t>
            </w:r>
          </w:p>
        </w:tc>
        <w:tc>
          <w:tcPr>
            <w:tcW w:w="8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Trust 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2,610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I</w:t>
            </w:r>
          </w:p>
        </w:tc>
        <w:tc>
          <w:tcPr>
            <w:tcW w:w="8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Trust D</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ind w:left="80"/>
              <w:spacing w:after="0"/>
              <w:rPr>
                <w:sz w:val="20"/>
                <w:szCs w:val="20"/>
                <w:color w:val="auto"/>
              </w:rPr>
            </w:pPr>
            <w:r>
              <w:rPr>
                <w:rFonts w:ascii="Arial" w:cs="Arial" w:eastAsia="Arial" w:hAnsi="Arial"/>
                <w:sz w:val="17"/>
                <w:szCs w:val="17"/>
                <w:color w:val="0000FF"/>
              </w:rPr>
              <w:t>Individual</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46,350</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w w:val="99"/>
              </w:rPr>
              <w:t>retirement</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8"/>
              </w:rPr>
              <w:t>account</w:t>
            </w:r>
            <w:r>
              <w:rPr>
                <w:rFonts w:ascii="Arial" w:cs="Arial" w:eastAsia="Arial" w:hAnsi="Arial"/>
                <w:sz w:val="22"/>
                <w:szCs w:val="22"/>
                <w:color w:val="008000"/>
                <w:w w:val="98"/>
                <w:vertAlign w:val="superscript"/>
              </w:rPr>
              <w:t>(4)</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ind w:left="80"/>
              <w:spacing w:after="0"/>
              <w:rPr>
                <w:sz w:val="20"/>
                <w:szCs w:val="20"/>
                <w:color w:val="auto"/>
              </w:rPr>
            </w:pPr>
            <w:r>
              <w:rPr>
                <w:rFonts w:ascii="Arial" w:cs="Arial" w:eastAsia="Arial" w:hAnsi="Arial"/>
                <w:sz w:val="17"/>
                <w:szCs w:val="17"/>
                <w:color w:val="0000FF"/>
              </w:rPr>
              <w:t>Live Oak</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24,935</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Merchant</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ind w:left="80"/>
              <w:spacing w:after="0"/>
              <w:rPr>
                <w:sz w:val="20"/>
                <w:szCs w:val="20"/>
                <w:color w:val="auto"/>
              </w:rPr>
            </w:pPr>
            <w:r>
              <w:rPr>
                <w:rFonts w:ascii="Arial" w:cs="Arial" w:eastAsia="Arial" w:hAnsi="Arial"/>
                <w:sz w:val="17"/>
                <w:szCs w:val="17"/>
                <w:color w:val="0000FF"/>
              </w:rPr>
              <w:t>Live Oak</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4,631,000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60" w:type="dxa"/>
            <w:vAlign w:val="bottom"/>
          </w:tcPr>
          <w:p>
            <w:pPr>
              <w:ind w:left="80"/>
              <w:spacing w:after="0"/>
              <w:rPr>
                <w:sz w:val="20"/>
                <w:szCs w:val="20"/>
                <w:color w:val="auto"/>
              </w:rPr>
            </w:pPr>
            <w:r>
              <w:rPr>
                <w:rFonts w:ascii="Arial" w:cs="Arial" w:eastAsia="Arial" w:hAnsi="Arial"/>
                <w:sz w:val="17"/>
                <w:szCs w:val="17"/>
                <w:color w:val="0000FF"/>
              </w:rPr>
              <w:t>Sponsor</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107"/>
        </w:trPr>
        <w:tc>
          <w:tcPr>
            <w:tcW w:w="24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80"/>
        <w:spacing w:after="0"/>
        <w:rPr>
          <w:sz w:val="20"/>
          <w:szCs w:val="20"/>
          <w:color w:val="auto"/>
        </w:rPr>
      </w:pPr>
      <w:r>
        <w:rPr>
          <w:rFonts w:ascii="Arial" w:cs="Arial" w:eastAsia="Arial" w:hAnsi="Arial"/>
          <w:sz w:val="17"/>
          <w:szCs w:val="17"/>
          <w:color w:val="0000FF"/>
        </w:rPr>
        <w:t>II, LLC</w:t>
      </w:r>
      <w:r>
        <w:rPr>
          <w:rFonts w:ascii="Arial" w:cs="Arial" w:eastAsia="Arial" w:hAnsi="Arial"/>
          <w:sz w:val="22"/>
          <w:szCs w:val="22"/>
          <w:color w:val="008000"/>
          <w:vertAlign w:val="superscript"/>
        </w:rPr>
        <w:t>(6)</w:t>
      </w:r>
    </w:p>
    <w:p>
      <w:pPr>
        <w:spacing w:after="0" w:line="103"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2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shares underlying restricted stock units ("RSUs") granted under the issuer's non-employee director compensation program and the Navitas Semiconductor Corporation 2021 Equity Incentive Plan (the "Plan"). Each RSU represents the reporting person's right to receive one share of Class A Common Stock of the issuer following the vesting date in accordance with the Plan. All RSUs vest on November 10, 2023, the one-year anniversary of the issuer's 2022 annual stockholders' meeting, subject to the reporting person's continued service as of the vesting date.</w:t>
      </w:r>
    </w:p>
    <w:p>
      <w:pPr>
        <w:spacing w:after="0" w:line="8" w:lineRule="exact"/>
        <w:rPr>
          <w:rFonts w:ascii="Arial" w:cs="Arial" w:eastAsia="Arial" w:hAnsi="Arial"/>
          <w:sz w:val="12"/>
          <w:szCs w:val="12"/>
          <w:color w:val="008000"/>
        </w:rPr>
      </w:pPr>
    </w:p>
    <w:p>
      <w:pPr>
        <w:ind w:left="40" w:right="3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Balance includes 117,136 shares previously reported as held by Live Oak Sponsor Partners II, LLC ("Live Oak") and beneficially owned indirectly by the reporting person by virtue of his pecuniary interest therein.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separate trusts for the benefit of the reporting person's immediate family members.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Balance includes 43,740 shares previously reported as held by Live Oak and beneficially owned indirectly by the reporting person by virtue of his pecuniary interest therein.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previously reported as held by Live Oak and beneficially owned indirectly by the reporting person by virtue of his pecuniary interest therein.</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managing member of Live Oak Sponsor Partners II, LLC. The reporting person disclaims beneficial ownership of the reported securities except to the extent of his pecuniary interest therein.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Gary K. Wunderlich, Jr.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03/01/2023</w:t>
            </w:r>
          </w:p>
        </w:tc>
      </w:tr>
      <w:tr>
        <w:trPr>
          <w:trHeight w:val="233"/>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930" w:orient="portrait"/>
          <w:cols w:equalWidth="0" w:num="1">
            <w:col w:w="11000"/>
          </w:cols>
          <w:pgMar w:left="460" w:top="225"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7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9974" TargetMode="External"/><Relationship Id="rId13"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2023-03-01T19:32:27Z</dcterms:created>
  <dcterms:modified xsi:type="dcterms:W3CDTF">2023-03-01T19:32:27Z</dcterms:modified>
</cp:coreProperties>
</file>