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0001888290</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ind w:right="860"/>
        <w:spacing w:after="0" w:line="281" w:lineRule="auto"/>
        <w:rPr>
          <w:sz w:val="20"/>
          <w:szCs w:val="20"/>
          <w:color w:val="auto"/>
        </w:rPr>
      </w:pPr>
      <w:r>
        <w:rPr>
          <w:rFonts w:ascii="Times New Roman" w:cs="Times New Roman" w:eastAsia="Times New Roman" w:hAnsi="Times New Roman"/>
          <w:sz w:val="22"/>
          <w:szCs w:val="22"/>
          <w:color w:val="auto"/>
        </w:rPr>
        <w:t>Navitas Semiconductor Corporation 001-39755</w:t>
      </w:r>
    </w:p>
    <w:p>
      <w:pPr>
        <w:spacing w:after="0" w:line="2"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3520 Challenger Street</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Torrance</w:t>
      </w:r>
    </w:p>
    <w:p>
      <w:pPr>
        <w:spacing w:after="0" w:line="230" w:lineRule="auto"/>
        <w:rPr>
          <w:sz w:val="20"/>
          <w:szCs w:val="20"/>
          <w:color w:val="auto"/>
        </w:rPr>
      </w:pPr>
      <w:r>
        <w:rPr>
          <w:rFonts w:ascii="Times New Roman" w:cs="Times New Roman" w:eastAsia="Times New Roman" w:hAnsi="Times New Roman"/>
          <w:sz w:val="22"/>
          <w:szCs w:val="22"/>
          <w:color w:val="auto"/>
        </w:rPr>
        <w:t>CALIFORNIA</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90503</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1-844-654-2642</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David Moxam</w:t>
      </w:r>
    </w:p>
    <w:p>
      <w:pPr>
        <w:spacing w:after="0" w:line="44" w:lineRule="exact"/>
        <w:rPr>
          <w:sz w:val="24"/>
          <w:szCs w:val="24"/>
          <w:color w:val="auto"/>
        </w:rPr>
      </w:pPr>
    </w:p>
    <w:p>
      <w:pPr>
        <w:sectPr>
          <w:pgSz w:w="11900" w:h="16838" w:orient="portrait"/>
          <w:cols w:equalWidth="0" w:num="2">
            <w:col w:w="6540" w:space="720"/>
            <w:col w:w="398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2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Goldman Sachs &amp; Co.</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 Stock</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LLC</w:t>
            </w:r>
          </w:p>
        </w:tc>
        <w:tc>
          <w:tcPr>
            <w:tcW w:w="1300" w:type="dxa"/>
            <w:vAlign w:val="bottom"/>
            <w:vMerge w:val="restart"/>
          </w:tcPr>
          <w:p>
            <w:pPr>
              <w:jc w:val="right"/>
              <w:ind w:right="532"/>
              <w:spacing w:after="0"/>
              <w:rPr>
                <w:sz w:val="20"/>
                <w:szCs w:val="20"/>
                <w:color w:val="auto"/>
              </w:rPr>
            </w:pPr>
            <w:r>
              <w:rPr>
                <w:rFonts w:ascii="Times New Roman" w:cs="Times New Roman" w:eastAsia="Times New Roman" w:hAnsi="Times New Roman"/>
                <w:sz w:val="22"/>
                <w:szCs w:val="22"/>
                <w:color w:val="auto"/>
              </w:rPr>
              <w:t>33000</w:t>
            </w:r>
          </w:p>
        </w:tc>
        <w:tc>
          <w:tcPr>
            <w:tcW w:w="1140" w:type="dxa"/>
            <w:vAlign w:val="bottom"/>
            <w:vMerge w:val="restart"/>
          </w:tcPr>
          <w:p>
            <w:pPr>
              <w:jc w:val="right"/>
              <w:ind w:right="452"/>
              <w:spacing w:after="0"/>
              <w:rPr>
                <w:sz w:val="20"/>
                <w:szCs w:val="20"/>
                <w:color w:val="auto"/>
              </w:rPr>
            </w:pPr>
            <w:r>
              <w:rPr>
                <w:rFonts w:ascii="Times New Roman" w:cs="Times New Roman" w:eastAsia="Times New Roman" w:hAnsi="Times New Roman"/>
                <w:sz w:val="22"/>
                <w:szCs w:val="22"/>
                <w:color w:val="auto"/>
              </w:rPr>
              <w:t>96690</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200 West Street</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10282</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w w:val="96"/>
              </w:rPr>
              <w:t>183457686</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08/15/2024   NASD</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53" w:lineRule="exact"/>
        <w:rPr>
          <w:sz w:val="24"/>
          <w:szCs w:val="24"/>
          <w:color w:val="auto"/>
        </w:rPr>
      </w:pPr>
    </w:p>
    <w:tbl>
      <w:tblPr>
        <w:tblLayout w:type="fixed"/>
        <w:tblInd w:w="260" w:type="dxa"/>
        <w:tblCellMar>
          <w:top w:w="0" w:type="dxa"/>
          <w:left w:w="0" w:type="dxa"/>
          <w:bottom w:w="0" w:type="dxa"/>
          <w:right w:w="0" w:type="dxa"/>
        </w:tblCellMar>
      </w:tblPr>
      <w:tr>
        <w:trPr>
          <w:trHeight w:val="253"/>
        </w:trPr>
        <w:tc>
          <w:tcPr>
            <w:tcW w:w="1160" w:type="dxa"/>
            <w:vAlign w:val="bottom"/>
          </w:tcPr>
          <w:p>
            <w:pPr>
              <w:jc w:val="center"/>
              <w:ind w:right="52"/>
              <w:spacing w:after="0"/>
              <w:rPr>
                <w:sz w:val="20"/>
                <w:szCs w:val="20"/>
                <w:color w:val="auto"/>
              </w:rPr>
            </w:pPr>
            <w:r>
              <w:rPr>
                <w:rFonts w:ascii="Times New Roman" w:cs="Times New Roman" w:eastAsia="Times New Roman" w:hAnsi="Times New Roman"/>
                <w:sz w:val="22"/>
                <w:szCs w:val="22"/>
                <w:b w:val="1"/>
                <w:bCs w:val="1"/>
                <w:color w:val="auto"/>
                <w:w w:val="97"/>
              </w:rPr>
              <w:t>Title of the</w:t>
            </w:r>
          </w:p>
        </w:tc>
        <w:tc>
          <w:tcPr>
            <w:tcW w:w="1220" w:type="dxa"/>
            <w:vAlign w:val="bottom"/>
          </w:tcPr>
          <w:p>
            <w:pPr>
              <w:ind w:left="18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Nature of</w:t>
            </w:r>
          </w:p>
        </w:tc>
        <w:tc>
          <w:tcPr>
            <w:tcW w:w="1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Date</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Amount of</w:t>
            </w:r>
          </w:p>
        </w:tc>
        <w:tc>
          <w:tcPr>
            <w:tcW w:w="11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2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r>
      <w:tr>
        <w:trPr>
          <w:trHeight w:val="243"/>
        </w:trPr>
        <w:tc>
          <w:tcPr>
            <w:tcW w:w="1160" w:type="dxa"/>
            <w:vAlign w:val="bottom"/>
          </w:tcPr>
          <w:p>
            <w:pPr>
              <w:jc w:val="center"/>
              <w:ind w:right="52"/>
              <w:spacing w:after="0" w:line="243" w:lineRule="exact"/>
              <w:rPr>
                <w:sz w:val="20"/>
                <w:szCs w:val="20"/>
                <w:color w:val="auto"/>
              </w:rPr>
            </w:pPr>
            <w:r>
              <w:rPr>
                <w:rFonts w:ascii="Times New Roman" w:cs="Times New Roman" w:eastAsia="Times New Roman" w:hAnsi="Times New Roman"/>
                <w:sz w:val="22"/>
                <w:szCs w:val="22"/>
                <w:b w:val="1"/>
                <w:bCs w:val="1"/>
                <w:color w:val="auto"/>
                <w:w w:val="95"/>
              </w:rPr>
              <w:t>Class</w:t>
            </w:r>
          </w:p>
        </w:tc>
        <w:tc>
          <w:tcPr>
            <w:tcW w:w="122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10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18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220" w:type="dxa"/>
            <w:vAlign w:val="bottom"/>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86"/>
        </w:trPr>
        <w:tc>
          <w:tcPr>
            <w:tcW w:w="1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18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240"/>
          </w:cols>
          <w:pgMar w:left="320" w:top="261" w:right="339" w:bottom="0" w:gutter="0" w:footer="0" w:header="0"/>
          <w:type w:val="continuous"/>
        </w:sectPr>
      </w:pPr>
    </w:p>
    <w:bookmarkStart w:id="1" w:name="page2"/>
    <w:bookmarkEnd w:id="1"/>
    <w:p>
      <w:pPr>
        <w:jc w:val="center"/>
        <w:ind w:left="4560"/>
        <w:spacing w:after="0"/>
        <w:rPr>
          <w:sz w:val="20"/>
          <w:szCs w:val="20"/>
          <w:color w:val="auto"/>
        </w:rPr>
      </w:pPr>
      <w:r>
        <w:rPr>
          <w:rFonts w:ascii="Times New Roman" w:cs="Times New Roman" w:eastAsia="Times New Roman" w:hAnsi="Times New Roman"/>
          <w:sz w:val="22"/>
          <w:szCs w:val="22"/>
          <w:b w:val="1"/>
          <w:bCs w:val="1"/>
          <w:color w:val="auto"/>
        </w:rPr>
        <w:t>Whom</w:t>
      </w:r>
    </w:p>
    <w:p>
      <w:pPr>
        <w:spacing w:after="0" w:line="19" w:lineRule="exact"/>
        <w:rPr>
          <w:sz w:val="20"/>
          <w:szCs w:val="20"/>
          <w:color w:val="auto"/>
        </w:rPr>
      </w:pPr>
    </w:p>
    <w:p>
      <w:pPr>
        <w:jc w:val="center"/>
        <w:ind w:left="4560"/>
        <w:spacing w:after="0"/>
        <w:rPr>
          <w:sz w:val="20"/>
          <w:szCs w:val="20"/>
          <w:color w:val="auto"/>
        </w:rPr>
      </w:pPr>
      <w:r>
        <w:rPr>
          <w:rFonts w:ascii="Times New Roman" w:cs="Times New Roman" w:eastAsia="Times New Roman" w:hAnsi="Times New Roman"/>
          <w:sz w:val="21"/>
          <w:szCs w:val="21"/>
          <w:b w:val="1"/>
          <w:bCs w:val="1"/>
          <w:color w:val="auto"/>
        </w:rPr>
        <w:t>Acquired</w:t>
      </w:r>
    </w:p>
    <w:p>
      <w:pPr>
        <w:spacing w:after="0" w:line="20" w:lineRule="exact"/>
        <w:rPr>
          <w:sz w:val="20"/>
          <w:szCs w:val="20"/>
          <w:color w:val="auto"/>
        </w:rPr>
      </w:pPr>
      <w:r>
        <w:rPr>
          <w:sz w:val="20"/>
          <w:szCs w:val="20"/>
          <w:color w:val="auto"/>
        </w:rPr>
        <w:br w:type="column"/>
      </w:r>
    </w:p>
    <w:p>
      <w:pPr>
        <w:jc w:val="center"/>
        <w:ind w:right="5000"/>
        <w:spacing w:after="0"/>
        <w:rPr>
          <w:sz w:val="20"/>
          <w:szCs w:val="20"/>
          <w:color w:val="auto"/>
        </w:rPr>
      </w:pPr>
      <w:r>
        <w:rPr>
          <w:rFonts w:ascii="Times New Roman" w:cs="Times New Roman" w:eastAsia="Times New Roman" w:hAnsi="Times New Roman"/>
          <w:sz w:val="22"/>
          <w:szCs w:val="22"/>
          <w:b w:val="1"/>
          <w:bCs w:val="1"/>
          <w:color w:val="auto"/>
        </w:rPr>
        <w:t>a</w:t>
      </w:r>
    </w:p>
    <w:p>
      <w:pPr>
        <w:spacing w:after="0" w:line="19" w:lineRule="exact"/>
        <w:rPr>
          <w:sz w:val="20"/>
          <w:szCs w:val="20"/>
          <w:color w:val="auto"/>
        </w:rPr>
      </w:pPr>
    </w:p>
    <w:p>
      <w:pPr>
        <w:jc w:val="center"/>
        <w:ind w:right="5000"/>
        <w:spacing w:after="0"/>
        <w:rPr>
          <w:sz w:val="20"/>
          <w:szCs w:val="20"/>
          <w:color w:val="auto"/>
        </w:rPr>
      </w:pPr>
      <w:r>
        <w:rPr>
          <w:rFonts w:ascii="Times New Roman" w:cs="Times New Roman" w:eastAsia="Times New Roman" w:hAnsi="Times New Roman"/>
          <w:sz w:val="21"/>
          <w:szCs w:val="21"/>
          <w:b w:val="1"/>
          <w:bCs w:val="1"/>
          <w:color w:val="auto"/>
        </w:rPr>
        <w:t>Gift?</w:t>
      </w:r>
    </w:p>
    <w:p>
      <w:pPr>
        <w:spacing w:after="0" w:line="45" w:lineRule="exact"/>
        <w:rPr>
          <w:sz w:val="20"/>
          <w:szCs w:val="20"/>
          <w:color w:val="auto"/>
        </w:rPr>
      </w:pPr>
    </w:p>
    <w:p>
      <w:pPr>
        <w:sectPr>
          <w:pgSz w:w="11900" w:h="16838" w:orient="portrait"/>
          <w:cols w:equalWidth="0" w:num="2">
            <w:col w:w="5420" w:space="340"/>
            <w:col w:w="5480"/>
          </w:cols>
          <w:pgMar w:left="320" w:top="108" w:right="339" w:bottom="1440" w:gutter="0" w:footer="0" w:header="0"/>
        </w:sectPr>
      </w:pPr>
    </w:p>
    <w:p>
      <w:pPr>
        <w:spacing w:after="0" w:line="24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Common Stock</w:t>
      </w:r>
    </w:p>
    <w:p>
      <w:pPr>
        <w:spacing w:after="0" w:line="20" w:lineRule="exact"/>
        <w:rPr>
          <w:sz w:val="20"/>
          <w:szCs w:val="20"/>
          <w:color w:val="auto"/>
        </w:rPr>
      </w:pPr>
      <w:r>
        <w:rPr>
          <w:sz w:val="20"/>
          <w:szCs w:val="20"/>
          <w:color w:val="auto"/>
        </w:rPr>
        <w:br w:type="column"/>
      </w:r>
    </w:p>
    <w:p>
      <w:pPr>
        <w:ind w:left="1040"/>
        <w:spacing w:after="0"/>
        <w:rPr>
          <w:sz w:val="20"/>
          <w:szCs w:val="20"/>
          <w:color w:val="auto"/>
        </w:rPr>
      </w:pPr>
      <w:r>
        <w:rPr>
          <w:rFonts w:ascii="Times New Roman" w:cs="Times New Roman" w:eastAsia="Times New Roman" w:hAnsi="Times New Roman"/>
          <w:sz w:val="22"/>
          <w:szCs w:val="22"/>
          <w:color w:val="auto"/>
        </w:rPr>
        <w:t>Acquired from</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10/19/2021 issuer in private</w:t>
      </w:r>
    </w:p>
    <w:p>
      <w:pPr>
        <w:spacing w:after="0" w:line="2"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22"/>
          <w:szCs w:val="22"/>
          <w:color w:val="auto"/>
        </w:rPr>
        <w:t>transaction</w:t>
      </w:r>
    </w:p>
    <w:p>
      <w:pPr>
        <w:spacing w:after="0" w:line="20" w:lineRule="exact"/>
        <w:rPr>
          <w:sz w:val="20"/>
          <w:szCs w:val="20"/>
          <w:color w:val="auto"/>
        </w:rPr>
      </w:pPr>
      <w:r>
        <w:rPr>
          <w:sz w:val="20"/>
          <w:szCs w:val="20"/>
          <w:color w:val="auto"/>
        </w:rPr>
        <w:br w:type="column"/>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The Issuer</w:t>
      </w:r>
    </w:p>
    <w:p>
      <w:pPr>
        <w:spacing w:after="0" w:line="20" w:lineRule="exact"/>
        <w:rPr>
          <w:sz w:val="20"/>
          <w:szCs w:val="20"/>
          <w:color w:val="auto"/>
        </w:rPr>
      </w:pPr>
      <w:r>
        <w:rPr>
          <w:sz w:val="20"/>
          <w:szCs w:val="20"/>
          <w:color w:val="auto"/>
        </w:rPr>
        <w:br w:type="column"/>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33000</w:t>
      </w:r>
    </w:p>
    <w:p>
      <w:pPr>
        <w:spacing w:after="0" w:line="20" w:lineRule="exact"/>
        <w:rPr>
          <w:sz w:val="20"/>
          <w:szCs w:val="20"/>
          <w:color w:val="auto"/>
        </w:rPr>
      </w:pPr>
      <w:r>
        <w:rPr>
          <w:sz w:val="20"/>
          <w:szCs w:val="20"/>
          <w:color w:val="auto"/>
        </w:rPr>
        <w:br w:type="column"/>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10/19/2021 None</w:t>
      </w:r>
    </w:p>
    <w:p>
      <w:pPr>
        <w:spacing w:after="0" w:line="478" w:lineRule="exact"/>
        <w:rPr>
          <w:sz w:val="20"/>
          <w:szCs w:val="20"/>
          <w:color w:val="auto"/>
        </w:rPr>
      </w:pPr>
    </w:p>
    <w:p>
      <w:pPr>
        <w:sectPr>
          <w:pgSz w:w="11900" w:h="16838" w:orient="portrait"/>
          <w:cols w:equalWidth="0" w:num="5">
            <w:col w:w="1400" w:space="120"/>
            <w:col w:w="2420" w:space="320"/>
            <w:col w:w="2240" w:space="720"/>
            <w:col w:w="580" w:space="720"/>
            <w:col w:w="2720"/>
          </w:cols>
          <w:pgMar w:left="320" w:top="108" w:right="339" w:bottom="1440" w:gutter="0" w:footer="0" w:header="0"/>
          <w:type w:val="continuous"/>
        </w:sectPr>
      </w:pPr>
    </w:p>
    <w:p>
      <w:pPr>
        <w:spacing w:after="0" w:line="50"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184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1520" w:type="dxa"/>
            <w:vAlign w:val="bottom"/>
          </w:tcPr>
          <w:p>
            <w:pPr>
              <w:spacing w:after="0"/>
              <w:rPr>
                <w:sz w:val="24"/>
                <w:szCs w:val="24"/>
                <w:color w:val="auto"/>
              </w:rPr>
            </w:pPr>
          </w:p>
        </w:tc>
      </w:tr>
      <w:tr>
        <w:trPr>
          <w:trHeight w:val="297"/>
        </w:trPr>
        <w:tc>
          <w:tcPr>
            <w:tcW w:w="184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15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08/15/2024</w:t>
            </w:r>
          </w:p>
        </w:tc>
      </w:tr>
      <w:tr>
        <w:trPr>
          <w:trHeight w:val="297"/>
        </w:trPr>
        <w:tc>
          <w:tcPr>
            <w:tcW w:w="184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1520" w:type="dxa"/>
            <w:vAlign w:val="bottom"/>
          </w:tcPr>
          <w:p>
            <w:pPr>
              <w:spacing w:after="0"/>
              <w:rPr>
                <w:sz w:val="24"/>
                <w:szCs w:val="24"/>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24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Goldman Sachs &amp; Co. LLC on behalf of David Moxam</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2024-08-15T16:57:29Z</dcterms:created>
  <dcterms:modified xsi:type="dcterms:W3CDTF">2024-08-15T16:57:29Z</dcterms:modified>
</cp:coreProperties>
</file>