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460"/>
        <w:spacing w:after="0" w:line="21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w:t>
      </w:r>
    </w:p>
    <w:p>
      <w:pPr>
        <w:ind w:left="460" w:hanging="434"/>
        <w:spacing w:after="0" w:line="235"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 the quarterly period ended September 30, 2022</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12" w:lineRule="exact"/>
        <w:rPr>
          <w:sz w:val="24"/>
          <w:szCs w:val="24"/>
          <w:color w:val="auto"/>
        </w:rPr>
      </w:pPr>
    </w:p>
    <w:p>
      <w:pPr>
        <w:ind w:left="460" w:right="300" w:hanging="434"/>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79375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Corporation</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4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3"/>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Arial" w:cs="Arial" w:eastAsia="Arial" w:hAnsi="Arial"/>
                <w:sz w:val="18"/>
                <w:szCs w:val="18"/>
                <w:b w:val="1"/>
                <w:bCs w:val="1"/>
                <w:color w:val="auto"/>
              </w:rPr>
              <w:t>85-2560226</w:t>
            </w:r>
          </w:p>
        </w:tc>
        <w:tc>
          <w:tcPr>
            <w:tcW w:w="0" w:type="dxa"/>
            <w:vAlign w:val="bottom"/>
          </w:tcPr>
          <w:p>
            <w:pPr>
              <w:spacing w:after="0"/>
              <w:rPr>
                <w:sz w:val="1"/>
                <w:szCs w:val="1"/>
                <w:color w:val="auto"/>
              </w:rPr>
            </w:pPr>
          </w:p>
        </w:tc>
      </w:tr>
      <w:tr>
        <w:trPr>
          <w:trHeight w:val="229"/>
        </w:trPr>
        <w:tc>
          <w:tcPr>
            <w:tcW w:w="442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442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9"/>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6"/>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72"/>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6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2"/>
              </w:rPr>
              <w:t>Trading Symbol(s)</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6"/>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Arial" w:cs="Arial" w:eastAsia="Arial" w:hAnsi="Arial"/>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c>
          <w:tcPr>
            <w:tcW w:w="0" w:type="dxa"/>
            <w:vAlign w:val="bottom"/>
          </w:tcPr>
          <w:p>
            <w:pPr>
              <w:spacing w:after="0"/>
              <w:rPr>
                <w:sz w:val="1"/>
                <w:szCs w:val="1"/>
                <w:color w:val="auto"/>
              </w:rPr>
            </w:pPr>
          </w:p>
        </w:tc>
      </w:tr>
      <w:tr>
        <w:trPr>
          <w:trHeight w:val="126"/>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par value $0.0001 per share</w:t>
            </w:r>
          </w:p>
        </w:tc>
        <w:tc>
          <w:tcPr>
            <w:tcW w:w="380" w:type="dxa"/>
            <w:vAlign w:val="bottom"/>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4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70" w:gutter="0" w:footer="0" w:header="0"/>
        </w:sectPr>
      </w:pPr>
    </w:p>
    <w:bookmarkStart w:id="1" w:name="page2"/>
    <w:bookmarkEnd w:id="1"/>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153,443,105 shares of Class A Common Stock and 0 shares of Class B Common Stock were outstanding at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contains forward-looking statements. All statements other than statements of historical facts contained in this quarterly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risks and uncertainties that could cause actual results to differ materially from those in the forward-looking statements, including risks and uncertainties relating to:</w:t>
      </w:r>
    </w:p>
    <w:p>
      <w:pPr>
        <w:spacing w:after="0" w:line="8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financial and business performance;</w:t>
      </w:r>
    </w:p>
    <w:p>
      <w:pPr>
        <w:spacing w:after="0" w:line="4" w:lineRule="exact"/>
        <w:rPr>
          <w:rFonts w:ascii="Arial" w:cs="Arial" w:eastAsia="Arial" w:hAnsi="Arial"/>
          <w:sz w:val="20"/>
          <w:szCs w:val="20"/>
          <w:color w:val="auto"/>
        </w:rPr>
      </w:pPr>
    </w:p>
    <w:p>
      <w:pPr>
        <w:ind w:left="660" w:hanging="328"/>
        <w:spacing w:after="0" w:line="22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realize benefits from the acquisition of GeneSiC Semiconductor Inc. on August 15, 2022, as discussed elsewhere in this report including in Part II, Item 1A (Risk Factors);</w:t>
      </w:r>
    </w:p>
    <w:p>
      <w:pPr>
        <w:ind w:left="660" w:hanging="328"/>
        <w:spacing w:after="0" w:line="21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realize benefits of the Business Combination, which may be affected by, among other things, competition and our ability to grow and manage growth profitably;</w:t>
      </w:r>
    </w:p>
    <w:p>
      <w:pPr>
        <w:ind w:left="660" w:hanging="328"/>
        <w:spacing w:after="0" w:line="22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realize the benefits of the Business Combination, which may be affected by, among other things, competition and our ability to grow and manage growth profitably;</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product development timeline and expected start of production;</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implementation, market acceptance and success of our business model;</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scale in a cost-effective manner;</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developments relating to our competitors and industry;</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impact of health epidemics, including the Covid-19 pandemic, on our business and the actions we may take in response thereto;</w:t>
      </w:r>
    </w:p>
    <w:p>
      <w:pPr>
        <w:ind w:left="640" w:hanging="308"/>
        <w:spacing w:after="0" w:line="235" w:lineRule="auto"/>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our ability to obtain and maintain intellectual property protection, and not infringe on the rights of the intellectual property rights others;</w:t>
      </w:r>
    </w:p>
    <w:p>
      <w:pPr>
        <w:spacing w:after="0" w:line="2" w:lineRule="exact"/>
        <w:rPr>
          <w:rFonts w:ascii="Arial" w:cs="Arial" w:eastAsia="Arial" w:hAnsi="Arial"/>
          <w:sz w:val="19"/>
          <w:szCs w:val="19"/>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status as an emerging growth company (as defined by U.S. federal law);</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future capital requirements and sources and uses of cash;</w:t>
      </w:r>
    </w:p>
    <w:p>
      <w:pPr>
        <w:spacing w:after="0" w:line="2"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obtain funding for our operations;</w:t>
      </w: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business, expansion plans and opportunities;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outcome of any known and unknown litigation and regulatory proceedings; and</w:t>
      </w:r>
    </w:p>
    <w:p>
      <w:pPr>
        <w:spacing w:after="0" w:line="2"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the risks and uncertainties described in the summary below, and in our annual report on Form 10-K in the section titled “Risk Factors.”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quarterly report may not prove to be accurate.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as required by applicable law, we do not plan to publicly update or revise any forward-looking statements contained in this quarterly report, whether as a result of any new information, future events, changed circumstances or otherwise.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line="29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should read this quarterly report completely, and with the understanding that our actual future results may be materially different from what we expect.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6"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our annual report on Form 10-K and in Part II, Item 1A of this and our other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foregoing, we are exposed to a variety of risks, including risks associated with the following: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54"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Our success and future revenue depend on our ability to achieve design wins and to convince our current and prospective end customers to design our products into their product offerings.</w:t>
      </w:r>
    </w:p>
    <w:p>
      <w:pPr>
        <w:jc w:val="both"/>
        <w:ind w:left="660" w:hanging="328"/>
        <w:spacing w:after="0" w:line="23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date we have been successful in introducing our leading-edge GaN power IC technology in mobile charging applications, such as wall chargers and adapters for mobile phones and laptop computers, and on motor drives for home appliances and industrial applications,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spacing w:after="0" w:line="4" w:lineRule="exact"/>
        <w:rPr>
          <w:rFonts w:ascii="Arial" w:cs="Arial" w:eastAsia="Arial" w:hAnsi="Arial"/>
          <w:sz w:val="18"/>
          <w:szCs w:val="18"/>
          <w:color w:val="auto"/>
        </w:rPr>
      </w:pPr>
    </w:p>
    <w:p>
      <w:pPr>
        <w:jc w:val="both"/>
        <w:ind w:left="660" w:hanging="328"/>
        <w:spacing w:after="0" w:line="27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recent acquisition of GeneSiC Semiconductor Inc. (“GeneSiC”) is our first significant acquisition. We are devoting, and expect to continue to devote, significant time and attention to integrating GeneSiC with our existing operations teams. Given our relatively small size and relative inexperience with acquisitions, we expect to face challenges which present a number of risks to achieving the anticipated benefits of the acquisition. Our post-acquisition revenue, expenses, results of operations and financial condition could be materially adversely affected as a result.</w:t>
      </w:r>
    </w:p>
    <w:p>
      <w:pPr>
        <w:spacing w:after="0" w:line="1" w:lineRule="exact"/>
        <w:rPr>
          <w:rFonts w:ascii="Arial" w:cs="Arial" w:eastAsia="Arial" w:hAnsi="Arial"/>
          <w:sz w:val="16"/>
          <w:szCs w:val="16"/>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w:t>
      </w:r>
    </w:p>
    <w:p>
      <w:pPr>
        <w:spacing w:after="0" w:line="46" w:lineRule="exact"/>
        <w:rPr>
          <w:rFonts w:ascii="Arial" w:cs="Arial" w:eastAsia="Arial" w:hAnsi="Arial"/>
          <w:sz w:val="18"/>
          <w:szCs w:val="18"/>
          <w:color w:val="auto"/>
        </w:rPr>
      </w:pPr>
    </w:p>
    <w:p>
      <w:pPr>
        <w:jc w:val="both"/>
        <w:ind w:left="660" w:hanging="328"/>
        <w:spacing w:after="0" w:line="230"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rely on a single third-party wafer fabrication facility for the fabrication of semiconductor wafers for GaN ICs and a separate third-party wafer fabrication facility for the fabrication of semiconductor wafers SiC MOSFETs and on a limited number of suppliers of other materials, and the failure of either of these facilities or any of these suppliers or additional suppliers to continue to produce wafers or other materials on a timely basis could harm our business and our financial results.</w:t>
      </w:r>
    </w:p>
    <w:p>
      <w:pPr>
        <w:spacing w:after="0" w:line="26" w:lineRule="exact"/>
        <w:rPr>
          <w:rFonts w:ascii="Arial" w:cs="Arial" w:eastAsia="Arial" w:hAnsi="Arial"/>
          <w:sz w:val="22"/>
          <w:szCs w:val="22"/>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spacing w:after="0" w:line="19"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spacing w:after="0" w:line="1" w:lineRule="exact"/>
        <w:rPr>
          <w:rFonts w:ascii="Arial" w:cs="Arial" w:eastAsia="Arial" w:hAnsi="Arial"/>
          <w:sz w:val="17"/>
          <w:szCs w:val="17"/>
          <w:color w:val="auto"/>
        </w:rPr>
      </w:pPr>
    </w:p>
    <w:p>
      <w:pPr>
        <w:ind w:left="660" w:hanging="328"/>
        <w:spacing w:after="0" w:line="299"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jc w:val="both"/>
        <w:ind w:left="66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2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19" w:lineRule="exact"/>
        <w:rPr>
          <w:rFonts w:ascii="Arial" w:cs="Arial" w:eastAsia="Arial" w:hAnsi="Arial"/>
          <w:sz w:val="18"/>
          <w:szCs w:val="18"/>
          <w:i w:val="1"/>
          <w:iCs w:val="1"/>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pursue mergers, acquisitions, investments and joint ventures, which could divert our management’s attention or otherwise disrupt our operations and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Tax-Related Risks</w:t>
      </w:r>
    </w:p>
    <w:p>
      <w:pPr>
        <w:spacing w:after="0" w:line="54" w:lineRule="exact"/>
        <w:rPr>
          <w:sz w:val="20"/>
          <w:szCs w:val="20"/>
          <w:color w:val="auto"/>
        </w:rPr>
      </w:pPr>
    </w:p>
    <w:p>
      <w:pPr>
        <w:ind w:left="660" w:hanging="328"/>
        <w:spacing w:after="0" w:line="299"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jc w:val="both"/>
        <w:ind w:left="660" w:hanging="328"/>
        <w:spacing w:after="0" w:line="24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1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adjustment to the purchase price of the assets that were transferred pursuant to the restructuring of Legacy Navitas in 2020 could adversely impact our tax position.</w:t>
      </w:r>
    </w:p>
    <w:p>
      <w:pPr>
        <w:spacing w:after="0" w:line="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net operating loss carryforwards and other tax attributes may be limited in connection with the Business Combination or other ownership changes.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54"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rights. If we fail to adequately enforce or defend our intellectual property rights, our business may be harmed.</w:t>
      </w:r>
    </w:p>
    <w:p>
      <w:pPr>
        <w:spacing w:after="0" w:line="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obtain additional patents and the legal protection afforded by any additional patents may not adequately cover the full scope of our business or permit us to gain or keep competitive advantage.</w:t>
      </w:r>
    </w:p>
    <w:p>
      <w:pPr>
        <w:spacing w:after="0" w:line="8"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infringe or misappropriate, or are accused of infringing or misappropriating, the intellectual property rights of third parties, we may incur substantial costs or be prevented from being able to commercialize new products.</w:t>
      </w: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design and introduce new products in a timely manner is dependent upon third-party IP, including third party and “open source” software.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67" w:lineRule="exact"/>
        <w:rPr>
          <w:sz w:val="20"/>
          <w:szCs w:val="20"/>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Concentration of ownership among existing executive officers, directors and their affiliates, including the investment funds they represent, may prevent new investors from influencing significant corporate decisions.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securities analysts do not publish research or reports about our business or if they downgrade our stock or our sector, our stock price and trading volume could decline.</w:t>
      </w:r>
    </w:p>
    <w:p>
      <w:pPr>
        <w:spacing w:after="0" w:line="2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of additional capital stock in connection with financings, acquisitions, investments, our stock incentive plans or otherwise by us could dilute the ownership and voting power of our stockholders.</w:t>
      </w:r>
    </w:p>
    <w:p>
      <w:pPr>
        <w:spacing w:after="0" w:line="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12" w:lineRule="exact"/>
        <w:rPr>
          <w:rFonts w:ascii="Arial" w:cs="Arial" w:eastAsia="Arial" w:hAnsi="Arial"/>
          <w:sz w:val="18"/>
          <w:szCs w:val="18"/>
          <w:color w:val="auto"/>
        </w:rPr>
      </w:pPr>
    </w:p>
    <w:p>
      <w:pPr>
        <w:jc w:val="both"/>
        <w:ind w:left="660" w:hanging="328"/>
        <w:spacing w:after="0" w:line="24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issue a substantial number of additional shares under our employee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 w:name="page6"/>
    <w:bookmarkEnd w:id="5"/>
    <w:p>
      <w:pPr>
        <w:spacing w:after="0" w:line="200" w:lineRule="exact"/>
        <w:rPr>
          <w:sz w:val="20"/>
          <w:szCs w:val="20"/>
          <w:color w:val="auto"/>
        </w:rPr>
      </w:pPr>
    </w:p>
    <w:p>
      <w:pPr>
        <w:spacing w:after="0" w:line="31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0E32E1"/>
        </w:rPr>
        <w:t>Part I - Financial Information</w:t>
      </w:r>
    </w:p>
    <w:p>
      <w:pPr>
        <w:spacing w:after="0" w:line="200" w:lineRule="exact"/>
        <w:rPr>
          <w:sz w:val="20"/>
          <w:szCs w:val="20"/>
          <w:color w:val="auto"/>
        </w:rPr>
      </w:pPr>
    </w:p>
    <w:p>
      <w:pPr>
        <w:spacing w:after="0" w:line="34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0000FF"/>
        </w:rPr>
        <w:t>Financial Statements (unaudited)</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Condensed Consolidated Balance Sheets as of September 30, 2022 and December 31, 2021</w:t>
      </w:r>
    </w:p>
    <w:p>
      <w:pPr>
        <w:spacing w:after="0" w:line="23" w:lineRule="exact"/>
        <w:rPr>
          <w:sz w:val="20"/>
          <w:szCs w:val="20"/>
          <w:color w:val="auto"/>
        </w:rPr>
      </w:pPr>
    </w:p>
    <w:p>
      <w:pPr>
        <w:ind w:left="1140" w:right="60"/>
        <w:spacing w:after="0" w:line="234" w:lineRule="auto"/>
        <w:rPr>
          <w:sz w:val="20"/>
          <w:szCs w:val="20"/>
          <w:color w:val="auto"/>
        </w:rPr>
      </w:pPr>
      <w:r>
        <w:rPr>
          <w:rFonts w:ascii="Arial" w:cs="Arial" w:eastAsia="Arial" w:hAnsi="Arial"/>
          <w:sz w:val="18"/>
          <w:szCs w:val="18"/>
          <w:u w:val="single" w:color="auto"/>
          <w:color w:val="0000FF"/>
        </w:rPr>
        <w:t>Condensed Consolidated Statements of Operations for the Three Months and Nine Months Ended September 30, 2022 and 2021</w:t>
      </w:r>
    </w:p>
    <w:p>
      <w:pPr>
        <w:spacing w:after="0" w:line="14" w:lineRule="exact"/>
        <w:rPr>
          <w:sz w:val="20"/>
          <w:szCs w:val="20"/>
          <w:color w:val="auto"/>
        </w:rPr>
      </w:pPr>
    </w:p>
    <w:p>
      <w:pPr>
        <w:ind w:left="1140" w:right="420"/>
        <w:spacing w:after="0" w:line="235" w:lineRule="auto"/>
        <w:rPr>
          <w:sz w:val="20"/>
          <w:szCs w:val="20"/>
          <w:color w:val="auto"/>
        </w:rPr>
      </w:pPr>
      <w:r>
        <w:rPr>
          <w:rFonts w:ascii="Arial" w:cs="Arial" w:eastAsia="Arial" w:hAnsi="Arial"/>
          <w:sz w:val="18"/>
          <w:szCs w:val="18"/>
          <w:u w:val="single" w:color="auto"/>
          <w:color w:val="0000FF"/>
        </w:rPr>
        <w:t>Condensed Consolidated Statements of Comprehensive Income (Loss) for the Three Months and Nine Months Ended September 30, 2022 and 2021</w:t>
      </w:r>
    </w:p>
    <w:p>
      <w:pPr>
        <w:spacing w:after="0" w:line="13" w:lineRule="exact"/>
        <w:rPr>
          <w:sz w:val="20"/>
          <w:szCs w:val="20"/>
          <w:color w:val="auto"/>
        </w:rPr>
      </w:pPr>
    </w:p>
    <w:p>
      <w:pPr>
        <w:ind w:left="1140"/>
        <w:spacing w:after="0" w:line="235" w:lineRule="auto"/>
        <w:rPr>
          <w:sz w:val="20"/>
          <w:szCs w:val="20"/>
          <w:color w:val="auto"/>
        </w:rPr>
      </w:pPr>
      <w:r>
        <w:rPr>
          <w:rFonts w:ascii="Arial" w:cs="Arial" w:eastAsia="Arial" w:hAnsi="Arial"/>
          <w:sz w:val="18"/>
          <w:szCs w:val="18"/>
          <w:u w:val="single" w:color="auto"/>
          <w:color w:val="0000FF"/>
        </w:rPr>
        <w:t>Condensed Consolidated Statements of Redeemable Convertible Preferred Stock and Stockholders’ Equity (Deficit) for the Three Months and Nine Months Ended September 30, 2022 and 2021</w:t>
      </w:r>
    </w:p>
    <w:p>
      <w:pPr>
        <w:spacing w:after="0" w:line="13" w:lineRule="exact"/>
        <w:rPr>
          <w:sz w:val="20"/>
          <w:szCs w:val="20"/>
          <w:color w:val="auto"/>
        </w:rPr>
      </w:pPr>
    </w:p>
    <w:p>
      <w:pPr>
        <w:ind w:left="1140" w:right="1020"/>
        <w:spacing w:after="0" w:line="266" w:lineRule="auto"/>
        <w:rPr>
          <w:sz w:val="20"/>
          <w:szCs w:val="20"/>
          <w:color w:val="auto"/>
        </w:rPr>
      </w:pPr>
      <w:r>
        <w:rPr>
          <w:rFonts w:ascii="Arial" w:cs="Arial" w:eastAsia="Arial" w:hAnsi="Arial"/>
          <w:sz w:val="18"/>
          <w:szCs w:val="18"/>
          <w:u w:val="single" w:color="auto"/>
          <w:color w:val="0000FF"/>
        </w:rPr>
        <w:t xml:space="preserve">Condensed Consolidated Statements of Cash Flow for the Nine Months Ended September 30, 2022 and 2021 </w:t>
      </w:r>
      <w:r>
        <w:rPr>
          <w:rFonts w:ascii="Arial" w:cs="Arial" w:eastAsia="Arial" w:hAnsi="Arial"/>
          <w:sz w:val="18"/>
          <w:szCs w:val="18"/>
          <w:u w:val="single" w:color="auto"/>
          <w:color w:val="0E32E1"/>
        </w:rPr>
        <w:t>Condensed Notes to Consolidated Financial Statements</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0000FF"/>
        </w:rPr>
        <w:t>Management’s Discussion and Analysis of Financial Conditions and Operating Results</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0000FF"/>
        </w:rPr>
        <w:t>Control and Procedures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4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552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vMerge w:val="continue"/>
          </w:tcPr>
          <w:p>
            <w:pPr>
              <w:spacing w:after="0"/>
              <w:rPr>
                <w:sz w:val="21"/>
                <w:szCs w:val="21"/>
                <w:color w:val="auto"/>
              </w:rPr>
            </w:pPr>
          </w:p>
        </w:tc>
        <w:tc>
          <w:tcPr>
            <w:tcW w:w="5520" w:type="dxa"/>
            <w:vAlign w:val="bottom"/>
            <w:gridSpan w:val="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3020" w:type="dxa"/>
            <w:vAlign w:val="bottom"/>
            <w:tcBorders>
              <w:top w:val="single" w:sz="8" w:color="0000FF"/>
            </w:tcBorders>
            <w:gridSpan w:val="3"/>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520" w:type="dxa"/>
            <w:vAlign w:val="bottom"/>
            <w:gridSpan w:val="7"/>
          </w:tcPr>
          <w:p>
            <w:pPr>
              <w:spacing w:after="0"/>
              <w:rPr>
                <w:sz w:val="20"/>
                <w:szCs w:val="20"/>
                <w:color w:val="auto"/>
              </w:rPr>
            </w:pPr>
            <w:r>
              <w:rPr>
                <w:rFonts w:ascii="Arial" w:cs="Arial" w:eastAsia="Arial" w:hAnsi="Arial"/>
                <w:sz w:val="18"/>
                <w:szCs w:val="18"/>
                <w:color w:val="0000FF"/>
              </w:rPr>
              <w:t>Exhibits</w:t>
            </w:r>
          </w:p>
        </w:tc>
        <w:tc>
          <w:tcPr>
            <w:tcW w:w="0" w:type="dxa"/>
            <w:vAlign w:val="bottom"/>
          </w:tcPr>
          <w:p>
            <w:pPr>
              <w:spacing w:after="0"/>
              <w:rPr>
                <w:sz w:val="1"/>
                <w:szCs w:val="1"/>
                <w:color w:val="auto"/>
              </w:rPr>
            </w:pPr>
          </w:p>
        </w:tc>
      </w:tr>
      <w:tr>
        <w:trPr>
          <w:trHeight w:val="506"/>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7"/>
          </w:tcPr>
          <w:p>
            <w:pPr>
              <w:ind w:left="44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51435</wp:posOffset>
            </wp:positionV>
            <wp:extent cx="728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6</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6</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8</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E32E1"/>
        </w:rPr>
        <w:t>9</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11</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11</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32</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43</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44</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44</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45</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45</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E32E1"/>
        </w:rPr>
        <w:t>46</w:t>
      </w:r>
    </w:p>
    <w:p>
      <w:pPr>
        <w:sectPr>
          <w:pgSz w:w="11900" w:h="16838" w:orient="portrait"/>
          <w:cols w:equalWidth="0" w:num="2">
            <w:col w:w="10020" w:space="460"/>
            <w:col w:w="340"/>
          </w:cols>
          <w:pgMar w:left="340" w:top="1440" w:right="7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(in thousands, except share and par value amounts)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6"/>
        </w:trPr>
        <w:tc>
          <w:tcPr>
            <w:tcW w:w="8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268,252</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8,263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11,978</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291,370</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 OF USE ASSETS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110,461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443,168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295,601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Accounts payable and other accrued expenses</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9,310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expenses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Current operating lease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82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WARRANT LIABILITY</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81,388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EARNOUT LIABILITY</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134,173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6"/>
        </w:trPr>
        <w:tc>
          <w:tcPr>
            <w:tcW w:w="826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61,058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230,065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Common stock, $0.0001 par value, 740,000,000 shares authorized as of September 30, 2022 and December 31, 2021, and</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152,015,458 and 117,750,608 shares issued and outstanding at September 30, 2022 and December 31, 2021, respectively</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525,311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294,190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(228,667)</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 of Navitas Semiconductor Corporation</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65,536</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382,110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65,536</w:t>
            </w: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443,168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295,601</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ectPr>
          <w:pgSz w:w="11900" w:h="16838" w:orient="portrait"/>
          <w:cols w:equalWidth="0" w:num="1">
            <w:col w:w="11080"/>
          </w:cols>
          <w:pgMar w:left="320" w:top="44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(in thousands, except per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(92,437)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(32,602)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Gain (loss) from change in fair value of earnout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163,376</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(32,838)</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ATTRIBUTABLE TO</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 CONTROLLING</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81,039</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(32,838)</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w w:val="93"/>
              </w:rPr>
              <w:t>Basic net income (loss) per share attributable to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Diluted net income (loss) per share attributable to common stockholders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COMMON SHARES USED IN NET INCOME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PER SHARE ATTRIBUTABLE TO COMMON</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360"/>
              <w:spacing w:after="0"/>
              <w:rPr>
                <w:sz w:val="20"/>
                <w:szCs w:val="20"/>
                <w:color w:val="auto"/>
              </w:rPr>
            </w:pPr>
            <w:r>
              <w:rPr>
                <w:rFonts w:ascii="Arial" w:cs="Arial" w:eastAsia="Arial" w:hAnsi="Arial"/>
                <w:sz w:val="18"/>
                <w:szCs w:val="18"/>
                <w:color w:val="auto"/>
              </w:rPr>
              <w:t>Basic common shares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127,390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19,643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common shares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140,134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ectPr>
          <w:pgSz w:w="11900" w:h="16838" w:orient="portrait"/>
          <w:cols w:equalWidth="0" w:num="1">
            <w:col w:w="11080"/>
          </w:cols>
          <w:pgMar w:left="320" w:top="44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ind w:left="5200"/>
        <w:spacing w:after="0"/>
        <w:rPr>
          <w:sz w:val="20"/>
          <w:szCs w:val="20"/>
          <w:color w:val="auto"/>
        </w:rPr>
      </w:pPr>
      <w:r>
        <w:rPr>
          <w:rFonts w:ascii="Arial" w:cs="Arial" w:eastAsia="Arial" w:hAnsi="Arial"/>
          <w:sz w:val="14"/>
          <w:szCs w:val="14"/>
          <w:b w:val="1"/>
          <w:bCs w:val="1"/>
          <w:i w:val="1"/>
          <w:i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5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(32,838)</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net of tax</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Pr>
          <w:p>
            <w:pPr>
              <w:ind w:left="68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 INCOME (LOSS) INCLUDING NONCONTROLLING</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(32,839)</w:t>
            </w:r>
          </w:p>
        </w:tc>
        <w:tc>
          <w:tcPr>
            <w:tcW w:w="0" w:type="dxa"/>
            <w:vAlign w:val="bottom"/>
          </w:tcPr>
          <w:p>
            <w:pPr>
              <w:spacing w:after="0"/>
              <w:rPr>
                <w:sz w:val="1"/>
                <w:szCs w:val="1"/>
                <w:color w:val="auto"/>
              </w:rPr>
            </w:pPr>
          </w:p>
        </w:tc>
      </w:tr>
      <w:tr>
        <w:trPr>
          <w:trHeight w:val="155"/>
        </w:trPr>
        <w:tc>
          <w:tcPr>
            <w:tcW w:w="6360" w:type="dxa"/>
            <w:vAlign w:val="bottom"/>
          </w:tcPr>
          <w:p>
            <w:pPr>
              <w:ind w:left="20"/>
              <w:spacing w:after="0" w:line="156" w:lineRule="exact"/>
              <w:rPr>
                <w:sz w:val="20"/>
                <w:szCs w:val="20"/>
                <w:color w:val="auto"/>
              </w:rPr>
            </w:pPr>
            <w:r>
              <w:rPr>
                <w:rFonts w:ascii="Arial" w:cs="Arial" w:eastAsia="Arial" w:hAnsi="Arial"/>
                <w:sz w:val="18"/>
                <w:szCs w:val="18"/>
                <w:color w:val="auto"/>
              </w:rPr>
              <w:t>COMPREHENSIVE INCOME ATTRIBUTABLE TO NONCONTROLLING</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63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COMPREHENSIVE INCOME (LOSS) ATTRIBUTABLE TO</w:t>
            </w:r>
          </w:p>
        </w:tc>
        <w:tc>
          <w:tcPr>
            <w:tcW w:w="28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(32,839)</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tbl>
      <w:tblPr>
        <w:tblLayout w:type="fixed"/>
        <w:tblInd w:w="0" w:type="dxa"/>
        <w:tblCellMar>
          <w:top w:w="0" w:type="dxa"/>
          <w:left w:w="0" w:type="dxa"/>
          <w:bottom w:w="0" w:type="dxa"/>
          <w:right w:w="0" w:type="dxa"/>
        </w:tblCellMar>
      </w:tblPr>
      <w:tr>
        <w:trPr>
          <w:trHeight w:val="247"/>
        </w:trPr>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7"/>
          </w:tcPr>
          <w:p>
            <w:pPr>
              <w:jc w:val="center"/>
              <w:ind w:right="160"/>
              <w:spacing w:after="0" w:line="247" w:lineRule="exact"/>
              <w:rPr>
                <w:sz w:val="20"/>
                <w:szCs w:val="20"/>
                <w:color w:val="auto"/>
              </w:rPr>
            </w:pPr>
            <w:r>
              <w:rPr>
                <w:rFonts w:ascii="Arial" w:cs="Arial" w:eastAsia="Arial" w:hAnsi="Arial"/>
                <w:sz w:val="22"/>
                <w:szCs w:val="22"/>
                <w:b w:val="1"/>
                <w:bCs w:val="1"/>
                <w:color w:val="auto"/>
                <w:w w:val="90"/>
              </w:rPr>
              <w:t>(unaudited)</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7"/>
        </w:trPr>
        <w:tc>
          <w:tcPr>
            <w:tcW w:w="10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w w:val="87"/>
              </w:rPr>
              <w:t>Redeemable Convertible Preferred Stock</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w w:val="96"/>
              </w:rPr>
              <w:t>Stockholder's equity (deficit)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780" w:type="dxa"/>
            <w:vAlign w:val="bottom"/>
            <w:gridSpan w:val="3"/>
          </w:tcPr>
          <w:p>
            <w:pPr>
              <w:jc w:val="center"/>
              <w:ind w:left="117"/>
              <w:spacing w:after="0" w:line="135" w:lineRule="exact"/>
              <w:rPr>
                <w:sz w:val="20"/>
                <w:szCs w:val="20"/>
                <w:color w:val="auto"/>
              </w:rPr>
            </w:pPr>
            <w:r>
              <w:rPr>
                <w:rFonts w:ascii="Arial" w:cs="Arial" w:eastAsia="Arial" w:hAnsi="Arial"/>
                <w:sz w:val="13"/>
                <w:szCs w:val="13"/>
                <w:b w:val="1"/>
                <w:bCs w:val="1"/>
                <w:color w:val="auto"/>
                <w:w w:val="84"/>
              </w:rPr>
              <w:t>Series A</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left="117"/>
              <w:spacing w:after="0" w:line="135" w:lineRule="exact"/>
              <w:rPr>
                <w:sz w:val="20"/>
                <w:szCs w:val="20"/>
                <w:color w:val="auto"/>
              </w:rPr>
            </w:pPr>
            <w:r>
              <w:rPr>
                <w:rFonts w:ascii="Arial" w:cs="Arial" w:eastAsia="Arial" w:hAnsi="Arial"/>
                <w:sz w:val="13"/>
                <w:szCs w:val="13"/>
                <w:b w:val="1"/>
                <w:bCs w:val="1"/>
                <w:color w:val="auto"/>
                <w:w w:val="84"/>
              </w:rPr>
              <w:t>Series B</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87"/>
              </w:rPr>
              <w:t>Series B-1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84"/>
              </w:rPr>
              <w:t>Series B-2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spacing w:after="0"/>
              <w:rPr>
                <w:sz w:val="11"/>
                <w:szCs w:val="11"/>
                <w:color w:val="auto"/>
              </w:rPr>
            </w:pPr>
          </w:p>
        </w:tc>
        <w:tc>
          <w:tcPr>
            <w:tcW w:w="940" w:type="dxa"/>
            <w:vAlign w:val="bottom"/>
            <w:gridSpan w:val="4"/>
          </w:tcPr>
          <w:p>
            <w:pPr>
              <w:jc w:val="center"/>
              <w:spacing w:after="0" w:line="131" w:lineRule="exact"/>
              <w:rPr>
                <w:sz w:val="20"/>
                <w:szCs w:val="20"/>
                <w:color w:val="auto"/>
              </w:rPr>
            </w:pPr>
            <w:r>
              <w:rPr>
                <w:rFonts w:ascii="Arial" w:cs="Arial" w:eastAsia="Arial" w:hAnsi="Arial"/>
                <w:sz w:val="13"/>
                <w:szCs w:val="13"/>
                <w:b w:val="1"/>
                <w:bCs w:val="1"/>
                <w:color w:val="auto"/>
                <w:w w:val="85"/>
              </w:rPr>
              <w:t>redeemable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5"/>
          </w:tcPr>
          <w:p>
            <w:pPr>
              <w:jc w:val="center"/>
              <w:ind w:right="6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080" w:type="dxa"/>
            <w:vAlign w:val="bottom"/>
            <w:gridSpan w:val="6"/>
          </w:tcPr>
          <w:p>
            <w:pPr>
              <w:ind w:left="180"/>
              <w:spacing w:after="0" w:line="131" w:lineRule="exact"/>
              <w:rPr>
                <w:sz w:val="20"/>
                <w:szCs w:val="20"/>
                <w:color w:val="auto"/>
              </w:rPr>
            </w:pPr>
            <w:r>
              <w:rPr>
                <w:rFonts w:ascii="Arial" w:cs="Arial" w:eastAsia="Arial" w:hAnsi="Arial"/>
                <w:sz w:val="13"/>
                <w:szCs w:val="13"/>
                <w:b w:val="1"/>
                <w:bCs w:val="1"/>
                <w:color w:val="auto"/>
              </w:rPr>
              <w:t>redeemable</w:t>
            </w:r>
          </w:p>
        </w:tc>
        <w:tc>
          <w:tcPr>
            <w:tcW w:w="960" w:type="dxa"/>
            <w:vAlign w:val="bottom"/>
            <w:gridSpan w:val="4"/>
          </w:tcPr>
          <w:p>
            <w:pPr>
              <w:ind w:left="160"/>
              <w:spacing w:after="0" w:line="131" w:lineRule="exact"/>
              <w:rPr>
                <w:sz w:val="20"/>
                <w:szCs w:val="20"/>
                <w:color w:val="auto"/>
              </w:rPr>
            </w:pPr>
            <w:r>
              <w:rPr>
                <w:rFonts w:ascii="Arial" w:cs="Arial" w:eastAsia="Arial" w:hAnsi="Arial"/>
                <w:sz w:val="13"/>
                <w:szCs w:val="13"/>
                <w:b w:val="1"/>
                <w:bCs w:val="1"/>
                <w:color w:val="auto"/>
              </w:rPr>
              <w:t>redeemable</w:t>
            </w:r>
          </w:p>
        </w:tc>
        <w:tc>
          <w:tcPr>
            <w:tcW w:w="80" w:type="dxa"/>
            <w:vAlign w:val="bottom"/>
          </w:tcPr>
          <w:p>
            <w:pPr>
              <w:spacing w:after="0"/>
              <w:rPr>
                <w:sz w:val="11"/>
                <w:szCs w:val="11"/>
                <w:color w:val="auto"/>
              </w:rPr>
            </w:pPr>
          </w:p>
        </w:tc>
        <w:tc>
          <w:tcPr>
            <w:tcW w:w="112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780" w:type="dxa"/>
            <w:vAlign w:val="bottom"/>
            <w:gridSpan w:val="3"/>
            <w:vMerge w:val="restart"/>
          </w:tcPr>
          <w:p>
            <w:pPr>
              <w:jc w:val="center"/>
              <w:ind w:left="117"/>
              <w:spacing w:after="0" w:line="126" w:lineRule="exact"/>
              <w:rPr>
                <w:sz w:val="20"/>
                <w:szCs w:val="20"/>
                <w:color w:val="auto"/>
              </w:rPr>
            </w:pPr>
            <w:r>
              <w:rPr>
                <w:rFonts w:ascii="Arial" w:cs="Arial" w:eastAsia="Arial" w:hAnsi="Arial"/>
                <w:sz w:val="13"/>
                <w:szCs w:val="13"/>
                <w:b w:val="1"/>
                <w:bCs w:val="1"/>
                <w:color w:val="auto"/>
                <w:w w:val="86"/>
              </w:rPr>
              <w:t>convertible</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117"/>
              <w:spacing w:after="0" w:line="126" w:lineRule="exact"/>
              <w:rPr>
                <w:sz w:val="20"/>
                <w:szCs w:val="20"/>
                <w:color w:val="auto"/>
              </w:rPr>
            </w:pPr>
            <w:r>
              <w:rPr>
                <w:rFonts w:ascii="Arial" w:cs="Arial" w:eastAsia="Arial" w:hAnsi="Arial"/>
                <w:sz w:val="13"/>
                <w:szCs w:val="13"/>
                <w:b w:val="1"/>
                <w:bCs w:val="1"/>
                <w:color w:val="auto"/>
                <w:w w:val="86"/>
              </w:rPr>
              <w:t>convertible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vMerge w:val="restart"/>
          </w:tcPr>
          <w:p>
            <w:pPr>
              <w:ind w:left="200"/>
              <w:spacing w:after="0" w:line="126" w:lineRule="exact"/>
              <w:rPr>
                <w:sz w:val="20"/>
                <w:szCs w:val="20"/>
                <w:color w:val="auto"/>
              </w:rPr>
            </w:pPr>
            <w:r>
              <w:rPr>
                <w:rFonts w:ascii="Arial" w:cs="Arial" w:eastAsia="Arial" w:hAnsi="Arial"/>
                <w:sz w:val="13"/>
                <w:szCs w:val="13"/>
                <w:b w:val="1"/>
                <w:bCs w:val="1"/>
                <w:color w:val="auto"/>
                <w:w w:val="83"/>
              </w:rPr>
              <w:t>convertible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3"/>
            <w:vMerge w:val="restart"/>
          </w:tcPr>
          <w:p>
            <w:pPr>
              <w:ind w:left="160"/>
              <w:spacing w:after="0" w:line="126" w:lineRule="exact"/>
              <w:rPr>
                <w:sz w:val="20"/>
                <w:szCs w:val="20"/>
                <w:color w:val="auto"/>
              </w:rPr>
            </w:pPr>
            <w:r>
              <w:rPr>
                <w:rFonts w:ascii="Arial" w:cs="Arial" w:eastAsia="Arial" w:hAnsi="Arial"/>
                <w:sz w:val="13"/>
                <w:szCs w:val="13"/>
                <w:b w:val="1"/>
                <w:bCs w:val="1"/>
                <w:color w:val="auto"/>
                <w:w w:val="83"/>
              </w:rPr>
              <w:t>convertible</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5"/>
            <w:vMerge w:val="continue"/>
          </w:tcPr>
          <w:p>
            <w:pPr>
              <w:spacing w:after="0"/>
              <w:rPr>
                <w:sz w:val="7"/>
                <w:szCs w:val="7"/>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Notes</w:t>
            </w: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06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2"/>
              </w:rPr>
              <w:t>preferred stock</w:t>
            </w:r>
          </w:p>
        </w:tc>
        <w:tc>
          <w:tcPr>
            <w:tcW w:w="8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2"/>
              </w:rPr>
              <w:t>preferred stock</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940" w:type="dxa"/>
            <w:vAlign w:val="bottom"/>
            <w:tcBorders>
              <w:bottom w:val="single" w:sz="8" w:color="auto"/>
            </w:tcBorders>
            <w:gridSpan w:val="4"/>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ind w:left="40"/>
              <w:spacing w:after="0" w:line="102" w:lineRule="exact"/>
              <w:rPr>
                <w:sz w:val="20"/>
                <w:szCs w:val="20"/>
                <w:color w:val="auto"/>
              </w:rPr>
            </w:pPr>
            <w:r>
              <w:rPr>
                <w:rFonts w:ascii="Arial" w:cs="Arial" w:eastAsia="Arial" w:hAnsi="Arial"/>
                <w:sz w:val="10"/>
                <w:szCs w:val="10"/>
                <w:b w:val="1"/>
                <w:bCs w:val="1"/>
                <w:color w:val="auto"/>
              </w:rPr>
              <w:t>paid in</w:t>
            </w:r>
          </w:p>
        </w:tc>
        <w:tc>
          <w:tcPr>
            <w:tcW w:w="84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ind w:left="80"/>
              <w:spacing w:after="0" w:line="102" w:lineRule="exact"/>
              <w:rPr>
                <w:sz w:val="20"/>
                <w:szCs w:val="20"/>
                <w:color w:val="auto"/>
              </w:rPr>
            </w:pPr>
            <w:r>
              <w:rPr>
                <w:rFonts w:ascii="Arial" w:cs="Arial" w:eastAsia="Arial" w:hAnsi="Arial"/>
                <w:sz w:val="10"/>
                <w:szCs w:val="10"/>
                <w:b w:val="1"/>
                <w:bCs w:val="1"/>
                <w:color w:val="auto"/>
              </w:rPr>
              <w:t>receivable -</w:t>
            </w:r>
          </w:p>
        </w:tc>
        <w:tc>
          <w:tcPr>
            <w:tcW w:w="92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comprehensive</w:t>
            </w:r>
          </w:p>
        </w:tc>
        <w:tc>
          <w:tcPr>
            <w:tcW w:w="94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2700" w:type="dxa"/>
            <w:vAlign w:val="bottom"/>
            <w:gridSpan w:val="15"/>
          </w:tcPr>
          <w:p>
            <w:pPr>
              <w:ind w:left="20"/>
              <w:spacing w:after="0"/>
              <w:rPr>
                <w:sz w:val="20"/>
                <w:szCs w:val="20"/>
                <w:color w:val="auto"/>
              </w:rPr>
            </w:pPr>
            <w:r>
              <w:rPr>
                <w:rFonts w:ascii="Arial" w:cs="Arial" w:eastAsia="Arial" w:hAnsi="Arial"/>
                <w:sz w:val="13"/>
                <w:szCs w:val="13"/>
                <w:b w:val="1"/>
                <w:bCs w:val="1"/>
                <w:color w:val="auto"/>
              </w:rPr>
              <w:t>Amount  Shares  Amount  Shares  Amount</w:t>
            </w: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shareholder's</w:t>
            </w: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48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8"/>
        </w:trPr>
        <w:tc>
          <w:tcPr>
            <w:tcW w:w="10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w:t>
            </w: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180"/>
              <w:spacing w:after="0" w:line="131" w:lineRule="exact"/>
              <w:rPr>
                <w:sz w:val="20"/>
                <w:szCs w:val="20"/>
                <w:color w:val="auto"/>
              </w:rPr>
            </w:pPr>
            <w:r>
              <w:rPr>
                <w:rFonts w:ascii="Arial" w:cs="Arial" w:eastAsia="Arial" w:hAnsi="Arial"/>
                <w:sz w:val="13"/>
                <w:szCs w:val="13"/>
                <w:b w:val="1"/>
                <w:bCs w:val="1"/>
                <w:color w:val="auto"/>
              </w:rPr>
              <w:t>JANUARY 1,</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117,751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294,190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65,536</w:t>
            </w:r>
          </w:p>
        </w:tc>
        <w:tc>
          <w:tcPr>
            <w:tcW w:w="0" w:type="dxa"/>
            <w:vAlign w:val="bottom"/>
          </w:tcPr>
          <w:p>
            <w:pPr>
              <w:spacing w:after="0"/>
              <w:rPr>
                <w:sz w:val="1"/>
                <w:szCs w:val="1"/>
                <w:color w:val="auto"/>
              </w:rPr>
            </w:pPr>
          </w:p>
        </w:tc>
      </w:tr>
      <w:tr>
        <w:trPr>
          <w:trHeight w:val="122"/>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Issuance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common stock</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Pr>
          <w:p>
            <w:pPr>
              <w:ind w:left="180"/>
              <w:spacing w:after="0" w:line="123" w:lineRule="exact"/>
              <w:rPr>
                <w:sz w:val="20"/>
                <w:szCs w:val="20"/>
                <w:color w:val="auto"/>
              </w:rPr>
            </w:pPr>
            <w:r>
              <w:rPr>
                <w:rFonts w:ascii="Arial" w:cs="Arial" w:eastAsia="Arial" w:hAnsi="Arial"/>
                <w:sz w:val="13"/>
                <w:szCs w:val="13"/>
                <w:color w:val="auto"/>
                <w:w w:val="92"/>
              </w:rPr>
              <w:t>under employee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tcPr>
          <w:p>
            <w:pPr>
              <w:ind w:left="180"/>
              <w:spacing w:after="0" w:line="122" w:lineRule="exact"/>
              <w:rPr>
                <w:sz w:val="20"/>
                <w:szCs w:val="20"/>
                <w:color w:val="auto"/>
              </w:rPr>
            </w:pPr>
            <w:r>
              <w:rPr>
                <w:rFonts w:ascii="Arial" w:cs="Arial" w:eastAsia="Arial" w:hAnsi="Arial"/>
                <w:sz w:val="13"/>
                <w:szCs w:val="13"/>
                <w:color w:val="auto"/>
                <w:w w:val="90"/>
              </w:rPr>
              <w:t>stock option and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stock award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180"/>
              <w:spacing w:after="0"/>
              <w:rPr>
                <w:sz w:val="20"/>
                <w:szCs w:val="20"/>
                <w:color w:val="auto"/>
              </w:rPr>
            </w:pPr>
            <w:r>
              <w:rPr>
                <w:rFonts w:ascii="Arial" w:cs="Arial" w:eastAsia="Arial" w:hAnsi="Arial"/>
                <w:sz w:val="13"/>
                <w:szCs w:val="13"/>
                <w:color w:val="auto"/>
              </w:rPr>
              <w:t>plans</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2,459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Repurchase of</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22"/>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Exercise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80"/>
              <w:spacing w:after="0"/>
              <w:rPr>
                <w:sz w:val="20"/>
                <w:szCs w:val="20"/>
                <w:color w:val="auto"/>
              </w:rPr>
            </w:pPr>
            <w:r>
              <w:rPr>
                <w:rFonts w:ascii="Arial" w:cs="Arial" w:eastAsia="Arial" w:hAnsi="Arial"/>
                <w:sz w:val="13"/>
                <w:szCs w:val="13"/>
                <w:color w:val="auto"/>
              </w:rPr>
              <w:t>warrants</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3,318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29,641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29,641</w:t>
            </w:r>
          </w:p>
        </w:tc>
        <w:tc>
          <w:tcPr>
            <w:tcW w:w="0" w:type="dxa"/>
            <w:vAlign w:val="bottom"/>
          </w:tcPr>
          <w:p>
            <w:pPr>
              <w:spacing w:after="0"/>
              <w:rPr>
                <w:sz w:val="1"/>
                <w:szCs w:val="1"/>
                <w:color w:val="auto"/>
              </w:rPr>
            </w:pPr>
          </w:p>
        </w:tc>
      </w:tr>
      <w:tr>
        <w:trPr>
          <w:trHeight w:val="129"/>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compensation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92"/>
              </w:rPr>
              <w:t>expense related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9"/>
              </w:rPr>
              <w:t>to employee and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non-employee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awards</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0" w:type="dxa"/>
            <w:vAlign w:val="bottom"/>
          </w:tcPr>
          <w:p>
            <w:pPr>
              <w:spacing w:after="0"/>
              <w:rPr>
                <w:sz w:val="1"/>
                <w:szCs w:val="1"/>
                <w:color w:val="auto"/>
              </w:rPr>
            </w:pPr>
          </w:p>
        </w:tc>
      </w:tr>
      <w:tr>
        <w:trPr>
          <w:trHeight w:val="121"/>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translation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7"/>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79,792</w:t>
            </w:r>
          </w:p>
        </w:tc>
        <w:tc>
          <w:tcPr>
            <w:tcW w:w="0" w:type="dxa"/>
            <w:vAlign w:val="bottom"/>
          </w:tcPr>
          <w:p>
            <w:pPr>
              <w:spacing w:after="0"/>
              <w:rPr>
                <w:sz w:val="1"/>
                <w:szCs w:val="1"/>
                <w:color w:val="auto"/>
              </w:rPr>
            </w:pPr>
          </w:p>
        </w:tc>
      </w:tr>
      <w:tr>
        <w:trPr>
          <w:trHeight w:val="102"/>
        </w:trPr>
        <w:tc>
          <w:tcPr>
            <w:tcW w:w="10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w:t>
            </w: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60" w:type="dxa"/>
            <w:vAlign w:val="bottom"/>
          </w:tcPr>
          <w:p>
            <w:pPr>
              <w:ind w:left="180"/>
              <w:spacing w:after="0" w:line="131" w:lineRule="exact"/>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60" w:type="dxa"/>
            <w:vAlign w:val="bottom"/>
          </w:tcPr>
          <w:p>
            <w:pPr>
              <w:ind w:left="180"/>
              <w:spacing w:after="0"/>
              <w:rPr>
                <w:sz w:val="20"/>
                <w:szCs w:val="20"/>
                <w:color w:val="auto"/>
              </w:rPr>
            </w:pPr>
            <w:r>
              <w:rPr>
                <w:rFonts w:ascii="Arial" w:cs="Arial" w:eastAsia="Arial" w:hAnsi="Arial"/>
                <w:sz w:val="13"/>
                <w:szCs w:val="13"/>
                <w:b w:val="1"/>
                <w:bCs w:val="1"/>
                <w:color w:val="auto"/>
              </w:rPr>
              <w:t>2022</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123,461</w:t>
            </w:r>
          </w:p>
        </w:tc>
        <w:tc>
          <w:tcPr>
            <w:tcW w:w="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6"/>
              </w:rPr>
              <w:t>15</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348,658</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(148,875)</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199,736</w:t>
            </w:r>
          </w:p>
        </w:tc>
        <w:tc>
          <w:tcPr>
            <w:tcW w:w="0" w:type="dxa"/>
            <w:vAlign w:val="bottom"/>
          </w:tcPr>
          <w:p>
            <w:pPr>
              <w:spacing w:after="0"/>
              <w:rPr>
                <w:sz w:val="1"/>
                <w:szCs w:val="1"/>
                <w:color w:val="auto"/>
              </w:rPr>
            </w:pPr>
          </w:p>
        </w:tc>
      </w:tr>
      <w:tr>
        <w:trPr>
          <w:trHeight w:val="129"/>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common stock</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92"/>
              </w:rPr>
              <w:t>under employee</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0"/>
              </w:rPr>
              <w:t>stock option and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stock award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0" w:type="dxa"/>
            <w:vAlign w:val="bottom"/>
          </w:tcPr>
          <w:p>
            <w:pPr>
              <w:spacing w:after="0"/>
              <w:rPr>
                <w:sz w:val="1"/>
                <w:szCs w:val="1"/>
                <w:color w:val="auto"/>
              </w:rPr>
            </w:pPr>
          </w:p>
        </w:tc>
      </w:tr>
      <w:tr>
        <w:trPr>
          <w:trHeight w:val="121"/>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Shares issued for</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business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180"/>
              <w:spacing w:after="0"/>
              <w:rPr>
                <w:sz w:val="20"/>
                <w:szCs w:val="20"/>
                <w:color w:val="auto"/>
              </w:rPr>
            </w:pPr>
            <w:r>
              <w:rPr>
                <w:rFonts w:ascii="Arial" w:cs="Arial" w:eastAsia="Arial" w:hAnsi="Arial"/>
                <w:sz w:val="13"/>
                <w:szCs w:val="13"/>
                <w:color w:val="auto"/>
              </w:rPr>
              <w:t>acquisition</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compensation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92"/>
              </w:rPr>
              <w:t>expense related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9"/>
              </w:rPr>
              <w:t>to employee and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non-employee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awards</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9,723</w:t>
            </w:r>
          </w:p>
        </w:tc>
        <w:tc>
          <w:tcPr>
            <w:tcW w:w="0" w:type="dxa"/>
            <w:vAlign w:val="bottom"/>
          </w:tcPr>
          <w:p>
            <w:pPr>
              <w:spacing w:after="0"/>
              <w:rPr>
                <w:sz w:val="1"/>
                <w:szCs w:val="1"/>
                <w:color w:val="auto"/>
              </w:rPr>
            </w:pPr>
          </w:p>
        </w:tc>
      </w:tr>
      <w:tr>
        <w:trPr>
          <w:trHeight w:val="183"/>
        </w:trPr>
        <w:tc>
          <w:tcPr>
            <w:tcW w:w="1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33,837</w:t>
            </w:r>
          </w:p>
        </w:tc>
        <w:tc>
          <w:tcPr>
            <w:tcW w:w="0" w:type="dxa"/>
            <w:vAlign w:val="bottom"/>
          </w:tcPr>
          <w:p>
            <w:pPr>
              <w:spacing w:after="0"/>
              <w:rPr>
                <w:sz w:val="1"/>
                <w:szCs w:val="1"/>
                <w:color w:val="auto"/>
              </w:rPr>
            </w:pPr>
          </w:p>
        </w:tc>
      </w:tr>
      <w:tr>
        <w:trPr>
          <w:trHeight w:val="108"/>
        </w:trPr>
        <w:tc>
          <w:tcPr>
            <w:tcW w:w="10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w:t>
            </w: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6"/>
              </w:rPr>
              <w:t>JUNE 30, 2022</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125,473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361,963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246,879</w:t>
            </w:r>
          </w:p>
        </w:tc>
        <w:tc>
          <w:tcPr>
            <w:tcW w:w="0" w:type="dxa"/>
            <w:vAlign w:val="bottom"/>
          </w:tcPr>
          <w:p>
            <w:pPr>
              <w:spacing w:after="0"/>
              <w:rPr>
                <w:sz w:val="1"/>
                <w:szCs w:val="1"/>
                <w:color w:val="auto"/>
              </w:rPr>
            </w:pPr>
          </w:p>
        </w:tc>
      </w:tr>
      <w:tr>
        <w:trPr>
          <w:trHeight w:val="122"/>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Issuance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common stock</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tcPr>
          <w:p>
            <w:pPr>
              <w:ind w:left="180"/>
              <w:spacing w:after="0" w:line="123" w:lineRule="exact"/>
              <w:rPr>
                <w:sz w:val="20"/>
                <w:szCs w:val="20"/>
                <w:color w:val="auto"/>
              </w:rPr>
            </w:pPr>
            <w:r>
              <w:rPr>
                <w:rFonts w:ascii="Arial" w:cs="Arial" w:eastAsia="Arial" w:hAnsi="Arial"/>
                <w:sz w:val="13"/>
                <w:szCs w:val="13"/>
                <w:color w:val="auto"/>
                <w:w w:val="92"/>
              </w:rPr>
              <w:t>under employee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ind w:left="180"/>
              <w:spacing w:after="0" w:line="122" w:lineRule="exact"/>
              <w:rPr>
                <w:sz w:val="20"/>
                <w:szCs w:val="20"/>
                <w:color w:val="auto"/>
              </w:rPr>
            </w:pPr>
            <w:r>
              <w:rPr>
                <w:rFonts w:ascii="Arial" w:cs="Arial" w:eastAsia="Arial" w:hAnsi="Arial"/>
                <w:sz w:val="13"/>
                <w:szCs w:val="13"/>
                <w:color w:val="auto"/>
                <w:w w:val="90"/>
              </w:rPr>
              <w:t>stock option and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stock award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180"/>
              <w:spacing w:after="0"/>
              <w:rPr>
                <w:sz w:val="20"/>
                <w:szCs w:val="20"/>
                <w:color w:val="auto"/>
              </w:rPr>
            </w:pPr>
            <w:r>
              <w:rPr>
                <w:rFonts w:ascii="Arial" w:cs="Arial" w:eastAsia="Arial" w:hAnsi="Arial"/>
                <w:sz w:val="13"/>
                <w:szCs w:val="13"/>
                <w:color w:val="auto"/>
              </w:rPr>
              <w:t>plans</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1,489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1,316</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Shares issued for</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business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24,883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146,310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146,312</w:t>
            </w:r>
          </w:p>
        </w:tc>
        <w:tc>
          <w:tcPr>
            <w:tcW w:w="0" w:type="dxa"/>
            <w:vAlign w:val="bottom"/>
          </w:tcPr>
          <w:p>
            <w:pPr>
              <w:spacing w:after="0"/>
              <w:rPr>
                <w:sz w:val="1"/>
                <w:szCs w:val="1"/>
                <w:color w:val="auto"/>
              </w:rPr>
            </w:pPr>
          </w:p>
        </w:tc>
      </w:tr>
      <w:tr>
        <w:trPr>
          <w:trHeight w:val="121"/>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Shares issued for</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060" w:type="dxa"/>
            <w:vAlign w:val="bottom"/>
          </w:tcPr>
          <w:p>
            <w:pPr>
              <w:ind w:left="180"/>
              <w:spacing w:after="0"/>
              <w:rPr>
                <w:sz w:val="20"/>
                <w:szCs w:val="20"/>
                <w:color w:val="auto"/>
              </w:rPr>
            </w:pPr>
            <w:r>
              <w:rPr>
                <w:rFonts w:ascii="Arial" w:cs="Arial" w:eastAsia="Arial" w:hAnsi="Arial"/>
                <w:sz w:val="13"/>
                <w:szCs w:val="13"/>
                <w:color w:val="auto"/>
                <w:w w:val="93"/>
              </w:rPr>
              <w:t>transaction fees</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compensation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92"/>
              </w:rPr>
              <w:t>expense related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9"/>
              </w:rPr>
              <w:t>to employee and</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non-employee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awards</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14,722</w:t>
            </w:r>
          </w:p>
        </w:tc>
        <w:tc>
          <w:tcPr>
            <w:tcW w:w="0" w:type="dxa"/>
            <w:vAlign w:val="bottom"/>
          </w:tcPr>
          <w:p>
            <w:pPr>
              <w:spacing w:after="0"/>
              <w:rPr>
                <w:sz w:val="1"/>
                <w:szCs w:val="1"/>
                <w:color w:val="auto"/>
              </w:rPr>
            </w:pPr>
          </w:p>
        </w:tc>
      </w:tr>
      <w:tr>
        <w:trPr>
          <w:trHeight w:val="121"/>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Change in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60" w:type="dxa"/>
            <w:vAlign w:val="bottom"/>
          </w:tcPr>
          <w:p>
            <w:pPr>
              <w:ind w:left="180"/>
              <w:spacing w:after="0" w:line="134" w:lineRule="exact"/>
              <w:rPr>
                <w:sz w:val="20"/>
                <w:szCs w:val="20"/>
                <w:color w:val="auto"/>
              </w:rPr>
            </w:pPr>
            <w:r>
              <w:rPr>
                <w:rFonts w:ascii="Arial" w:cs="Arial" w:eastAsia="Arial" w:hAnsi="Arial"/>
                <w:sz w:val="13"/>
                <w:szCs w:val="13"/>
                <w:color w:val="auto"/>
              </w:rPr>
              <w:t>noncontrolling</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180"/>
              <w:spacing w:after="0"/>
              <w:rPr>
                <w:sz w:val="20"/>
                <w:szCs w:val="20"/>
                <w:color w:val="auto"/>
              </w:rPr>
            </w:pPr>
            <w:r>
              <w:rPr>
                <w:rFonts w:ascii="Arial" w:cs="Arial" w:eastAsia="Arial" w:hAnsi="Arial"/>
                <w:sz w:val="13"/>
                <w:szCs w:val="13"/>
                <w:color w:val="auto"/>
              </w:rPr>
              <w:t>interest</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4,655</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Foreign currency</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translation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83"/>
        </w:trPr>
        <w:tc>
          <w:tcPr>
            <w:tcW w:w="1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80" w:type="dxa"/>
            <w:vAlign w:val="bottom"/>
            <w:gridSpan w:val="3"/>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(32,590)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5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(32,828)</w:t>
            </w:r>
          </w:p>
        </w:tc>
        <w:tc>
          <w:tcPr>
            <w:tcW w:w="0" w:type="dxa"/>
            <w:vAlign w:val="bottom"/>
          </w:tcPr>
          <w:p>
            <w:pPr>
              <w:spacing w:after="0"/>
              <w:rPr>
                <w:sz w:val="1"/>
                <w:szCs w:val="1"/>
                <w:color w:val="auto"/>
              </w:rPr>
            </w:pPr>
          </w:p>
        </w:tc>
      </w:tr>
      <w:tr>
        <w:trPr>
          <w:trHeight w:val="108"/>
        </w:trPr>
        <w:tc>
          <w:tcPr>
            <w:tcW w:w="10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w:t>
            </w: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ind w:left="180"/>
              <w:spacing w:after="0" w:line="131" w:lineRule="exact"/>
              <w:rPr>
                <w:sz w:val="20"/>
                <w:szCs w:val="20"/>
                <w:color w:val="auto"/>
              </w:rPr>
            </w:pPr>
            <w:r>
              <w:rPr>
                <w:rFonts w:ascii="Arial" w:cs="Arial" w:eastAsia="Arial" w:hAnsi="Arial"/>
                <w:sz w:val="13"/>
                <w:szCs w:val="13"/>
                <w:b w:val="1"/>
                <w:bCs w:val="1"/>
                <w:color w:val="auto"/>
              </w:rPr>
              <w:t>SEPTEMBER</w:t>
            </w: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28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152,015</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18</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525,311</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(147,628)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4,417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382,110</w:t>
            </w:r>
          </w:p>
        </w:tc>
        <w:tc>
          <w:tcPr>
            <w:tcW w:w="0" w:type="dxa"/>
            <w:vAlign w:val="bottom"/>
          </w:tcPr>
          <w:p>
            <w:pPr>
              <w:spacing w:after="0"/>
              <w:rPr>
                <w:sz w:val="1"/>
                <w:szCs w:val="1"/>
                <w:color w:val="auto"/>
              </w:rPr>
            </w:pPr>
          </w:p>
        </w:tc>
      </w:tr>
      <w:tr>
        <w:trPr>
          <w:trHeight w:val="173"/>
        </w:trPr>
        <w:tc>
          <w:tcPr>
            <w:tcW w:w="10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30, 2022</w:t>
            </w:r>
          </w:p>
        </w:tc>
        <w:tc>
          <w:tcPr>
            <w:tcW w:w="48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80" w:type="dxa"/>
            <w:vAlign w:val="bottom"/>
            <w:gridSpan w:val="3"/>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ectPr>
          <w:pgSz w:w="11900" w:h="16838" w:orient="portrait"/>
          <w:cols w:equalWidth="0" w:num="1">
            <w:col w:w="11240"/>
          </w:cols>
          <w:pgMar w:left="320" w:top="44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49" w:right="339" w:bottom="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88"/>
              </w:rPr>
              <w:t>Redeemable Convertible Preferred Stock</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Stockholder's equity (deficit)</w:t>
            </w: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Series A</w:t>
            </w:r>
          </w:p>
        </w:tc>
        <w:tc>
          <w:tcPr>
            <w:tcW w:w="114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Series B</w:t>
            </w:r>
          </w:p>
        </w:tc>
        <w:tc>
          <w:tcPr>
            <w:tcW w:w="11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Series B-1</w:t>
            </w:r>
          </w:p>
        </w:tc>
        <w:tc>
          <w:tcPr>
            <w:tcW w:w="11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Series B-2</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1120" w:type="dxa"/>
            <w:vAlign w:val="bottom"/>
            <w:gridSpan w:val="4"/>
          </w:tcPr>
          <w:p>
            <w:pPr>
              <w:jc w:val="center"/>
              <w:ind w:right="6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140" w:type="dxa"/>
            <w:vAlign w:val="bottom"/>
            <w:gridSpan w:val="4"/>
          </w:tcPr>
          <w:p>
            <w:pPr>
              <w:jc w:val="center"/>
              <w:ind w:right="8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140" w:type="dxa"/>
            <w:vAlign w:val="bottom"/>
            <w:gridSpan w:val="4"/>
          </w:tcPr>
          <w:p>
            <w:pPr>
              <w:jc w:val="center"/>
              <w:ind w:right="80"/>
              <w:spacing w:after="0" w:line="131" w:lineRule="exact"/>
              <w:rPr>
                <w:sz w:val="20"/>
                <w:szCs w:val="20"/>
                <w:color w:val="auto"/>
              </w:rPr>
            </w:pPr>
            <w:r>
              <w:rPr>
                <w:rFonts w:ascii="Arial" w:cs="Arial" w:eastAsia="Arial" w:hAnsi="Arial"/>
                <w:sz w:val="13"/>
                <w:szCs w:val="13"/>
                <w:b w:val="1"/>
                <w:bCs w:val="1"/>
                <w:color w:val="auto"/>
                <w:w w:val="85"/>
              </w:rPr>
              <w:t>redeemable</w:t>
            </w:r>
          </w:p>
        </w:tc>
        <w:tc>
          <w:tcPr>
            <w:tcW w:w="1160" w:type="dxa"/>
            <w:vAlign w:val="bottom"/>
            <w:gridSpan w:val="4"/>
          </w:tcPr>
          <w:p>
            <w:pPr>
              <w:jc w:val="center"/>
              <w:ind w:right="100"/>
              <w:spacing w:after="0" w:line="131" w:lineRule="exact"/>
              <w:rPr>
                <w:sz w:val="20"/>
                <w:szCs w:val="20"/>
                <w:color w:val="auto"/>
              </w:rPr>
            </w:pPr>
            <w:r>
              <w:rPr>
                <w:rFonts w:ascii="Arial" w:cs="Arial" w:eastAsia="Arial" w:hAnsi="Arial"/>
                <w:sz w:val="13"/>
                <w:szCs w:val="13"/>
                <w:b w:val="1"/>
                <w:bCs w:val="1"/>
                <w:color w:val="auto"/>
                <w:w w:val="85"/>
              </w:rPr>
              <w:t>redeemable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120" w:type="dxa"/>
            <w:vAlign w:val="bottom"/>
            <w:gridSpan w:val="4"/>
          </w:tcPr>
          <w:p>
            <w:pPr>
              <w:jc w:val="center"/>
              <w:ind w:right="80"/>
              <w:spacing w:after="0" w:line="126" w:lineRule="exact"/>
              <w:rPr>
                <w:sz w:val="20"/>
                <w:szCs w:val="20"/>
                <w:color w:val="auto"/>
              </w:rPr>
            </w:pPr>
            <w:r>
              <w:rPr>
                <w:rFonts w:ascii="Arial" w:cs="Arial" w:eastAsia="Arial" w:hAnsi="Arial"/>
                <w:sz w:val="13"/>
                <w:szCs w:val="13"/>
                <w:b w:val="1"/>
                <w:bCs w:val="1"/>
                <w:color w:val="auto"/>
                <w:w w:val="86"/>
              </w:rPr>
              <w:t>convertible</w:t>
            </w:r>
          </w:p>
        </w:tc>
        <w:tc>
          <w:tcPr>
            <w:tcW w:w="1140" w:type="dxa"/>
            <w:vAlign w:val="bottom"/>
            <w:gridSpan w:val="4"/>
          </w:tcPr>
          <w:p>
            <w:pPr>
              <w:jc w:val="center"/>
              <w:ind w:right="60"/>
              <w:spacing w:after="0" w:line="126" w:lineRule="exact"/>
              <w:rPr>
                <w:sz w:val="20"/>
                <w:szCs w:val="20"/>
                <w:color w:val="auto"/>
              </w:rPr>
            </w:pPr>
            <w:r>
              <w:rPr>
                <w:rFonts w:ascii="Arial" w:cs="Arial" w:eastAsia="Arial" w:hAnsi="Arial"/>
                <w:sz w:val="13"/>
                <w:szCs w:val="13"/>
                <w:b w:val="1"/>
                <w:bCs w:val="1"/>
                <w:color w:val="auto"/>
                <w:w w:val="86"/>
              </w:rPr>
              <w:t>convertible</w:t>
            </w:r>
          </w:p>
        </w:tc>
        <w:tc>
          <w:tcPr>
            <w:tcW w:w="1140" w:type="dxa"/>
            <w:vAlign w:val="bottom"/>
            <w:gridSpan w:val="4"/>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convertible</w:t>
            </w:r>
          </w:p>
        </w:tc>
        <w:tc>
          <w:tcPr>
            <w:tcW w:w="1160" w:type="dxa"/>
            <w:vAlign w:val="bottom"/>
            <w:gridSpan w:val="4"/>
          </w:tcPr>
          <w:p>
            <w:pPr>
              <w:jc w:val="center"/>
              <w:ind w:right="80"/>
              <w:spacing w:after="0" w:line="126" w:lineRule="exact"/>
              <w:rPr>
                <w:sz w:val="20"/>
                <w:szCs w:val="20"/>
                <w:color w:val="auto"/>
              </w:rPr>
            </w:pPr>
            <w:r>
              <w:rPr>
                <w:rFonts w:ascii="Arial" w:cs="Arial" w:eastAsia="Arial" w:hAnsi="Arial"/>
                <w:sz w:val="13"/>
                <w:szCs w:val="13"/>
                <w:b w:val="1"/>
                <w:bCs w:val="1"/>
                <w:color w:val="auto"/>
                <w:w w:val="86"/>
              </w:rPr>
              <w:t>convertible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2"/>
              </w:rPr>
              <w:t>Notes</w:t>
            </w: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vMerge w:val="restart"/>
          </w:tcPr>
          <w:p>
            <w:pPr>
              <w:spacing w:after="0"/>
              <w:rPr>
                <w:sz w:val="5"/>
                <w:szCs w:val="5"/>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vMerge w:val="restart"/>
          </w:tcPr>
          <w:p>
            <w:pPr>
              <w:spacing w:after="0"/>
              <w:rPr>
                <w:sz w:val="5"/>
                <w:szCs w:val="5"/>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vMerge w:val="restart"/>
          </w:tcPr>
          <w:p>
            <w:pPr>
              <w:spacing w:after="0"/>
              <w:rPr>
                <w:sz w:val="5"/>
                <w:szCs w:val="5"/>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vMerge w:val="restart"/>
          </w:tcPr>
          <w:p>
            <w:pPr>
              <w:spacing w:after="0"/>
              <w:rPr>
                <w:sz w:val="5"/>
                <w:szCs w:val="5"/>
                <w:color w:val="auto"/>
              </w:rPr>
            </w:pPr>
          </w:p>
        </w:tc>
        <w:tc>
          <w:tcPr>
            <w:tcW w:w="108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7"/>
              </w:rPr>
              <w:t>Common stock</w:t>
            </w:r>
          </w:p>
        </w:tc>
        <w:tc>
          <w:tcPr>
            <w:tcW w:w="80" w:type="dxa"/>
            <w:vAlign w:val="bottom"/>
            <w:vMerge w:val="restart"/>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580" w:type="dxa"/>
            <w:vAlign w:val="bottom"/>
          </w:tcPr>
          <w:p>
            <w:pPr>
              <w:spacing w:after="0"/>
              <w:rPr>
                <w:sz w:val="8"/>
                <w:szCs w:val="8"/>
                <w:color w:val="auto"/>
              </w:rPr>
            </w:pPr>
          </w:p>
        </w:tc>
        <w:tc>
          <w:tcPr>
            <w:tcW w:w="10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ind w:right="38"/>
              <w:spacing w:after="0" w:line="102" w:lineRule="exact"/>
              <w:rPr>
                <w:sz w:val="20"/>
                <w:szCs w:val="20"/>
                <w:color w:val="auto"/>
              </w:rPr>
            </w:pPr>
            <w:r>
              <w:rPr>
                <w:rFonts w:ascii="Arial" w:cs="Arial" w:eastAsia="Arial" w:hAnsi="Arial"/>
                <w:sz w:val="10"/>
                <w:szCs w:val="10"/>
                <w:b w:val="1"/>
                <w:bCs w:val="1"/>
                <w:color w:val="auto"/>
              </w:rPr>
              <w:t>paid in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Accumulated</w:t>
            </w:r>
          </w:p>
        </w:tc>
        <w:tc>
          <w:tcPr>
            <w:tcW w:w="880" w:type="dxa"/>
            <w:vAlign w:val="bottom"/>
            <w:gridSpan w:val="3"/>
          </w:tcPr>
          <w:p>
            <w:pPr>
              <w:jc w:val="center"/>
              <w:ind w:right="100"/>
              <w:spacing w:after="0" w:line="102" w:lineRule="exact"/>
              <w:rPr>
                <w:sz w:val="20"/>
                <w:szCs w:val="20"/>
                <w:color w:val="auto"/>
              </w:rPr>
            </w:pPr>
            <w:r>
              <w:rPr>
                <w:rFonts w:ascii="Arial" w:cs="Arial" w:eastAsia="Arial" w:hAnsi="Arial"/>
                <w:sz w:val="10"/>
                <w:szCs w:val="10"/>
                <w:b w:val="1"/>
                <w:bCs w:val="1"/>
                <w:color w:val="auto"/>
              </w:rPr>
              <w:t>receivable -</w:t>
            </w:r>
          </w:p>
        </w:tc>
        <w:tc>
          <w:tcPr>
            <w:tcW w:w="92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2860" w:type="dxa"/>
            <w:vAlign w:val="bottom"/>
            <w:gridSpan w:val="10"/>
          </w:tcPr>
          <w:p>
            <w:pPr>
              <w:ind w:left="40"/>
              <w:spacing w:after="0"/>
              <w:rPr>
                <w:sz w:val="20"/>
                <w:szCs w:val="20"/>
                <w:color w:val="auto"/>
              </w:rPr>
            </w:pPr>
            <w:r>
              <w:rPr>
                <w:rFonts w:ascii="Arial" w:cs="Arial" w:eastAsia="Arial" w:hAnsi="Arial"/>
                <w:sz w:val="13"/>
                <w:szCs w:val="13"/>
                <w:b w:val="1"/>
                <w:bCs w:val="1"/>
                <w:color w:val="auto"/>
              </w:rPr>
              <w:t>Amount   Shares   Amount   Shares   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500" w:type="dxa"/>
            <w:vAlign w:val="bottom"/>
          </w:tcPr>
          <w:p>
            <w:pPr>
              <w:jc w:val="right"/>
              <w:ind w:right="38"/>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shareholder's</w:t>
            </w: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5"/>
                <w:szCs w:val="15"/>
                <w:color w:val="auto"/>
              </w:rPr>
            </w:pPr>
          </w:p>
        </w:tc>
        <w:tc>
          <w:tcPr>
            <w:tcW w:w="48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8"/>
        </w:trPr>
        <w:tc>
          <w:tcPr>
            <w:tcW w:w="15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 JANUARY</w:t>
            </w: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1, 2021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16,620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$ 14,970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$ 27,371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$ 14,786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$ 52,379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(72,424)</w:t>
            </w:r>
          </w:p>
        </w:tc>
        <w:tc>
          <w:tcPr>
            <w:tcW w:w="0" w:type="dxa"/>
            <w:vAlign w:val="bottom"/>
          </w:tcPr>
          <w:p>
            <w:pPr>
              <w:spacing w:after="0"/>
              <w:rPr>
                <w:sz w:val="1"/>
                <w:szCs w:val="1"/>
                <w:color w:val="auto"/>
              </w:rPr>
            </w:pPr>
          </w:p>
        </w:tc>
      </w:tr>
      <w:tr>
        <w:trPr>
          <w:trHeight w:val="122"/>
        </w:trPr>
        <w:tc>
          <w:tcPr>
            <w:tcW w:w="158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line="134" w:lineRule="exact"/>
              <w:rPr>
                <w:sz w:val="20"/>
                <w:szCs w:val="20"/>
                <w:color w:val="auto"/>
              </w:rPr>
            </w:pPr>
            <w:r>
              <w:rPr>
                <w:rFonts w:ascii="Arial" w:cs="Arial" w:eastAsia="Arial" w:hAnsi="Arial"/>
                <w:sz w:val="13"/>
                <w:szCs w:val="13"/>
                <w:color w:val="auto"/>
              </w:rPr>
              <w:t>under employee stock</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tcPr>
          <w:p>
            <w:pPr>
              <w:ind w:left="180"/>
              <w:spacing w:after="0" w:line="123" w:lineRule="exact"/>
              <w:rPr>
                <w:sz w:val="20"/>
                <w:szCs w:val="20"/>
                <w:color w:val="auto"/>
              </w:rPr>
            </w:pPr>
            <w:r>
              <w:rPr>
                <w:rFonts w:ascii="Arial" w:cs="Arial" w:eastAsia="Arial" w:hAnsi="Arial"/>
                <w:sz w:val="13"/>
                <w:szCs w:val="13"/>
                <w:color w:val="auto"/>
              </w:rPr>
              <w:t>option and stock award</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5,843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1,405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rPr>
                <w:sz w:val="20"/>
                <w:szCs w:val="20"/>
                <w:color w:val="auto"/>
              </w:rPr>
            </w:pPr>
            <w:r>
              <w:rPr>
                <w:rFonts w:ascii="Arial" w:cs="Arial" w:eastAsia="Arial" w:hAnsi="Arial"/>
                <w:sz w:val="13"/>
                <w:szCs w:val="13"/>
                <w:color w:val="auto"/>
              </w:rPr>
              <w:t>plans</w:t>
            </w: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Stock-based compensation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expense related to</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employee and non-</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80" w:type="dxa"/>
            <w:vAlign w:val="bottom"/>
          </w:tcPr>
          <w:p>
            <w:pPr>
              <w:ind w:left="20"/>
              <w:spacing w:after="0" w:line="122" w:lineRule="exact"/>
              <w:rPr>
                <w:sz w:val="20"/>
                <w:szCs w:val="20"/>
                <w:color w:val="auto"/>
              </w:rPr>
            </w:pPr>
            <w:r>
              <w:rPr>
                <w:rFonts w:ascii="Arial" w:cs="Arial" w:eastAsia="Arial" w:hAnsi="Arial"/>
                <w:sz w:val="13"/>
                <w:szCs w:val="13"/>
                <w:color w:val="auto"/>
                <w:w w:val="95"/>
              </w:rPr>
              <w:t>Foreign currency translation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0" w:type="dxa"/>
            <w:vAlign w:val="bottom"/>
          </w:tcPr>
          <w:p>
            <w:pPr>
              <w:spacing w:after="0"/>
              <w:rPr>
                <w:sz w:val="1"/>
                <w:szCs w:val="1"/>
                <w:color w:val="auto"/>
              </w:rPr>
            </w:pPr>
          </w:p>
        </w:tc>
      </w:tr>
      <w:tr>
        <w:trPr>
          <w:trHeight w:val="102"/>
        </w:trPr>
        <w:tc>
          <w:tcPr>
            <w:tcW w:w="15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 31,</w:t>
            </w: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580" w:type="dxa"/>
            <w:vAlign w:val="bottom"/>
          </w:tcPr>
          <w:p>
            <w:pPr>
              <w:ind w:left="18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16,620</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$ 14,970</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14,213</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$ 27,371</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5,416</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$ 14,786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18,199</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$ 52,379</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22,617</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6,797</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(83,327)</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0"/>
              </w:rPr>
              <w:t>(77,711)</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under employee stock</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option and stock award</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12,729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12,729</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rPr>
                <w:sz w:val="20"/>
                <w:szCs w:val="20"/>
                <w:color w:val="auto"/>
              </w:rPr>
            </w:pPr>
            <w:r>
              <w:rPr>
                <w:rFonts w:ascii="Arial" w:cs="Arial" w:eastAsia="Arial" w:hAnsi="Arial"/>
                <w:sz w:val="13"/>
                <w:szCs w:val="13"/>
                <w:color w:val="auto"/>
                <w:w w:val="93"/>
              </w:rPr>
              <w:t>Rescission of common stock</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(4,729)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29"/>
        </w:trPr>
        <w:tc>
          <w:tcPr>
            <w:tcW w:w="1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5"/>
              </w:rPr>
              <w:t>Foreign currency translation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(18,650)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(18,650)</w:t>
            </w:r>
          </w:p>
        </w:tc>
        <w:tc>
          <w:tcPr>
            <w:tcW w:w="0" w:type="dxa"/>
            <w:vAlign w:val="bottom"/>
          </w:tcPr>
          <w:p>
            <w:pPr>
              <w:spacing w:after="0"/>
              <w:rPr>
                <w:sz w:val="1"/>
                <w:szCs w:val="1"/>
                <w:color w:val="auto"/>
              </w:rPr>
            </w:pPr>
          </w:p>
        </w:tc>
      </w:tr>
      <w:tr>
        <w:trPr>
          <w:trHeight w:val="108"/>
        </w:trPr>
        <w:tc>
          <w:tcPr>
            <w:tcW w:w="15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AT JUNE 30,</w:t>
            </w: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16,620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$ 14,970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$ 27,371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$ 14,786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$ 52,379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18,295</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(83,683)</w:t>
            </w:r>
          </w:p>
        </w:tc>
        <w:tc>
          <w:tcPr>
            <w:tcW w:w="0" w:type="dxa"/>
            <w:vAlign w:val="bottom"/>
          </w:tcPr>
          <w:p>
            <w:pPr>
              <w:spacing w:after="0"/>
              <w:rPr>
                <w:sz w:val="1"/>
                <w:szCs w:val="1"/>
                <w:color w:val="auto"/>
              </w:rPr>
            </w:pPr>
          </w:p>
        </w:tc>
      </w:tr>
      <w:tr>
        <w:trPr>
          <w:trHeight w:val="122"/>
        </w:trPr>
        <w:tc>
          <w:tcPr>
            <w:tcW w:w="158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tcPr>
          <w:p>
            <w:pPr>
              <w:ind w:left="180"/>
              <w:spacing w:after="0" w:line="134" w:lineRule="exact"/>
              <w:rPr>
                <w:sz w:val="20"/>
                <w:szCs w:val="20"/>
                <w:color w:val="auto"/>
              </w:rPr>
            </w:pPr>
            <w:r>
              <w:rPr>
                <w:rFonts w:ascii="Arial" w:cs="Arial" w:eastAsia="Arial" w:hAnsi="Arial"/>
                <w:sz w:val="13"/>
                <w:szCs w:val="13"/>
                <w:color w:val="auto"/>
              </w:rPr>
              <w:t>under employee stock</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tcPr>
          <w:p>
            <w:pPr>
              <w:ind w:left="180"/>
              <w:spacing w:after="0" w:line="123" w:lineRule="exact"/>
              <w:rPr>
                <w:sz w:val="20"/>
                <w:szCs w:val="20"/>
                <w:color w:val="auto"/>
              </w:rPr>
            </w:pPr>
            <w:r>
              <w:rPr>
                <w:rFonts w:ascii="Arial" w:cs="Arial" w:eastAsia="Arial" w:hAnsi="Arial"/>
                <w:sz w:val="13"/>
                <w:szCs w:val="13"/>
                <w:color w:val="auto"/>
              </w:rPr>
              <w:t>option and stock award</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446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rPr>
                <w:sz w:val="20"/>
                <w:szCs w:val="20"/>
                <w:color w:val="auto"/>
              </w:rPr>
            </w:pPr>
            <w:r>
              <w:rPr>
                <w:rFonts w:ascii="Arial" w:cs="Arial" w:eastAsia="Arial" w:hAnsi="Arial"/>
                <w:sz w:val="13"/>
                <w:szCs w:val="13"/>
                <w:color w:val="auto"/>
              </w:rPr>
              <w:t>plans</w:t>
            </w: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Stock-based compensation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expense related to</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rPr>
              <w:t>employee and non-</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awards</w:t>
            </w: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tcPr>
          <w:p>
            <w:pPr>
              <w:ind w:left="20"/>
              <w:spacing w:after="0" w:line="122" w:lineRule="exact"/>
              <w:rPr>
                <w:sz w:val="20"/>
                <w:szCs w:val="20"/>
                <w:color w:val="auto"/>
              </w:rPr>
            </w:pPr>
            <w:r>
              <w:rPr>
                <w:rFonts w:ascii="Arial" w:cs="Arial" w:eastAsia="Arial" w:hAnsi="Arial"/>
                <w:sz w:val="13"/>
                <w:szCs w:val="13"/>
                <w:color w:val="auto"/>
                <w:w w:val="95"/>
              </w:rPr>
              <w:t>Foreign currency translation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(6,843)</w:t>
            </w:r>
          </w:p>
        </w:tc>
        <w:tc>
          <w:tcPr>
            <w:tcW w:w="0" w:type="dxa"/>
            <w:vAlign w:val="bottom"/>
          </w:tcPr>
          <w:p>
            <w:pPr>
              <w:spacing w:after="0"/>
              <w:rPr>
                <w:sz w:val="1"/>
                <w:szCs w:val="1"/>
                <w:color w:val="auto"/>
              </w:rPr>
            </w:pPr>
          </w:p>
        </w:tc>
      </w:tr>
      <w:tr>
        <w:trPr>
          <w:trHeight w:val="102"/>
        </w:trPr>
        <w:tc>
          <w:tcPr>
            <w:tcW w:w="15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95"/>
              </w:rPr>
              <w:t>16,620</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82"/>
              </w:rPr>
              <w:t>$ 14,970</w:t>
            </w: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14,213</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82"/>
              </w:rPr>
              <w:t>$ 27,371</w:t>
            </w:r>
          </w:p>
        </w:tc>
        <w:tc>
          <w:tcPr>
            <w:tcW w:w="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5,416</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86"/>
              </w:rPr>
              <w:t>$ 14,786</w:t>
            </w: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18,199</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86"/>
              </w:rPr>
              <w:t>$ 52,379</w:t>
            </w: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18,334</w:t>
            </w:r>
          </w:p>
        </w:tc>
        <w:tc>
          <w:tcPr>
            <w:tcW w:w="80" w:type="dxa"/>
            <w:vAlign w:val="bottom"/>
          </w:tcPr>
          <w:p>
            <w:pPr>
              <w:spacing w:after="0"/>
              <w:rPr>
                <w:sz w:val="8"/>
                <w:szCs w:val="8"/>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18,567</w:t>
            </w:r>
          </w:p>
        </w:tc>
        <w:tc>
          <w:tcPr>
            <w:tcW w:w="240" w:type="dxa"/>
            <w:vAlign w:val="bottom"/>
            <w:gridSpan w:val="3"/>
            <w:vMerge w:val="restart"/>
          </w:tcPr>
          <w:p>
            <w:pPr>
              <w:ind w:left="1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(108,820)</w:t>
            </w:r>
          </w:p>
        </w:tc>
        <w:tc>
          <w:tcPr>
            <w:tcW w:w="80" w:type="dxa"/>
            <w:vAlign w:val="bottom"/>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90"/>
              </w:rPr>
              <w:t>(90,252)</w:t>
            </w:r>
          </w:p>
        </w:tc>
        <w:tc>
          <w:tcPr>
            <w:tcW w:w="0" w:type="dxa"/>
            <w:vAlign w:val="bottom"/>
          </w:tcPr>
          <w:p>
            <w:pPr>
              <w:spacing w:after="0"/>
              <w:rPr>
                <w:sz w:val="1"/>
                <w:szCs w:val="1"/>
                <w:color w:val="auto"/>
              </w:rPr>
            </w:pPr>
          </w:p>
        </w:tc>
      </w:tr>
      <w:tr>
        <w:trPr>
          <w:trHeight w:val="162"/>
        </w:trPr>
        <w:tc>
          <w:tcPr>
            <w:tcW w:w="1580" w:type="dxa"/>
            <w:vAlign w:val="bottom"/>
          </w:tcPr>
          <w:p>
            <w:pPr>
              <w:ind w:left="180"/>
              <w:spacing w:after="0"/>
              <w:rPr>
                <w:sz w:val="20"/>
                <w:szCs w:val="20"/>
                <w:color w:val="auto"/>
              </w:rPr>
            </w:pPr>
            <w:r>
              <w:rPr>
                <w:rFonts w:ascii="Arial" w:cs="Arial" w:eastAsia="Arial" w:hAnsi="Arial"/>
                <w:sz w:val="13"/>
                <w:szCs w:val="13"/>
                <w:b w:val="1"/>
                <w:bCs w:val="1"/>
                <w:color w:val="auto"/>
              </w:rPr>
              <w:t>SEPTEMBER 30, 2021</w:t>
            </w: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(in thousands)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862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2021</w:t>
            </w: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80,801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(32,838)</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Amortization of deferred rent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Amortization of debt discount and issuance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change in fair value of warrants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Gain from change in fair value of earnout liability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30"/>
        </w:trPr>
        <w:tc>
          <w:tcPr>
            <w:tcW w:w="862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(8,315)</w:t>
            </w:r>
          </w:p>
        </w:tc>
      </w:tr>
      <w:tr>
        <w:trPr>
          <w:trHeight w:val="230"/>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62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accrued compensation and other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30"/>
        </w:trPr>
        <w:tc>
          <w:tcPr>
            <w:tcW w:w="8620" w:type="dxa"/>
            <w:vAlign w:val="bottom"/>
          </w:tcPr>
          <w:p>
            <w:pPr>
              <w:ind w:left="66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6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(35,537)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(24,792)</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Business acquisitions, net of cash acquired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acquisition</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Investment in joint venture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preferred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Receipts on notes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6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Payment of deferred offering costs</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(2,503)</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 of warrants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in connection stock option exercises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86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(27,794)</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38,869</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Deferred offering costs in other current assets and accounts payable and accrued expenses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assets acquired through change in control of joint venture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business acquisition</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Capital expenditures in accounts payable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r>
    </w:tbl>
    <w:p>
      <w:pPr>
        <w:spacing w:after="0" w:line="322"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ectPr>
          <w:pgSz w:w="11900" w:h="16838" w:orient="portrait"/>
          <w:cols w:equalWidth="0" w:num="1">
            <w:col w:w="11100"/>
          </w:cols>
          <w:pgMar w:left="320" w:top="449"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00"/>
          </w:cols>
          <w:pgMar w:left="320" w:top="449" w:right="47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spacing w:after="0" w:line="5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References to the “Company” in these financial statements refer to Legacy Navitas and its predecessors before the consummation of the Business Combination, or to Navitas Semiconductor Corporation after the Business Combination, as the context suggests.</w:t>
      </w:r>
    </w:p>
    <w:p>
      <w:pPr>
        <w:spacing w:after="0" w:line="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Ireland, Germany, Italy, Belgium, China, Taiwan, Thailand and the Philippines, with principal executive offices in Torrance, California.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Navitas Semiconductor USA, Inc. (f/k/a Navitas Semiconductor, Inc., “Navitas U.S.”) was incorporated in the State of Delaware on October 25, 2013. In 2020 Navitas U.S. initiated a restructuring to streamline its worldwide legal entity structure and more efficiently align its business operations (the “Restructuring”). The Restructuring introduced wholly owned subsidiaries in Hong Kong and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14, Provision for Income Taxes, for more information.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Pursuant to the terms of the BCA, the Business Combination was consummated (the “Closing”) on October 19, 2021 (the “Closing Date”) by means of (i) a tender offer to acquire the entire issued share capital of Navitas Ireland (other than Navitas Ireland Restricted Shares (as defined below)) in exchange for the Tender Offer Consideration (as defined below) (the “Tender Offer”) and (ii) the merger of a wholly owned subsidiary of Live Oak (“Merger Sub”) with and into Navitas Delaware (the “Merger”), with Navitas Delaware surviving the Merger. See the Company’s Annual Report on Form 10-K filed with the SEC on March 31, 2022 for further information.</w:t>
      </w:r>
    </w:p>
    <w:p>
      <w:pPr>
        <w:spacing w:after="0" w:line="21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although Live Oak issued shares for outstanding equity interests of Legacy Navitas in the Business Combination, Live Oak was treated as the “acquired” company for financial reporting purposes. Accordingly, the Business Combination was treated as the equivalent of Legacy Navitas issuing stock for the net assets of Live Oak, accompanied by a recapitalization. The net assets of Live Oak were stated at historical cost, with no goodwill or other intangible assets recorded. Operations prior to the Business Combination are those of Navitas.</w:t>
      </w:r>
    </w:p>
    <w:p>
      <w:pPr>
        <w:spacing w:after="0" w:line="215"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For all periods presented, unless stated otherwise, references to Legacy Navitas common shares and options for common shares outstanding before the Closing and related per share amounts have been retroactively restated to give effect to the reverse recapitalization, specifically, the Exchange Ratio of 1.0944 shares to 1 at Closing. References to share</w:t>
      </w:r>
    </w:p>
    <w:p>
      <w:pPr>
        <w:sectPr>
          <w:pgSz w:w="11900" w:h="16838" w:orient="portrait"/>
          <w:cols w:equalWidth="0" w:num="1">
            <w:col w:w="11200"/>
          </w:cols>
          <w:pgMar w:left="320" w:top="449"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quantities for Legacy Navitas convertible preferred stock related to balances or activity before the Closing reflect the historical quantities and are not adjusted for the Exchange Ratio.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33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June 2022, the Company acquired VDDTech for $1.9 million in cash and stock, and in August 2022 the Company acquired GeneSiC for $246.2 million in cash and stock. See Note 17, Business Combinations,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accompanying condensed consolidated financial statements are prepared in accordance with accounting principles generally accepted in the United States of America (“GAAP”).</w:t>
      </w:r>
    </w:p>
    <w:p>
      <w:pPr>
        <w:spacing w:after="0" w:line="19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results of operations for the three and nine months ended September 30, 2022 shown in this report are not necessarily indicative of results to be expected for the full year ending December 31, 2022. In the opinion of the Company’s management, the information contained herein reflects all adjustments, consisting of only normal recurring adjustments, necessary for a fair presentation of the Company’s results of operations, financial position, cash flows and stockholders’ equity (deficit). Certain footnote disclosures normally included in annual consolidated financial statements prepared in accordance with U.S. GAAP have been condensed or omitted pursuant to Securities and Exchange Commissions (SEC) rules and regulations relating to interim financial statements. The accompanying condensed consolidated financial statements should be read in conjunction with consolidated financial statements and notes thereto contained in the Company’s annual report on Form 10-K filed with the SEC on March 31, 2022. Except as further described below, there have been no significant changes in the Company’s accounting policies from those disclosed in its annual report on Form 10-K filed with the SEC on March 31, 2022.</w:t>
      </w:r>
    </w:p>
    <w:p>
      <w:pPr>
        <w:spacing w:after="0" w:line="1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The consolidated financial statements include the accounts of a Former Joint Venture, an entity in which the Company has a controlling interest (see Note 18, Noncontrolling Interest). The Company reports noncontrolling interests of the consolidated entities as a component of equity separate from the Company’s equity. All material inter-company transactions between and among the Company and its consolidated subsidiaries have been eliminated in the consolidation. The Company’s net income (loss) excludes income (loss) attributable to the noncontrolling interests.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AND RECENT ACCOUNTING PRONOUNCEMENTS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 xml:space="preserve">We account for business combinations using the acquisition method of accounting, in accordance with ASC </w:t>
      </w:r>
      <w:r>
        <w:rPr>
          <w:rFonts w:ascii="Arial" w:cs="Arial" w:eastAsia="Arial" w:hAnsi="Arial"/>
          <w:sz w:val="18"/>
          <w:szCs w:val="18"/>
          <w:i w:val="1"/>
          <w:iCs w:val="1"/>
          <w:color w:val="auto"/>
        </w:rPr>
        <w:t>805, Business Combinations</w:t>
      </w:r>
      <w:r>
        <w:rPr>
          <w:rFonts w:ascii="Arial" w:cs="Arial" w:eastAsia="Arial" w:hAnsi="Arial"/>
          <w:sz w:val="18"/>
          <w:szCs w:val="18"/>
          <w:color w:val="auto"/>
        </w:rPr>
        <w:t>. The acquisition method requires identifiable assets acquired and liabilities assumed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spacing w:after="0" w:line="218"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 xml:space="preserve">The determination of estimated fair value requires us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we may record adjustments to the fair values of assets acquired and liabilities assumed within the measurement period (up to </w:t>
      </w:r>
      <w:r>
        <w:rPr>
          <w:rFonts w:ascii="Arial" w:cs="Arial" w:eastAsia="Arial" w:hAnsi="Arial"/>
          <w:sz w:val="18"/>
          <w:szCs w:val="18"/>
          <w:i w:val="1"/>
          <w:iCs w:val="1"/>
          <w:color w:val="auto"/>
        </w:rPr>
        <w:t>one</w:t>
      </w:r>
      <w:r>
        <w:rPr>
          <w:rFonts w:ascii="Arial" w:cs="Arial" w:eastAsia="Arial" w:hAnsi="Arial"/>
          <w:sz w:val="18"/>
          <w:szCs w:val="18"/>
          <w:color w:val="auto"/>
        </w:rPr>
        <w:t xml:space="preserve"> year from the acquisition date) with the corresponding offset to goodwill.</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 costs associated with business combinations are expensed as they are 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Contingent Consideration Resulting from a Business Combination</w:t>
      </w:r>
    </w:p>
    <w:p>
      <w:pPr>
        <w:spacing w:after="0" w:line="279"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In connection with certain acquisitions, we may 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Statement of Operations and Comprehensive Income (Loss) until such time as the specified milestone achievement period is complete.</w:t>
      </w:r>
    </w:p>
    <w:p>
      <w:pPr>
        <w:spacing w:after="0" w:line="201"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our results of operations in any given period. Actual results may differ from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February 2016, the FASB issued ASU 2016-02, Leases (ASC 842) (“ASU 2016-02”), and also issued subsequent amendments under ASU 2019-10 and ASU 2020-05 (collectively ASC 842). On January 1, 2022, the Company adopted ASC 842 and the related amendments. ASC 842 requires lessees to (i) recognize a right of use asset and a lease liability that is measured at the present value of the remaining lease payments, on the consolidated balance sheets, (ii) recognize a single lease cost, calculated over the lease term on a straight-line basis and (iii) classify lease related cash payments within operating and financing activities. The Company recognized approximately $1.6 million of operating lease right-of-use assets and $1.7 million operating lease liabilities on the consolidated balance sheets upon adoption on January 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In June 2016, the FASB amended guidance related to impairment of financial instruments as part of ASU 2016-13, </w:t>
      </w:r>
      <w:r>
        <w:rPr>
          <w:rFonts w:ascii="Arial" w:cs="Arial" w:eastAsia="Arial" w:hAnsi="Arial"/>
          <w:sz w:val="16"/>
          <w:szCs w:val="16"/>
          <w:i w:val="1"/>
          <w:iCs w:val="1"/>
          <w:color w:val="auto"/>
        </w:rPr>
        <w:t>Financial Instruments — Credit</w:t>
      </w:r>
    </w:p>
    <w:p>
      <w:pPr>
        <w:spacing w:after="0" w:line="4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which replaces the incurred loss impairment methodology with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condensed consolidated financial statements and related disclosures.</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2021</w:t>
            </w:r>
          </w:p>
        </w:tc>
      </w:tr>
      <w:tr>
        <w:trPr>
          <w:trHeight w:val="27"/>
        </w:trPr>
        <w:tc>
          <w:tcPr>
            <w:tcW w:w="6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Computers and other equipment</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27"/>
        </w:trPr>
        <w:tc>
          <w:tcPr>
            <w:tcW w:w="6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7"/>
        </w:trPr>
        <w:tc>
          <w:tcPr>
            <w:tcW w:w="65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w:t>
            </w:r>
          </w:p>
        </w:tc>
      </w:tr>
      <w:tr>
        <w:trPr>
          <w:trHeight w:val="27"/>
        </w:trPr>
        <w:tc>
          <w:tcPr>
            <w:tcW w:w="6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63"/>
        </w:trPr>
        <w:tc>
          <w:tcPr>
            <w:tcW w:w="656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1"/>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For the three and nine months ended September 30, 2022, depreciation expense was $280 and $632, respectively. For the three and nine months ended September 30, 2021, depreciation expense was $112 and $278. The depreciation method was determined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0294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and fixtures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Computers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294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Leasehold improvements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01230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1797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123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 AND LIABILITIES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 — 7 years</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 5 years</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2021</w:t>
            </w:r>
          </w:p>
        </w:tc>
      </w:tr>
      <w:tr>
        <w:trPr>
          <w:trHeight w:val="27"/>
        </w:trPr>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2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9,945</w:t>
            </w:r>
          </w:p>
        </w:tc>
      </w:tr>
      <w:tr>
        <w:trPr>
          <w:trHeight w:val="270"/>
        </w:trPr>
        <w:tc>
          <w:tcPr>
            <w:tcW w:w="2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17,044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11,978</w:t>
            </w:r>
          </w:p>
        </w:tc>
      </w:tr>
      <w:tr>
        <w:trPr>
          <w:trHeight w:val="27"/>
        </w:trPr>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728" w:lineRule="exact"/>
        <w:rPr>
          <w:sz w:val="20"/>
          <w:szCs w:val="20"/>
          <w:color w:val="auto"/>
        </w:rPr>
      </w:pPr>
    </w:p>
    <w:p>
      <w:pPr>
        <w:sectPr>
          <w:pgSz w:w="11900" w:h="16838" w:orient="portrait"/>
          <w:cols w:equalWidth="0" w:num="2">
            <w:col w:w="6080" w:space="720"/>
            <w:col w:w="4300"/>
          </w:cols>
          <w:pgMar w:left="320" w:top="449" w:right="479" w:bottom="1440" w:gutter="0" w:footer="0" w:header="0"/>
          <w:type w:val="continuous"/>
        </w:sectPr>
      </w:pPr>
    </w:p>
    <w:p>
      <w:pPr>
        <w:ind w:firstLine="486"/>
        <w:spacing w:after="0" w:line="254" w:lineRule="auto"/>
        <w:rPr>
          <w:sz w:val="20"/>
          <w:szCs w:val="20"/>
          <w:color w:val="auto"/>
        </w:rPr>
      </w:pPr>
      <w:r>
        <w:rPr>
          <w:rFonts w:ascii="Arial" w:cs="Arial" w:eastAsia="Arial" w:hAnsi="Arial"/>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were $12.6 million and $159.6 million as of September 30, 2022 and December 31, 2021, respectively.</w:t>
      </w:r>
    </w:p>
    <w:p>
      <w:pPr>
        <w:sectPr>
          <w:pgSz w:w="11900" w:h="16838" w:orient="portrait"/>
          <w:cols w:equalWidth="0" w:num="1">
            <w:col w:w="11100"/>
          </w:cols>
          <w:pgMar w:left="320" w:top="44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fair value hierarchy for financial liabilities as of September 30, 2022 (in thousands) :</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Earnout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22,611</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22,611</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22,611</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fair value hierarchy for financial liabilities as of December 31, 2021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52,361</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52,361</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29,027</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Earnout liability</w:t>
            </w:r>
          </w:p>
        </w:tc>
        <w:tc>
          <w:tcPr>
            <w:tcW w:w="2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134,173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134,173</w:t>
            </w:r>
          </w:p>
        </w:tc>
      </w:tr>
      <w:tr>
        <w:trPr>
          <w:trHeight w:val="270"/>
        </w:trPr>
        <w:tc>
          <w:tcPr>
            <w:tcW w:w="53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134,173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215,561</w:t>
            </w:r>
          </w:p>
        </w:tc>
      </w:tr>
      <w:tr>
        <w:trPr>
          <w:trHeight w:val="21"/>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liability for the Private Warrants is a level 2 valuation because there is no active market.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3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7"/>
          <w:szCs w:val="17"/>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Former Joint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VDDTech</w:t>
            </w:r>
          </w:p>
        </w:tc>
        <w:tc>
          <w:tcPr>
            <w:tcW w:w="320" w:type="dxa"/>
            <w:vAlign w:val="bottom"/>
          </w:tcPr>
          <w:p>
            <w:pPr>
              <w:spacing w:after="0"/>
              <w:rPr>
                <w:sz w:val="21"/>
                <w:szCs w:val="21"/>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GeneSiC</w:t>
            </w:r>
          </w:p>
        </w:tc>
        <w:tc>
          <w:tcPr>
            <w:tcW w:w="22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Venture</w:t>
            </w:r>
          </w:p>
        </w:tc>
        <w:tc>
          <w:tcPr>
            <w:tcW w:w="38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Additions to goodwill</w:t>
            </w:r>
          </w:p>
        </w:tc>
        <w:tc>
          <w:tcPr>
            <w:tcW w:w="3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160,296</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Purchase accounting adjustment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160,296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Business Combinations,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intangible asset balance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Intangible Asset</w:t>
            </w:r>
          </w:p>
        </w:tc>
        <w:tc>
          <w:tcPr>
            <w:tcW w:w="34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Net Book Value</w:t>
            </w:r>
          </w:p>
        </w:tc>
        <w:tc>
          <w:tcPr>
            <w:tcW w:w="10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Amortization Method</w:t>
            </w:r>
          </w:p>
        </w:tc>
        <w:tc>
          <w:tcPr>
            <w:tcW w:w="14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47,566</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tcPr>
          <w:p>
            <w:pPr>
              <w:ind w:left="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In-process R&amp;D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Indefinite</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Patents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34,601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tcPr>
          <w:p>
            <w:pPr>
              <w:ind w:left="20"/>
              <w:spacing w:after="0"/>
              <w:rPr>
                <w:sz w:val="20"/>
                <w:szCs w:val="20"/>
                <w:color w:val="auto"/>
              </w:rPr>
            </w:pPr>
            <w:r>
              <w:rPr>
                <w:rFonts w:ascii="Arial" w:cs="Arial" w:eastAsia="Arial" w:hAnsi="Arial"/>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Non-Competition Agreements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tcPr>
          <w:p>
            <w:pPr>
              <w:ind w:left="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amortization expense was $2.2 million and $2.4 million for the three months and nine months ended September 30, 2022, respectively.</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impairment charges as of September 30,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08" w:lineRule="exact"/>
        <w:rPr>
          <w:sz w:val="20"/>
          <w:szCs w:val="20"/>
          <w:color w:val="auto"/>
        </w:rPr>
      </w:pPr>
    </w:p>
    <w:p>
      <w:pPr>
        <w:ind w:right="20" w:firstLine="486"/>
        <w:spacing w:after="0" w:line="255" w:lineRule="auto"/>
        <w:rPr>
          <w:sz w:val="20"/>
          <w:szCs w:val="20"/>
          <w:color w:val="auto"/>
        </w:rPr>
      </w:pPr>
      <w:r>
        <w:rPr>
          <w:rFonts w:ascii="Arial" w:cs="Arial" w:eastAsia="Arial" w:hAnsi="Arial"/>
          <w:sz w:val="16"/>
          <w:szCs w:val="16"/>
          <w:color w:val="auto"/>
        </w:rPr>
        <w:t>On April 29, 2020, the Company entered into a loan and security agreement with a new bank (the “Term Loan”), which provides for term advances up to $8.0 million. The loan is divided into three term advances, First Term Advance, Second Term Advance and Third Term Advance. The First Term Advance has a maximum available amount of $6.0 million. The Second Term Advance has a maximum available amount of $1.0 million and is subject to the Company receiving aggregate net proceeds from Series B-2 Preferred Stock of $29.8 million by no later than September 30, 2020. The Third Term Advance has a maximum available amount of $1.0 million and is subject to the Company receiving aggregate net proceeds from Series B-2 Preferred Stock of $39.9 million by no later than September 30, 2020. The Term Loan bears interest at a rate equal to the greater of (i) US Prime Rate plus 0.75% or</w:t>
      </w:r>
    </w:p>
    <w:p>
      <w:pPr>
        <w:spacing w:after="0" w:line="4" w:lineRule="exact"/>
        <w:rPr>
          <w:sz w:val="20"/>
          <w:szCs w:val="20"/>
          <w:color w:val="auto"/>
        </w:rPr>
      </w:pPr>
    </w:p>
    <w:p>
      <w:pPr>
        <w:ind w:right="40" w:firstLine="8"/>
        <w:spacing w:after="0" w:line="228"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5.5% and is collateralized by all assets of the Company. As of September 30, 2022, the interest rate was 6.3%. The loan is payable in monthly installments beginning September 1, 2021 with a final maturity date of January 1, 2024. Concurrent with the execution of the Term Loan, the Company paid off the outstanding principal balance and accrued interest on its then-existing long-term debt (which bore interest at 5% at December 31, 2019) with a different bank, fully satisfying its obligations. On August 1, 2021, the Company drew down $2.0 million, the maximum available amount under the Second Term Advance and Third Term Advance.</w:t>
      </w:r>
    </w:p>
    <w:p>
      <w:pPr>
        <w:spacing w:after="0" w:line="18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connection with execution of the Term Loan, the Company issued warrants to the bank (see Note 10, Warrant Liability). The fair value of the warrants at the date of issuance was $16 and was recorded as debt discount, subject to amortization using the effective interest rate method over the term of the loan.</w:t>
      </w:r>
    </w:p>
    <w:p>
      <w:pPr>
        <w:spacing w:after="0" w:line="18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Amortization of debt discount and issuance costs for the three and nine months ended September 30, 2022 was $3 and $7, respectively. Amortization of debt discount and issuance costs for the three and nine months ended September 30, 2021 was $3 and $9, respectively. Amortization of debt discount and issuance costs includes the write-off of unamortized costs as of the date that the prior term loan was extinguished in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carrying value of long-term debt as of September 30, 2022 and December 31, 2021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 2021</w:t>
            </w:r>
          </w:p>
        </w:tc>
      </w:tr>
      <w:tr>
        <w:trPr>
          <w:trHeight w:val="27"/>
        </w:trPr>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7"/>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discount and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6840" w:type="dxa"/>
            <w:vAlign w:val="bottom"/>
          </w:tcPr>
          <w:p>
            <w:pPr>
              <w:ind w:left="460"/>
              <w:spacing w:after="0"/>
              <w:rPr>
                <w:sz w:val="20"/>
                <w:szCs w:val="20"/>
                <w:color w:val="auto"/>
              </w:rPr>
            </w:pPr>
            <w:r>
              <w:rPr>
                <w:rFonts w:ascii="Arial" w:cs="Arial" w:eastAsia="Arial" w:hAnsi="Arial"/>
                <w:sz w:val="18"/>
                <w:szCs w:val="18"/>
                <w:color w:val="auto"/>
              </w:rPr>
              <w:t>Note payable, net of current portion</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r>
      <w:tr>
        <w:trPr>
          <w:trHeight w:val="27"/>
        </w:trPr>
        <w:tc>
          <w:tcPr>
            <w:tcW w:w="684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684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412"/>
        </w:trPr>
        <w:tc>
          <w:tcPr>
            <w:tcW w:w="9100" w:type="dxa"/>
            <w:vAlign w:val="bottom"/>
            <w:gridSpan w:val="4"/>
          </w:tcPr>
          <w:p>
            <w:pPr>
              <w:ind w:left="500"/>
              <w:spacing w:after="0"/>
              <w:rPr>
                <w:sz w:val="20"/>
                <w:szCs w:val="20"/>
                <w:color w:val="auto"/>
              </w:rPr>
            </w:pPr>
            <w:r>
              <w:rPr>
                <w:rFonts w:ascii="Arial" w:cs="Arial" w:eastAsia="Arial" w:hAnsi="Arial"/>
                <w:sz w:val="18"/>
                <w:szCs w:val="18"/>
                <w:color w:val="auto"/>
                <w:w w:val="94"/>
              </w:rPr>
              <w:t>As of September 30, 2022, future scheduled principal payments of debt obligations were as follows (in thousands):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20"/>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
        </w:trPr>
        <w:tc>
          <w:tcPr>
            <w:tcW w:w="6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7"/>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43"/>
        </w:trPr>
        <w:tc>
          <w:tcPr>
            <w:tcW w:w="6840" w:type="dxa"/>
            <w:vAlign w:val="bottom"/>
          </w:tcPr>
          <w:p>
            <w:pPr>
              <w:ind w:left="2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6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Company has entered into operating leases primarily for commercial buildings. These leases have terms which range from 0.2 to 6.4 years. There are no economic penalties for the Company to extend the lease, and it is not reasonably certain the Company will exercise the extension options. The operating leases do not contain material residual value guarantees or material restrictive covenants.</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Rent expense, including short-term lease cost, was $657 and $1.4 million for the three and nine months ended September 30,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Rent expense, including short-term lease cost, was $372 and $923 for the three and nine months ended September 30, 2021, respectively.</w:t>
      </w:r>
    </w:p>
    <w:p>
      <w:pPr>
        <w:spacing w:after="0" w:line="23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addition to rent payments, the Company’s leases include real estate taxes, common area maintenance, utilities, and management fees, which are not fixed. The Company accounts for these cost as variable payment and does not include such costs as a lease component. Total variable expense was $50 and $129 for the three and nine months ended September 30, 2022,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related to the Company right-of-use assets and related operating lease liabilities were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w w:val="96"/>
              </w:rPr>
              <w:t>Nine Months Ended September 30, 2022</w:t>
            </w:r>
          </w:p>
        </w:tc>
      </w:tr>
      <w:tr>
        <w:trPr>
          <w:trHeight w:val="25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67"/>
        </w:trPr>
        <w:tc>
          <w:tcPr>
            <w:tcW w:w="71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36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280" w:type="dxa"/>
            <w:vAlign w:val="bottom"/>
          </w:tcPr>
          <w:p>
            <w:pPr>
              <w:spacing w:after="0"/>
              <w:rPr>
                <w:sz w:val="23"/>
                <w:szCs w:val="23"/>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Weight-average discount rate</w:t>
            </w:r>
          </w:p>
        </w:tc>
        <w:tc>
          <w:tcPr>
            <w:tcW w:w="280" w:type="dxa"/>
            <w:vAlign w:val="bottom"/>
            <w:shd w:val="clear" w:color="auto" w:fill="CCEEFF"/>
          </w:tcPr>
          <w:p>
            <w:pPr>
              <w:spacing w:after="0"/>
              <w:rPr>
                <w:sz w:val="23"/>
                <w:szCs w:val="23"/>
                <w:color w:val="auto"/>
              </w:rPr>
            </w:pP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- 5.5%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Maturities of lease liabilities (in thousands) due in 12-month period ending September 30,</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7"/>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information for comparative periods</w:t>
      </w:r>
    </w:p>
    <w:p>
      <w:pPr>
        <w:spacing w:after="0" w:line="252" w:lineRule="exact"/>
        <w:rPr>
          <w:sz w:val="20"/>
          <w:szCs w:val="20"/>
          <w:color w:val="auto"/>
        </w:rPr>
      </w:pPr>
    </w:p>
    <w:p>
      <w:pPr>
        <w:jc w:val="both"/>
        <w:ind w:right="100" w:firstLine="486"/>
        <w:spacing w:after="0" w:line="277" w:lineRule="auto"/>
        <w:rPr>
          <w:sz w:val="20"/>
          <w:szCs w:val="20"/>
          <w:color w:val="auto"/>
        </w:rPr>
      </w:pPr>
      <w:r>
        <w:rPr>
          <w:rFonts w:ascii="Arial" w:cs="Arial" w:eastAsia="Arial" w:hAnsi="Arial"/>
          <w:sz w:val="18"/>
          <w:szCs w:val="18"/>
          <w:color w:val="auto"/>
        </w:rPr>
        <w:t>As of December 31, 2021 prior to the adoption of ASC 842, minimum payments under operating leases having initial or remaining non-cancelable lease terms in excess of one year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Operating Leases</w:t>
            </w:r>
          </w:p>
        </w:tc>
      </w:tr>
      <w:tr>
        <w:trPr>
          <w:trHeight w:val="27"/>
        </w:trPr>
        <w:tc>
          <w:tcPr>
            <w:tcW w:w="9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70"/>
        </w:trPr>
        <w:tc>
          <w:tcPr>
            <w:tcW w:w="91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7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r>
      <w:tr>
        <w:trPr>
          <w:trHeight w:val="20"/>
        </w:trPr>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BASED COMPENSATION: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Incentive Plans</w:t>
      </w:r>
    </w:p>
    <w:p>
      <w:pPr>
        <w:spacing w:after="0" w:line="25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19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Under the terms of the 2020 Plan, the Company is authorized to issue 18,899,285 shares of common stock pursuant to awards under the 2020 Plan. As of October 19, 2021, the Company has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w:t>
      </w:r>
    </w:p>
    <w:p>
      <w:pPr>
        <w:sectPr>
          <w:pgSz w:w="11900" w:h="16838" w:orient="portrait"/>
          <w:cols w:equalWidth="0" w:num="1">
            <w:col w:w="11160"/>
          </w:cols>
          <w:pgMar w:left="320" w:top="449" w:right="4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460" w:firstLine="486"/>
        <w:spacing w:after="0" w:line="311" w:lineRule="auto"/>
        <w:rPr>
          <w:sz w:val="20"/>
          <w:szCs w:val="20"/>
          <w:color w:val="auto"/>
        </w:rPr>
      </w:pPr>
      <w:r>
        <w:rPr>
          <w:rFonts w:ascii="Arial" w:cs="Arial" w:eastAsia="Arial" w:hAnsi="Arial"/>
          <w:sz w:val="16"/>
          <w:szCs w:val="16"/>
          <w:color w:val="auto"/>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spacing w:after="0" w:line="4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recognizes the fair value of stock-based compensation in its financial statements over the requisite service period of the individual grants, which generally equals a four-year vesting period.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stock-based compensation expense recognized for the three and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76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40"/>
        </w:trPr>
        <w:tc>
          <w:tcPr>
            <w:tcW w:w="27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2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Arial" w:cs="Arial" w:eastAsia="Arial" w:hAnsi="Arial"/>
                <w:sz w:val="18"/>
                <w:szCs w:val="18"/>
                <w:color w:val="auto"/>
              </w:rPr>
              <w:t>Total stock-based compensation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15,774</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52,136</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14,765</w:t>
            </w:r>
          </w:p>
        </w:tc>
        <w:tc>
          <w:tcPr>
            <w:tcW w:w="0" w:type="dxa"/>
            <w:vAlign w:val="bottom"/>
          </w:tcPr>
          <w:p>
            <w:pPr>
              <w:spacing w:after="0"/>
              <w:rPr>
                <w:sz w:val="1"/>
                <w:szCs w:val="1"/>
                <w:color w:val="auto"/>
              </w:rPr>
            </w:pPr>
          </w:p>
        </w:tc>
      </w:tr>
      <w:tr>
        <w:trPr>
          <w:trHeight w:val="221"/>
        </w:trPr>
        <w:tc>
          <w:tcPr>
            <w:tcW w:w="2780" w:type="dxa"/>
            <w:vAlign w:val="bottom"/>
          </w:tcPr>
          <w:p>
            <w:pPr>
              <w:ind w:left="20"/>
              <w:spacing w:after="0"/>
              <w:rPr>
                <w:sz w:val="20"/>
                <w:szCs w:val="20"/>
                <w:color w:val="auto"/>
              </w:rPr>
            </w:pPr>
            <w:r>
              <w:rPr>
                <w:rFonts w:ascii="Arial" w:cs="Arial" w:eastAsia="Arial" w:hAnsi="Arial"/>
                <w:sz w:val="18"/>
                <w:szCs w:val="18"/>
                <w:color w:val="auto"/>
              </w:rPr>
              <w:t>expense</w:t>
            </w: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21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fair value of incentive stock options and non-statutory stock options issued was estimated using the Black-Scholes model. The Company did not grant any awards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2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A summary of stock options outstanding, excluding LTIP options as of September 30, 2022, and activity during the nine months then ended,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8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 Per</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2"/>
                <w:szCs w:val="12"/>
                <w:color w:val="auto"/>
              </w:rPr>
            </w:pPr>
          </w:p>
        </w:tc>
        <w:tc>
          <w:tcPr>
            <w:tcW w:w="8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5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center"/>
              <w:ind w:left="858"/>
              <w:spacing w:after="0"/>
              <w:rPr>
                <w:sz w:val="20"/>
                <w:szCs w:val="20"/>
                <w:color w:val="auto"/>
              </w:rPr>
            </w:pPr>
            <w:r>
              <w:rPr>
                <w:rFonts w:ascii="Arial" w:cs="Arial" w:eastAsia="Arial" w:hAnsi="Arial"/>
                <w:sz w:val="18"/>
                <w:szCs w:val="18"/>
                <w:color w:val="auto"/>
                <w:w w:val="91"/>
              </w:rPr>
              <w:t>6.80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77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1400" w:type="dxa"/>
            <w:vAlign w:val="bottom"/>
            <w:gridSpan w:val="2"/>
          </w:tcPr>
          <w:p>
            <w:pPr>
              <w:jc w:val="center"/>
              <w:ind w:left="77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Outstanding at September 30, 2022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Pr>
          <w:p>
            <w:pPr>
              <w:spacing w:after="0"/>
              <w:rPr>
                <w:sz w:val="19"/>
                <w:szCs w:val="19"/>
                <w:color w:val="auto"/>
              </w:rPr>
            </w:pPr>
          </w:p>
        </w:tc>
        <w:tc>
          <w:tcPr>
            <w:tcW w:w="1300" w:type="dxa"/>
            <w:vAlign w:val="bottom"/>
            <w:tcBorders>
              <w:top w:val="single" w:sz="8" w:color="auto"/>
            </w:tcBorders>
          </w:tcPr>
          <w:p>
            <w:pPr>
              <w:jc w:val="center"/>
              <w:ind w:left="858"/>
              <w:spacing w:after="0"/>
              <w:rPr>
                <w:sz w:val="20"/>
                <w:szCs w:val="20"/>
                <w:color w:val="auto"/>
              </w:rPr>
            </w:pPr>
            <w:r>
              <w:rPr>
                <w:rFonts w:ascii="Arial" w:cs="Arial" w:eastAsia="Arial" w:hAnsi="Arial"/>
                <w:sz w:val="18"/>
                <w:szCs w:val="18"/>
                <w:color w:val="auto"/>
                <w:w w:val="91"/>
              </w:rPr>
              <w:t>6.60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45"/>
        </w:trPr>
        <w:tc>
          <w:tcPr>
            <w:tcW w:w="454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Vested and Exercisable at September 30, 2022</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5,301</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$.08 - $1.06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0.46</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jc w:val="center"/>
              <w:ind w:left="878"/>
              <w:spacing w:after="0" w:line="203" w:lineRule="exact"/>
              <w:rPr>
                <w:sz w:val="20"/>
                <w:szCs w:val="20"/>
                <w:color w:val="auto"/>
              </w:rPr>
            </w:pPr>
            <w:r>
              <w:rPr>
                <w:rFonts w:ascii="Arial" w:cs="Arial" w:eastAsia="Arial" w:hAnsi="Arial"/>
                <w:sz w:val="18"/>
                <w:szCs w:val="18"/>
                <w:color w:val="auto"/>
                <w:w w:val="85"/>
              </w:rPr>
              <w:t>6.11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three and nine months ended September 30, 2022, the Company recognized $117 and $363 respectively, of stock-based compensation expense for the vesting of outstanding stock options, excluding $1.4 million related to the LTIP Options described below. During the three and nine months ended September 30, 2021, the Company recognized $145 and $492, respectively, of stock-based compensation expense for the vesting of outstanding stock options. At September 30, 2022, unrecognized compensation cost related to unvested awards totaled $736. The weighted-average period over which this remaining compensation cost will be recognized is 1.6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Stock Options</w:t>
      </w:r>
    </w:p>
    <w:p>
      <w:pPr>
        <w:spacing w:after="0" w:line="239" w:lineRule="exact"/>
        <w:rPr>
          <w:sz w:val="20"/>
          <w:szCs w:val="20"/>
          <w:color w:val="auto"/>
        </w:rPr>
      </w:pPr>
    </w:p>
    <w:p>
      <w:pPr>
        <w:ind w:right="20" w:firstLine="486"/>
        <w:spacing w:after="0" w:line="266" w:lineRule="auto"/>
        <w:rPr>
          <w:sz w:val="20"/>
          <w:szCs w:val="20"/>
          <w:color w:val="auto"/>
        </w:rPr>
      </w:pPr>
      <w:r>
        <w:rPr>
          <w:rFonts w:ascii="Arial" w:cs="Arial" w:eastAsia="Arial" w:hAnsi="Arial"/>
          <w:sz w:val="16"/>
          <w:szCs w:val="16"/>
          <w:color w:val="auto"/>
        </w:rPr>
        <w:t>The Company awarded a total of 6,500,000 performance stock options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$8.13. The weighted average contractual</w:t>
      </w:r>
    </w:p>
    <w:p>
      <w:pPr>
        <w:spacing w:after="0" w:line="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period remaining is 9.9 years. T</w:t>
      </w:r>
      <w:r>
        <w:rPr>
          <w:rFonts w:ascii="Arial" w:cs="Arial" w:eastAsia="Arial" w:hAnsi="Arial"/>
          <w:sz w:val="21"/>
          <w:szCs w:val="21"/>
          <w:color w:val="auto"/>
        </w:rPr>
        <w:t>he</w:t>
      </w:r>
      <w:r>
        <w:rPr>
          <w:rFonts w:ascii="Arial" w:cs="Arial" w:eastAsia="Arial" w:hAnsi="Arial"/>
          <w:sz w:val="18"/>
          <w:szCs w:val="18"/>
          <w:color w:val="auto"/>
        </w:rPr>
        <w:t xml:space="preserve"> Black-Scholes model and a Monte Carlo simulation incorporated 100,000 scenarios. The valuation model utilized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Risk-free interest rates</w:t>
            </w:r>
          </w:p>
        </w:tc>
        <w:tc>
          <w:tcPr>
            <w:tcW w:w="3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Expected volatility rates</w:t>
            </w:r>
          </w:p>
        </w:tc>
        <w:tc>
          <w:tcPr>
            <w:tcW w:w="3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dividend yield</w:t>
            </w:r>
          </w:p>
        </w:tc>
        <w:tc>
          <w:tcPr>
            <w:tcW w:w="3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tcPr>
          <w:p>
            <w:pPr>
              <w:ind w:left="20"/>
              <w:spacing w:after="0"/>
              <w:rPr>
                <w:sz w:val="20"/>
                <w:szCs w:val="20"/>
                <w:color w:val="auto"/>
              </w:rPr>
            </w:pPr>
            <w:r>
              <w:rPr>
                <w:rFonts w:ascii="Arial" w:cs="Arial" w:eastAsia="Arial" w:hAnsi="Arial"/>
                <w:sz w:val="18"/>
                <w:szCs w:val="18"/>
                <w:color w:val="auto"/>
              </w:rPr>
              <w:t>Cost of equity (for derived service period)</w:t>
            </w:r>
          </w:p>
        </w:tc>
        <w:tc>
          <w:tcPr>
            <w:tcW w:w="34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9.96 %</w:t>
            </w:r>
          </w:p>
        </w:tc>
      </w:tr>
      <w:tr>
        <w:trPr>
          <w:trHeight w:val="230"/>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grant date fair value of options</w:t>
            </w:r>
          </w:p>
        </w:tc>
        <w:tc>
          <w:tcPr>
            <w:tcW w:w="34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w:t>
            </w:r>
          </w:p>
        </w:tc>
      </w:tr>
    </w:tbl>
    <w:p>
      <w:pPr>
        <w:spacing w:after="0" w:line="323" w:lineRule="exact"/>
        <w:rPr>
          <w:sz w:val="20"/>
          <w:szCs w:val="20"/>
          <w:color w:val="auto"/>
        </w:rPr>
      </w:pPr>
    </w:p>
    <w:p>
      <w:pPr>
        <w:ind w:right="560" w:firstLine="486"/>
        <w:spacing w:after="0" w:line="263" w:lineRule="auto"/>
        <w:rPr>
          <w:sz w:val="20"/>
          <w:szCs w:val="20"/>
          <w:color w:val="auto"/>
        </w:rPr>
      </w:pPr>
      <w:r>
        <w:rPr>
          <w:rFonts w:ascii="Arial" w:cs="Arial" w:eastAsia="Arial" w:hAnsi="Arial"/>
          <w:sz w:val="18"/>
          <w:szCs w:val="18"/>
          <w:color w:val="auto"/>
        </w:rPr>
        <w:t>The Company recognized $1.4 million and $4.2 million of stock-based compensation expense for the three month and nine months ended September 30, 2022, respectively. The unrecognized compensation expense related to the LTIP Options is $48.6 million as of September 30, 2022, a compensation expense will be recognized over 3.7 years.</w:t>
      </w:r>
    </w:p>
    <w:p>
      <w:pPr>
        <w:spacing w:after="0" w:line="197" w:lineRule="exact"/>
        <w:rPr>
          <w:sz w:val="20"/>
          <w:szCs w:val="20"/>
          <w:color w:val="auto"/>
        </w:rPr>
      </w:pPr>
    </w:p>
    <w:p>
      <w:pPr>
        <w:ind w:right="80" w:firstLine="486"/>
        <w:spacing w:after="0" w:line="284" w:lineRule="auto"/>
        <w:rPr>
          <w:sz w:val="20"/>
          <w:szCs w:val="20"/>
          <w:color w:val="auto"/>
        </w:rPr>
      </w:pPr>
      <w:r>
        <w:rPr>
          <w:rFonts w:ascii="Arial" w:cs="Arial" w:eastAsia="Arial" w:hAnsi="Arial"/>
          <w:sz w:val="16"/>
          <w:szCs w:val="16"/>
          <w:color w:val="auto"/>
        </w:rPr>
        <w:t>The Company awarded a total of 3,250,000 performance stock options (“LTIP Options”) to a member of senior management on August 15, 2022 pursuant to the 2021 Plan. The options vest in increments subject to achieving certain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$2.51.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1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weighted average contractual period remaining is 9.9 years. T</w:t>
      </w:r>
      <w:r>
        <w:rPr>
          <w:rFonts w:ascii="Arial" w:cs="Arial" w:eastAsia="Arial" w:hAnsi="Arial"/>
          <w:sz w:val="21"/>
          <w:szCs w:val="21"/>
          <w:color w:val="auto"/>
        </w:rPr>
        <w:t>he</w:t>
      </w:r>
      <w:r>
        <w:rPr>
          <w:rFonts w:ascii="Arial" w:cs="Arial" w:eastAsia="Arial" w:hAnsi="Arial"/>
          <w:sz w:val="18"/>
          <w:szCs w:val="18"/>
          <w:color w:val="auto"/>
        </w:rPr>
        <w:t xml:space="preserve"> Black-Scholes model and a Monte Carlo simulation incorporated 100,000 scenarios. The valuation model utilized the following assumptions: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Risk-free interest rates</w:t>
            </w:r>
          </w:p>
        </w:tc>
        <w:tc>
          <w:tcPr>
            <w:tcW w:w="3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Expected volatility rates</w:t>
            </w:r>
          </w:p>
        </w:tc>
        <w:tc>
          <w:tcPr>
            <w:tcW w:w="3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dividend yield</w:t>
            </w:r>
          </w:p>
        </w:tc>
        <w:tc>
          <w:tcPr>
            <w:tcW w:w="3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tcPr>
          <w:p>
            <w:pPr>
              <w:ind w:left="20"/>
              <w:spacing w:after="0"/>
              <w:rPr>
                <w:sz w:val="20"/>
                <w:szCs w:val="20"/>
                <w:color w:val="auto"/>
              </w:rPr>
            </w:pPr>
            <w:r>
              <w:rPr>
                <w:rFonts w:ascii="Arial" w:cs="Arial" w:eastAsia="Arial" w:hAnsi="Arial"/>
                <w:sz w:val="18"/>
                <w:szCs w:val="18"/>
                <w:color w:val="auto"/>
              </w:rPr>
              <w:t>Cost of equity (for derived service period)</w:t>
            </w:r>
          </w:p>
        </w:tc>
        <w:tc>
          <w:tcPr>
            <w:tcW w:w="33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14.64 %</w:t>
            </w: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grant date fair value of options</w:t>
            </w:r>
          </w:p>
        </w:tc>
        <w:tc>
          <w:tcPr>
            <w:tcW w:w="33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r>
    </w:tbl>
    <w:p>
      <w:pPr>
        <w:spacing w:after="0" w:line="32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Company recognized $119 and $119 of stock-based compensation expense for the three and nine months ended September 30, 2022, respectively. The unrecognized compensation expense related to the LTIP Options is $8.0 million as of September 30, 2022, and compensation expense will be recognized over 4.3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39" w:lineRule="exact"/>
        <w:rPr>
          <w:sz w:val="20"/>
          <w:szCs w:val="20"/>
          <w:color w:val="auto"/>
        </w:rPr>
      </w:pPr>
    </w:p>
    <w:p>
      <w:pPr>
        <w:ind w:right="60" w:firstLine="486"/>
        <w:spacing w:after="0" w:line="251" w:lineRule="auto"/>
        <w:rPr>
          <w:sz w:val="20"/>
          <w:szCs w:val="20"/>
          <w:color w:val="auto"/>
        </w:rPr>
      </w:pPr>
      <w:r>
        <w:rPr>
          <w:rFonts w:ascii="Arial" w:cs="Arial" w:eastAsia="Arial" w:hAnsi="Arial"/>
          <w:sz w:val="17"/>
          <w:szCs w:val="17"/>
          <w:color w:val="auto"/>
        </w:rPr>
        <w:t>On August 25, 2021, Legacy Navitas granted an aggregate of 4,135,000 Legacy Navitas RSUs under the 2020 Plan to certain members of senior management pursuant to restricted stock unit agreements (collectively, the “RSU Agreements”). At the Closing of the Business Combination, these Legacy Navitas RSUs were assumed by the Company and converted at the Exchange Ratio into RSUs to acquire an aggregate of 4,525,344 shares of common stock. Each RSU represents the right to receive one share of common stock of the Company, subject to the vesting and other terms and conditions set forth in the RSU Agreements and the 2020 Plan. 3,830,400 of these RSU awards are subject to vesting in three equal installments over a three-year period, subject to the occurrence of an IPO (which includes the Business Combination) and certain valuation targets, and subject to accelerated vesting based on the satisfaction of certain stock price targets. 547,200 of these RSUs were subject to vesting on the six-month anniversary of the grant date, subject to the occurrence of an IPO (which included the Business Combination) and certain valuation targets. 57,456 of these RSUs were subject to vesting upon the occurrence of an IPO (which included the Business Combination), while the remaining 90,288 RSUs are subject to vesting as specified by an RSU Agreement over a period of approximately three years. As of October 19, 2021, the IPO performance condition had been met as a result of the completion of the Business Combination.</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RSUs outstanding as of September 30, 2022, and activity during the nine months then ended,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360" w:type="dxa"/>
            <w:vAlign w:val="bottom"/>
          </w:tcPr>
          <w:p>
            <w:pPr>
              <w:jc w:val="center"/>
              <w:ind w:left="710"/>
              <w:spacing w:after="0"/>
              <w:rPr>
                <w:sz w:val="20"/>
                <w:szCs w:val="20"/>
                <w:color w:val="auto"/>
              </w:rPr>
            </w:pPr>
            <w:r>
              <w:rPr>
                <w:rFonts w:ascii="Arial" w:cs="Arial" w:eastAsia="Arial" w:hAnsi="Arial"/>
                <w:sz w:val="18"/>
                <w:szCs w:val="18"/>
                <w:b w:val="1"/>
                <w:bCs w:val="1"/>
                <w:color w:val="auto"/>
                <w:w w:val="86"/>
              </w:rPr>
              <w:t>Shares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Weighted-Average Grant Date Fair</w:t>
            </w:r>
          </w:p>
        </w:tc>
      </w:tr>
      <w:tr>
        <w:trPr>
          <w:trHeight w:val="239"/>
        </w:trPr>
        <w:tc>
          <w:tcPr>
            <w:tcW w:w="462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0"/>
              </w:rPr>
              <w:t>(In thousands)</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Value Per Share</w:t>
            </w: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3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29"/>
        </w:trPr>
        <w:tc>
          <w:tcPr>
            <w:tcW w:w="69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6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698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2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During the three and nine months ended September 30, 2022, the Company recognized $8.7 million and $32.4 million of stock-based compensation expense for the vesting of RSUs, respectively. During the three and nine months ended September 30, 2021, the Company recognized $501 and</w:t>
      </w:r>
    </w:p>
    <w:p>
      <w:pPr>
        <w:ind w:right="400"/>
        <w:spacing w:after="0" w:line="255" w:lineRule="auto"/>
        <w:rPr>
          <w:sz w:val="20"/>
          <w:szCs w:val="20"/>
          <w:color w:val="auto"/>
        </w:rPr>
      </w:pPr>
      <w:r>
        <w:rPr>
          <w:rFonts w:ascii="Arial" w:cs="Arial" w:eastAsia="Arial" w:hAnsi="Arial"/>
          <w:sz w:val="18"/>
          <w:szCs w:val="18"/>
          <w:color w:val="auto"/>
        </w:rPr>
        <w:t>$14.3 million of stock-based compensation expense for the vesting of RSUs, respectively. As of September 30, 2022, unrecognized compensation cost related to unvested RSU awards totaled $58.4 million. The weighted-average period over which this remaining compensation cost is expected be recognized is 2.6 years.</w:t>
      </w:r>
    </w:p>
    <w:p>
      <w:pPr>
        <w:spacing w:after="0" w:line="203" w:lineRule="exact"/>
        <w:rPr>
          <w:sz w:val="20"/>
          <w:szCs w:val="20"/>
          <w:color w:val="auto"/>
        </w:rPr>
      </w:pPr>
    </w:p>
    <w:p>
      <w:pPr>
        <w:ind w:right="120" w:firstLine="486"/>
        <w:spacing w:after="0" w:line="272" w:lineRule="auto"/>
        <w:rPr>
          <w:sz w:val="20"/>
          <w:szCs w:val="20"/>
          <w:color w:val="auto"/>
        </w:rPr>
      </w:pPr>
      <w:r>
        <w:rPr>
          <w:rFonts w:ascii="Arial" w:cs="Arial" w:eastAsia="Arial" w:hAnsi="Arial"/>
          <w:sz w:val="16"/>
          <w:szCs w:val="16"/>
          <w:color w:val="auto"/>
        </w:rPr>
        <w:t>The Company accrued $3.8 million and $2.0 million as of September 30, 2022 and December 31, 2021, respectively, related to a stock-based bonus plan that the Company plans to settle by issuing a variable number of fully-vested restricted stock units to employees. The $3.8 million accrued as of September 30, 2022 is for the eligible employee’s included the Company’s 2022 annual bonus plan and is expected to be settled during the first quarter of 2023. The $2.0 million accrued as of December 31, 2021 was for the Company’s 2021 annual bonus plan and no balance is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ind w:right="400"/>
        <w:spacing w:after="0" w:line="310" w:lineRule="auto"/>
        <w:rPr>
          <w:sz w:val="20"/>
          <w:szCs w:val="20"/>
          <w:color w:val="auto"/>
        </w:rPr>
      </w:pPr>
      <w:r>
        <w:rPr>
          <w:rFonts w:ascii="Arial" w:cs="Arial" w:eastAsia="Arial" w:hAnsi="Arial"/>
          <w:sz w:val="16"/>
          <w:szCs w:val="16"/>
          <w:color w:val="auto"/>
        </w:rPr>
        <w:t>accrued as of September 30, 2022. Based on the closing share price of the Company’s Class A Common Stock of $4.85 on September 30, 2022, approximately 783,505 shares would have been issued, however, the actual number of shares will be based on the share price at the date of settlement</w:t>
      </w:r>
      <w:r>
        <w:rPr>
          <w:rFonts w:ascii="Arial" w:cs="Arial" w:eastAsia="Arial" w:hAnsi="Arial"/>
          <w:sz w:val="17"/>
          <w:szCs w:val="17"/>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Earnout Shares</w:t>
      </w:r>
    </w:p>
    <w:p>
      <w:pPr>
        <w:spacing w:after="0" w:line="11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A portion of the earnout shares may be issued to individuals with unvested equity awards. While the payout of these shares requires achievement of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three and nine months ended September 30, 2022, the Company recognized $4.3 million and $11.5 million of stock-based compensation expense for the vesting of earnout shares, respectively. At September 30, 2022, unrecognized compensation cost related to unvested earnout shares totaled $1.8 million. The weighted-average period over which this remaining compensation cost is expected be recognized is 0.5 years. Refer to Note 11, Earnout Liability.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108" w:lineRule="exact"/>
        <w:rPr>
          <w:sz w:val="20"/>
          <w:szCs w:val="20"/>
          <w:color w:val="auto"/>
        </w:rPr>
      </w:pPr>
    </w:p>
    <w:p>
      <w:pPr>
        <w:ind w:right="20" w:firstLine="486"/>
        <w:spacing w:after="0" w:line="252" w:lineRule="auto"/>
        <w:rPr>
          <w:sz w:val="20"/>
          <w:szCs w:val="20"/>
          <w:color w:val="auto"/>
        </w:rPr>
      </w:pPr>
      <w:r>
        <w:rPr>
          <w:rFonts w:ascii="Arial" w:cs="Arial" w:eastAsia="Arial" w:hAnsi="Arial"/>
          <w:sz w:val="17"/>
          <w:szCs w:val="17"/>
          <w:color w:val="auto"/>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spacing w:after="0" w:line="210"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to concurrently redeem the Private Placement Warrants on the same terms. In addition, in such event, holders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 the 10 trading days following notice of redemption (the “Redemption Fair Market Value”) and the time period between the redemption date and the original expiration of the Warrants in the absence of redemption.</w:t>
      </w:r>
    </w:p>
    <w:p>
      <w:pPr>
        <w:spacing w:after="0" w:line="214" w:lineRule="exact"/>
        <w:rPr>
          <w:sz w:val="20"/>
          <w:szCs w:val="20"/>
          <w:color w:val="auto"/>
        </w:rPr>
      </w:pPr>
    </w:p>
    <w:p>
      <w:pPr>
        <w:ind w:right="40" w:firstLine="486"/>
        <w:spacing w:after="0" w:line="271" w:lineRule="auto"/>
        <w:rPr>
          <w:sz w:val="20"/>
          <w:szCs w:val="20"/>
          <w:color w:val="auto"/>
        </w:rPr>
      </w:pPr>
      <w:r>
        <w:rPr>
          <w:rFonts w:ascii="Arial" w:cs="Arial" w:eastAsia="Arial" w:hAnsi="Arial"/>
          <w:sz w:val="16"/>
          <w:szCs w:val="16"/>
          <w:color w:val="0A0A0A"/>
          <w:highlight w:val="white"/>
        </w:rPr>
        <w:t xml:space="preserve">On February 4, 2022, the Company issued a notice of redemption that it would redeem, at 5:00 p.m. New York City time on March 7, 2022 (the “Redemption </w:t>
      </w:r>
      <w:r>
        <w:rPr>
          <w:rFonts w:ascii="Arial" w:cs="Arial" w:eastAsia="Arial" w:hAnsi="Arial"/>
          <w:sz w:val="16"/>
          <w:szCs w:val="16"/>
          <w:color w:val="0A0A0A"/>
        </w:rPr>
        <w:t>Date”),</w:t>
      </w:r>
      <w:r>
        <w:rPr>
          <w:rFonts w:ascii="Arial" w:cs="Arial" w:eastAsia="Arial" w:hAnsi="Arial"/>
          <w:sz w:val="16"/>
          <w:szCs w:val="16"/>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Arial" w:cs="Arial" w:eastAsia="Arial" w:hAnsi="Arial"/>
          <w:sz w:val="16"/>
          <w:szCs w:val="16"/>
          <w:color w:val="0A0A0A"/>
        </w:rPr>
        <w:t>Warrant Agreement”),</w:t>
      </w:r>
      <w:r>
        <w:rPr>
          <w:rFonts w:ascii="Arial" w:cs="Arial" w:eastAsia="Arial" w:hAnsi="Arial"/>
          <w:sz w:val="16"/>
          <w:szCs w:val="16"/>
          <w:color w:val="0A0A0A"/>
          <w:highlight w:val="white"/>
        </w:rPr>
        <w:t xml:space="preserve"> between the Company and Continental Stock Transfer &amp; Trust Company, as warrant agent (the “Warrant Agent”), at a redemption price of $0.10 per Warrant (the “</w:t>
      </w:r>
      <w:r>
        <w:rPr>
          <w:rFonts w:ascii="Arial" w:cs="Arial" w:eastAsia="Arial" w:hAnsi="Arial"/>
          <w:sz w:val="16"/>
          <w:szCs w:val="16"/>
          <w:color w:val="0A0A0A"/>
        </w:rPr>
        <w:t>Redemption</w:t>
      </w:r>
      <w:r>
        <w:rPr>
          <w:rFonts w:ascii="Arial" w:cs="Arial" w:eastAsia="Arial" w:hAnsi="Arial"/>
          <w:sz w:val="16"/>
          <w:szCs w:val="16"/>
          <w:color w:val="0A0A0A"/>
          <w:highlight w:val="white"/>
        </w:rPr>
        <w:t xml:space="preserve"> </w:t>
      </w:r>
      <w:r>
        <w:rPr>
          <w:rFonts w:ascii="Arial" w:cs="Arial" w:eastAsia="Arial" w:hAnsi="Arial"/>
          <w:sz w:val="16"/>
          <w:szCs w:val="16"/>
          <w:color w:val="0A0A0A"/>
        </w:rPr>
        <w:t>Price”)</w:t>
      </w:r>
      <w:r>
        <w:rPr>
          <w:rFonts w:ascii="Arial" w:cs="Arial" w:eastAsia="Arial" w:hAnsi="Arial"/>
          <w:sz w:val="16"/>
          <w:szCs w:val="16"/>
          <w:color w:val="0A0A0A"/>
          <w:highlight w:val="white"/>
        </w:rPr>
        <w:t>. On February 22, 2022, the Company issued a notice that the “Redemption Fair Market Value,” determined in accordance with the Warrant</w:t>
      </w:r>
      <w:r>
        <w:rPr>
          <w:rFonts w:ascii="Arial" w:cs="Arial" w:eastAsia="Arial" w:hAnsi="Arial"/>
          <w:sz w:val="16"/>
          <w:szCs w:val="16"/>
          <w:color w:val="0A0A0A"/>
        </w:rPr>
        <w:t xml:space="preserve"> </w:t>
      </w:r>
      <w:r>
        <w:rPr>
          <w:rFonts w:ascii="Arial" w:cs="Arial" w:eastAsia="Arial" w:hAnsi="Arial"/>
          <w:sz w:val="16"/>
          <w:szCs w:val="16"/>
          <w:color w:val="0A0A0A"/>
          <w:highlight w:val="white"/>
        </w:rPr>
        <w:t xml:space="preserve">Agreement based on the </w:t>
      </w:r>
      <w:r>
        <w:rPr>
          <w:rFonts w:ascii="Arial" w:cs="Arial" w:eastAsia="Arial" w:hAnsi="Arial"/>
          <w:sz w:val="16"/>
          <w:szCs w:val="16"/>
          <w:color w:val="000000"/>
        </w:rPr>
        <w:t>volume weighted average price of the Common Stock for the 10 trading days immediately following the date on which notice of</w:t>
      </w:r>
      <w:r>
        <w:rPr>
          <w:rFonts w:ascii="Arial" w:cs="Arial" w:eastAsia="Arial" w:hAnsi="Arial"/>
          <w:sz w:val="16"/>
          <w:szCs w:val="16"/>
          <w:color w:val="0A0A0A"/>
          <w:highlight w:val="white"/>
        </w:rPr>
        <w:t xml:space="preserve"> </w:t>
      </w:r>
      <w:r>
        <w:rPr>
          <w:rFonts w:ascii="Arial" w:cs="Arial" w:eastAsia="Arial" w:hAnsi="Arial"/>
          <w:sz w:val="16"/>
          <w:szCs w:val="16"/>
          <w:color w:val="000000"/>
        </w:rPr>
        <w:t xml:space="preserve">redemption was sent, was </w:t>
      </w:r>
      <w:r>
        <w:rPr>
          <w:rFonts w:ascii="Arial" w:cs="Arial" w:eastAsia="Arial" w:hAnsi="Arial"/>
          <w:sz w:val="16"/>
          <w:szCs w:val="16"/>
          <w:color w:val="0A0A0A"/>
          <w:highlight w:val="white"/>
        </w:rPr>
        <w:t>$10.33 and, accordingly, that holders exercising Warrants on a “cashless” basis before the Redemption Date would receive 0.261</w:t>
      </w:r>
      <w:r>
        <w:rPr>
          <w:rFonts w:ascii="Arial" w:cs="Arial" w:eastAsia="Arial" w:hAnsi="Arial"/>
          <w:sz w:val="16"/>
          <w:szCs w:val="16"/>
          <w:color w:val="000000"/>
        </w:rPr>
        <w:t xml:space="preserve"> </w:t>
      </w:r>
      <w:r>
        <w:rPr>
          <w:rFonts w:ascii="Arial" w:cs="Arial" w:eastAsia="Arial" w:hAnsi="Arial"/>
          <w:sz w:val="16"/>
          <w:szCs w:val="16"/>
          <w:color w:val="0A0A0A"/>
          <w:highlight w:val="white"/>
        </w:rPr>
        <w:t>shares of Common Stock per Warrant exercised. The Warrants were exercisable by their holders until immediately before 5:00 p.m. New York City time on the Redemption Date, either (i) on a cash basis, at an exercise price of $11.50 per share of Common Stock, or (ii) on a</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0A0A0A"/>
          <w:highlight w:val="white"/>
        </w:rPr>
        <w:t xml:space="preserve">“cashless” basis in which the exercising holder would receive 0.261 shares of Common Stock per Warrant exercised. </w:t>
      </w:r>
      <w:r>
        <w:rPr>
          <w:rFonts w:ascii="Arial" w:cs="Arial" w:eastAsia="Arial" w:hAnsi="Arial"/>
          <w:sz w:val="16"/>
          <w:szCs w:val="16"/>
          <w:color w:val="000000"/>
        </w:rPr>
        <w:t>Between December 7, 2021 (the date</w:t>
      </w:r>
      <w:r>
        <w:rPr>
          <w:rFonts w:ascii="Arial" w:cs="Arial" w:eastAsia="Arial" w:hAnsi="Arial"/>
          <w:sz w:val="16"/>
          <w:szCs w:val="16"/>
          <w:color w:val="0A0A0A"/>
          <w:highlight w:val="white"/>
        </w:rPr>
        <w:t xml:space="preserve"> </w:t>
      </w:r>
      <w:r>
        <w:rPr>
          <w:rFonts w:ascii="Arial" w:cs="Arial" w:eastAsia="Arial" w:hAnsi="Arial"/>
          <w:sz w:val="16"/>
          <w:szCs w:val="16"/>
          <w:color w:val="000000"/>
        </w:rPr>
        <w:t>the Warrants became 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$81.4 million which resulted in a gain of $0 and $51.8 million due to the decrease in the fair value of the warrant liability in the three and nine months ended September 30, 2022. There were no outstanding warrants as of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 EARNOUT LIABILITY</w:t>
      </w:r>
    </w:p>
    <w:p>
      <w:pPr>
        <w:spacing w:after="0" w:line="108" w:lineRule="exact"/>
        <w:rPr>
          <w:sz w:val="20"/>
          <w:szCs w:val="20"/>
          <w:color w:val="auto"/>
        </w:rPr>
      </w:pPr>
    </w:p>
    <w:p>
      <w:pPr>
        <w:ind w:firstLine="486"/>
        <w:spacing w:after="0" w:line="271" w:lineRule="auto"/>
        <w:rPr>
          <w:sz w:val="20"/>
          <w:szCs w:val="20"/>
          <w:color w:val="auto"/>
        </w:rPr>
      </w:pPr>
      <w:r>
        <w:rPr>
          <w:rFonts w:ascii="Arial" w:cs="Arial" w:eastAsia="Arial" w:hAnsi="Arial"/>
          <w:sz w:val="16"/>
          <w:szCs w:val="16"/>
          <w:color w:val="auto"/>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 considered met if at any time 150 days following the Business Combination and prior to October 19, 2026, the volume 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196" w:lineRule="exact"/>
        <w:rPr>
          <w:sz w:val="20"/>
          <w:szCs w:val="20"/>
          <w:color w:val="auto"/>
        </w:rPr>
      </w:pPr>
    </w:p>
    <w:p>
      <w:pPr>
        <w:ind w:right="40" w:firstLine="486"/>
        <w:spacing w:after="0" w:line="271" w:lineRule="auto"/>
        <w:rPr>
          <w:sz w:val="20"/>
          <w:szCs w:val="20"/>
          <w:color w:val="auto"/>
        </w:rPr>
      </w:pPr>
      <w:r>
        <w:rPr>
          <w:rFonts w:ascii="Arial" w:cs="Arial" w:eastAsia="Arial" w:hAnsi="Arial"/>
          <w:sz w:val="16"/>
          <w:szCs w:val="16"/>
          <w:color w:val="auto"/>
        </w:rPr>
        <w:t xml:space="preserve">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 equity shares and upon achievement of the Earnout Milestones. The Vested Shares are classified as liabilities in the consolidated balance sheet and the Unvested Shares are equity-classified share-based compensation to be recognized over time (see Note 9,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in the consolidated statement of operations.</w:t>
      </w:r>
    </w:p>
    <w:p>
      <w:pPr>
        <w:spacing w:after="0" w:line="193" w:lineRule="exact"/>
        <w:rPr>
          <w:sz w:val="20"/>
          <w:szCs w:val="20"/>
          <w:color w:val="auto"/>
        </w:rPr>
      </w:pPr>
    </w:p>
    <w:p>
      <w:pPr>
        <w:ind w:right="140" w:firstLine="486"/>
        <w:spacing w:after="0" w:line="248" w:lineRule="auto"/>
        <w:rPr>
          <w:sz w:val="20"/>
          <w:szCs w:val="20"/>
          <w:color w:val="auto"/>
        </w:rPr>
      </w:pPr>
      <w:r>
        <w:rPr>
          <w:rFonts w:ascii="Arial" w:cs="Arial" w:eastAsia="Arial" w:hAnsi="Arial"/>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560" w:type="dxa"/>
            <w:vAlign w:val="bottom"/>
            <w:gridSpan w:val="2"/>
          </w:tcPr>
          <w:p>
            <w:pPr>
              <w:ind w:left="480"/>
              <w:spacing w:after="0"/>
              <w:rPr>
                <w:sz w:val="20"/>
                <w:szCs w:val="20"/>
                <w:color w:val="auto"/>
              </w:rPr>
            </w:pPr>
            <w:r>
              <w:rPr>
                <w:rFonts w:ascii="Arial" w:cs="Arial" w:eastAsia="Arial" w:hAnsi="Arial"/>
                <w:sz w:val="18"/>
                <w:szCs w:val="18"/>
                <w:b w:val="1"/>
                <w:bCs w:val="1"/>
                <w:color w:val="auto"/>
              </w:rPr>
              <w:t>September 30, 2022</w:t>
            </w:r>
          </w:p>
        </w:tc>
        <w:tc>
          <w:tcPr>
            <w:tcW w:w="236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 2021</w:t>
            </w:r>
          </w:p>
        </w:tc>
      </w:tr>
      <w:tr>
        <w:trPr>
          <w:trHeight w:val="25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100" w:type="dxa"/>
            <w:vAlign w:val="bottom"/>
            <w:tcBorders>
              <w:top w:val="single" w:sz="8" w:color="CCEEFF"/>
            </w:tcBorders>
            <w:shd w:val="clear" w:color="auto" w:fill="CCEEFF"/>
          </w:tcPr>
          <w:p>
            <w:pPr>
              <w:spacing w:after="0"/>
              <w:rPr>
                <w:sz w:val="21"/>
                <w:szCs w:val="21"/>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color w:val="auto"/>
              </w:rPr>
              <w:t>Equity volatility rate</w:t>
            </w:r>
          </w:p>
        </w:tc>
        <w:tc>
          <w:tcPr>
            <w:tcW w:w="2460" w:type="dxa"/>
            <w:vAlign w:val="bottom"/>
          </w:tcPr>
          <w:p>
            <w:pPr>
              <w:jc w:val="right"/>
              <w:spacing w:after="0"/>
              <w:rPr>
                <w:sz w:val="20"/>
                <w:szCs w:val="20"/>
                <w:color w:val="auto"/>
              </w:rPr>
            </w:pPr>
            <w:r>
              <w:rPr>
                <w:rFonts w:ascii="Arial" w:cs="Arial" w:eastAsia="Arial" w:hAnsi="Arial"/>
                <w:sz w:val="18"/>
                <w:szCs w:val="18"/>
                <w:color w:val="auto"/>
              </w:rPr>
              <w:t>62.50 %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55.00 %</w:t>
            </w:r>
          </w:p>
        </w:tc>
      </w:tr>
    </w:tbl>
    <w:p>
      <w:pPr>
        <w:spacing w:after="0" w:line="323" w:lineRule="exact"/>
        <w:rPr>
          <w:sz w:val="20"/>
          <w:szCs w:val="20"/>
          <w:color w:val="auto"/>
        </w:rPr>
      </w:pPr>
    </w:p>
    <w:p>
      <w:pPr>
        <w:jc w:val="both"/>
        <w:ind w:right="180" w:firstLine="486"/>
        <w:spacing w:after="0" w:line="287" w:lineRule="auto"/>
        <w:rPr>
          <w:sz w:val="20"/>
          <w:szCs w:val="20"/>
          <w:color w:val="auto"/>
        </w:rPr>
      </w:pPr>
      <w:r>
        <w:rPr>
          <w:rFonts w:ascii="Arial" w:cs="Arial" w:eastAsia="Arial" w:hAnsi="Arial"/>
          <w:sz w:val="16"/>
          <w:szCs w:val="16"/>
          <w:color w:val="auto"/>
        </w:rPr>
        <w:t>At the closing of the Business Combination on October 19, 2021, the earnout liability had an initial fair value of $96,069, which was recorded as a long-term liability and a reduction to additional paid in capital in the consolidated balance sheet. As of September 30, 2022 and December 31, 2021, the earnout liability had a fair value of $22.6 million and $134.2 million, respectively which resulted in a loss in the fair value of the earnout liability of</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$6.1 million for the three months ended September 30, 2022 due to the increase in the fair value of the earnout liability during the third quarter of 2022 and a gain due to the decrease in the fair value of the earnout liability of $112.2 million for the nine months ended September 30, 2022.</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GeneSiC Earnout Liability</w:t>
      </w:r>
    </w:p>
    <w:p>
      <w:pPr>
        <w:spacing w:after="0" w:line="252" w:lineRule="exact"/>
        <w:rPr>
          <w:sz w:val="20"/>
          <w:szCs w:val="20"/>
          <w:color w:val="auto"/>
        </w:rPr>
      </w:pPr>
    </w:p>
    <w:p>
      <w:pPr>
        <w:ind w:right="760" w:firstLine="486"/>
        <w:spacing w:after="0" w:line="255" w:lineRule="auto"/>
        <w:rPr>
          <w:sz w:val="20"/>
          <w:szCs w:val="20"/>
          <w:color w:val="auto"/>
        </w:rPr>
      </w:pPr>
      <w:r>
        <w:rPr>
          <w:rFonts w:ascii="Arial" w:cs="Arial" w:eastAsia="Arial" w:hAnsi="Arial"/>
          <w:sz w:val="18"/>
          <w:szCs w:val="18"/>
          <w:color w:val="auto"/>
        </w:rPr>
        <w:t>In connection with the merger agreement of GeneSiC Semiconductor as discussed in Note 17, the Company will pay additional contingent consideration of up to $25.0 million, in the form of cash earnout payments to the Sellers and certain employees of GeneSiC, conditioned on the achievement of substantial revenue and gross profit margin targets for the</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GeneSiC business over the four fiscal quarters beginning on October 1, 2022 and ending on September 30, 2023. The estimated fair value of the earnout liability was determined using a Monte Carlo analysis of 20,000 simulations assuming that GeneSiC’s revenue and gross profit margins follow a geometric Browian motion over the earnout period. The valuation model utilized an assumption on the risk-free interest rate of 3.1% and equity volatility rate of 99.9%. As of September 30, 2022, the GeneSiC Earnout liability was $0.6 million and is recorded in Earnout Liability on the Company’s Condensed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CUSTOMERS AND CREDIT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1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customers represented 10% or more of the Company’s net revenues for the respective three and nine months ended September 30, 2022 and 2021, respectively:</w:t>
      </w:r>
    </w:p>
    <w:p>
      <w:pPr>
        <w:sectPr>
          <w:pgSz w:w="11900" w:h="16838" w:orient="portrait"/>
          <w:cols w:equalWidth="0" w:num="1">
            <w:col w:w="11220"/>
          </w:cols>
          <w:pgMar w:left="320" w:top="449" w:right="359" w:bottom="1144"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18"/>
                <w:szCs w:val="18"/>
                <w:color w:val="auto"/>
              </w:rPr>
            </w:pPr>
          </w:p>
        </w:tc>
        <w:tc>
          <w:tcPr>
            <w:tcW w:w="328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20" w:type="dxa"/>
            <w:vAlign w:val="bottom"/>
            <w:tcBorders>
              <w:bottom w:val="single" w:sz="8" w:color="auto"/>
            </w:tcBorders>
            <w:gridSpan w:val="3"/>
            <w:shd w:val="clear" w:color="auto" w:fill="CCEEFF"/>
          </w:tcPr>
          <w:p>
            <w:pPr>
              <w:jc w:val="right"/>
              <w:ind w:right="612"/>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Customer</w:t>
            </w: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20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67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60" w:type="dxa"/>
            <w:vAlign w:val="bottom"/>
          </w:tcPr>
          <w:p>
            <w:pPr>
              <w:jc w:val="right"/>
              <w:ind w:right="692"/>
              <w:spacing w:after="0"/>
              <w:rPr>
                <w:sz w:val="20"/>
                <w:szCs w:val="20"/>
                <w:color w:val="auto"/>
              </w:rPr>
            </w:pPr>
            <w:r>
              <w:rPr>
                <w:rFonts w:ascii="Arial" w:cs="Arial" w:eastAsia="Arial" w:hAnsi="Arial"/>
                <w:sz w:val="16"/>
                <w:szCs w:val="16"/>
                <w:b w:val="1"/>
                <w:bCs w:val="1"/>
                <w:color w:val="auto"/>
              </w:rPr>
              <w:t>2021</w:t>
            </w: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12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Distributor B</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Distributor D</w:t>
            </w:r>
          </w:p>
        </w:tc>
        <w:tc>
          <w:tcPr>
            <w:tcW w:w="1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customer net revenues was less than 10% of total net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considers the domicile of its end customers, rather than the distributors it sells to directly, to be the basis for attributing revenues from external customers to individual countries. Revenues for the three and nine months ended September 30, 2022 and 2021, were attributable to end customers in the following countries: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18"/>
                <w:szCs w:val="18"/>
                <w:color w:val="auto"/>
              </w:rPr>
            </w:pPr>
          </w:p>
        </w:tc>
        <w:tc>
          <w:tcPr>
            <w:tcW w:w="3780" w:type="dxa"/>
            <w:vAlign w:val="bottom"/>
            <w:gridSpan w:val="4"/>
            <w:shd w:val="clear" w:color="auto" w:fill="CCEEFF"/>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3640" w:type="dxa"/>
            <w:vAlign w:val="bottom"/>
            <w:gridSpan w:val="3"/>
            <w:shd w:val="clear" w:color="auto" w:fill="CCEEFF"/>
          </w:tcPr>
          <w:p>
            <w:pPr>
              <w:jc w:val="right"/>
              <w:ind w:right="511"/>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Country</w:t>
            </w:r>
          </w:p>
        </w:tc>
        <w:tc>
          <w:tcPr>
            <w:tcW w:w="17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7"/>
              </w:rPr>
              <w:t>— %</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China</w:t>
            </w: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760" w:type="dxa"/>
            <w:vAlign w:val="bottom"/>
          </w:tcPr>
          <w:p>
            <w:pPr>
              <w:ind w:left="13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74</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Rest of Asia</w:t>
            </w: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760" w:type="dxa"/>
            <w:vAlign w:val="bottom"/>
          </w:tcPr>
          <w:p>
            <w:pPr>
              <w:ind w:left="13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ind w:left="1360"/>
              <w:spacing w:after="0"/>
              <w:rPr>
                <w:sz w:val="20"/>
                <w:szCs w:val="20"/>
                <w:color w:val="auto"/>
              </w:rPr>
            </w:pPr>
            <w:r>
              <w:rPr>
                <w:rFonts w:ascii="Arial" w:cs="Arial" w:eastAsia="Arial" w:hAnsi="Arial"/>
                <w:sz w:val="18"/>
                <w:szCs w:val="18"/>
                <w:color w:val="auto"/>
              </w:rPr>
              <w:t>—   2</w:t>
            </w:r>
          </w:p>
        </w:tc>
        <w:tc>
          <w:tcPr>
            <w:tcW w:w="1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7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3"/>
              </w:rPr>
              <w:t>100 %</w:t>
            </w:r>
          </w:p>
        </w:tc>
        <w:tc>
          <w:tcPr>
            <w:tcW w:w="16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3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*Impractical to disclose the revenue percentages by individual countries within Europe and therefore Europe is presented in total.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w w:val="94"/>
              </w:rPr>
              <w:t>The following customers represented 10% or more of the Company’s accounts receivable.</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Customer</w:t>
            </w: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September 30, 2022</w:t>
            </w:r>
          </w:p>
        </w:tc>
        <w:tc>
          <w:tcPr>
            <w:tcW w:w="2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Distributor A</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Distributor B</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Distributor C</w:t>
            </w:r>
          </w:p>
        </w:tc>
        <w:tc>
          <w:tcPr>
            <w:tcW w:w="216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customer accounts receivable was less than 10% of net account receivables.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Supplier Risk</w:t>
      </w:r>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Company currently relies on a single foundry to produce wafers for GaN ICs and a separate single foundry to produce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third-party foundry that supply wafers for GaN ICs, are located in Taiwan. A significant amount of the Company’s assembly and test operations are conducted by third-party contractors in Taiwan, Thailand and the Philippines.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12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are eligible to receive all dividends declared on the Company’s common shares during the vesting period; however, such dividends are not paid until the restrictions lapse. The Company has no plans to declare dividends.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net income (loss) per share calculation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39"/>
        </w:trPr>
        <w:tc>
          <w:tcPr>
            <w:tcW w:w="66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 - basic 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2021</w:t>
            </w:r>
          </w:p>
        </w:tc>
      </w:tr>
      <w:tr>
        <w:trPr>
          <w:trHeight w:val="263"/>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attributable to controlling interests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81,039</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(32,838)</w:t>
            </w:r>
          </w:p>
        </w:tc>
      </w:tr>
      <w:tr>
        <w:trPr>
          <w:trHeight w:val="270"/>
        </w:trPr>
        <w:tc>
          <w:tcPr>
            <w:tcW w:w="6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r>
      <w:tr>
        <w:trPr>
          <w:trHeight w:val="270"/>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common shares - diluted common stock</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19,643</w:t>
            </w:r>
          </w:p>
        </w:tc>
      </w:tr>
      <w:tr>
        <w:trPr>
          <w:trHeight w:val="257"/>
        </w:trPr>
        <w:tc>
          <w:tcPr>
            <w:tcW w:w="6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per share - basic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56"/>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19,643</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other dilutive awards</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40" w:type="dxa"/>
            <w:vAlign w:val="bottom"/>
          </w:tcPr>
          <w:p>
            <w:pPr>
              <w:ind w:left="20"/>
              <w:spacing w:after="0"/>
              <w:rPr>
                <w:sz w:val="20"/>
                <w:szCs w:val="20"/>
                <w:color w:val="auto"/>
              </w:rPr>
            </w:pPr>
            <w:r>
              <w:rPr>
                <w:rFonts w:ascii="Arial" w:cs="Arial" w:eastAsia="Arial" w:hAnsi="Arial"/>
                <w:sz w:val="18"/>
                <w:szCs w:val="18"/>
                <w:color w:val="auto"/>
              </w:rPr>
              <w:t>Weighted-average common shares - diluted common stock</w:t>
            </w: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138,455</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18,305</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140,134</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19,643</w:t>
            </w:r>
          </w:p>
        </w:tc>
      </w:tr>
      <w:tr>
        <w:trPr>
          <w:trHeight w:val="256"/>
        </w:trPr>
        <w:tc>
          <w:tcPr>
            <w:tcW w:w="6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66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Shares excluded from diluted weighted-average shares:</w:t>
            </w:r>
            <w:r>
              <w:rPr>
                <w:rFonts w:ascii="Arial" w:cs="Arial" w:eastAsia="Arial" w:hAnsi="Arial"/>
                <w:sz w:val="23"/>
                <w:szCs w:val="23"/>
                <w:b w:val="1"/>
                <w:bCs w:val="1"/>
                <w:color w:val="auto"/>
                <w:vertAlign w:val="superscript"/>
              </w:rPr>
              <w:t>1, 2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0"/>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Redeemable convertible preferred stock shares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54,449</w:t>
            </w:r>
          </w:p>
        </w:tc>
      </w:tr>
      <w:tr>
        <w:trPr>
          <w:trHeight w:val="243"/>
        </w:trPr>
        <w:tc>
          <w:tcPr>
            <w:tcW w:w="6640" w:type="dxa"/>
            <w:vAlign w:val="bottom"/>
          </w:tcPr>
          <w:p>
            <w:pPr>
              <w:ind w:left="240"/>
              <w:spacing w:after="0"/>
              <w:rPr>
                <w:sz w:val="20"/>
                <w:szCs w:val="20"/>
                <w:color w:val="auto"/>
              </w:rPr>
            </w:pPr>
            <w:r>
              <w:rPr>
                <w:rFonts w:ascii="Arial" w:cs="Arial" w:eastAsia="Arial" w:hAnsi="Arial"/>
                <w:sz w:val="18"/>
                <w:szCs w:val="18"/>
                <w:color w:val="auto"/>
              </w:rPr>
              <w:t>Warrants to purchase redeemable convertible preferred stock</w:t>
            </w:r>
          </w:p>
        </w:tc>
        <w:tc>
          <w:tcPr>
            <w:tcW w:w="1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Warrants to purchase common shares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43"/>
        </w:trPr>
        <w:tc>
          <w:tcPr>
            <w:tcW w:w="6640" w:type="dxa"/>
            <w:vAlign w:val="bottom"/>
          </w:tcPr>
          <w:p>
            <w:pPr>
              <w:ind w:left="240"/>
              <w:spacing w:after="0"/>
              <w:rPr>
                <w:sz w:val="20"/>
                <w:szCs w:val="20"/>
                <w:color w:val="auto"/>
              </w:rPr>
            </w:pPr>
            <w:r>
              <w:rPr>
                <w:rFonts w:ascii="Arial" w:cs="Arial" w:eastAsia="Arial" w:hAnsi="Arial"/>
                <w:sz w:val="18"/>
                <w:szCs w:val="18"/>
                <w:color w:val="auto"/>
              </w:rPr>
              <w:t>Earnout shares (potentially issuable common shares)</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Unvested restricted stock units and restricted stock awards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40"/>
              <w:spacing w:after="0"/>
              <w:rPr>
                <w:sz w:val="20"/>
                <w:szCs w:val="20"/>
                <w:color w:val="auto"/>
              </w:rPr>
            </w:pPr>
            <w:r>
              <w:rPr>
                <w:rFonts w:ascii="Arial" w:cs="Arial" w:eastAsia="Arial" w:hAnsi="Arial"/>
                <w:sz w:val="18"/>
                <w:szCs w:val="18"/>
                <w:color w:val="auto"/>
              </w:rPr>
              <w:t>Stock options potentially exercisable for common shares</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11,753</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6"/>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excluded from diluted weighted average shares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67,485</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ind w:left="340" w:right="20" w:hanging="332"/>
        <w:spacing w:after="0" w:line="25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potentially dilutive securities, which include unexercised stock options, unvested shares, preferred shares, earnout shares, and warrants for common and preferred shares, have been excluded from the computation of diluted net loss per share as the effect would be to reduce the net loss per share for the three months ended September 30, 2022 and three and nine months ended September 30, 2021. For the nine months ended September 30, 2022, potentially dilutive securities have been excluded as these securities contain performance metric(s) which have not be satisfied as of September 30, 2022.</w:t>
      </w:r>
    </w:p>
    <w:p>
      <w:pPr>
        <w:spacing w:after="0" w:line="18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as of September 30, 2022 retroactively restated to give effect to the October 19, 2021 reverse recapitalization.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PROVISION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ind w:right="300" w:firstLine="486"/>
        <w:spacing w:after="0" w:line="274" w:lineRule="auto"/>
        <w:rPr>
          <w:sz w:val="20"/>
          <w:szCs w:val="20"/>
          <w:color w:val="auto"/>
        </w:rPr>
      </w:pPr>
      <w:r>
        <w:rPr>
          <w:rFonts w:ascii="Arial" w:cs="Arial" w:eastAsia="Arial" w:hAnsi="Arial"/>
          <w:sz w:val="16"/>
          <w:szCs w:val="16"/>
          <w:color w:val="auto"/>
        </w:rPr>
        <w:t>The Company determined the income tax provision for interim periods using an estimate of the Company’s annual effective tax rate, adjusted for discrete items arising during the quarter. The Company’s effective tax rate for the three months ended September 30, 2022 and 2021 was (98.9)% and</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0.2%, respectively. The Company’s effective tax rate for the nine months ended September 30, 2022 and 2021 was (38.5)% and 0.2%, respectively. The effective tax rates for 2022 differ from the prior year primarily as a result of the valuation allowance release described below.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w:t>
      </w:r>
    </w:p>
    <w:p>
      <w:pPr>
        <w:sectPr>
          <w:pgSz w:w="11900" w:h="16838" w:orient="portrait"/>
          <w:cols w:equalWidth="0" w:num="1">
            <w:col w:w="11240"/>
          </w:cols>
          <w:pgMar w:left="320" w:top="449" w:right="339" w:bottom="0" w:gutter="0" w:footer="0" w:header="0"/>
        </w:sectPr>
      </w:pPr>
    </w:p>
    <w:bookmarkStart w:id="30" w:name="page31"/>
    <w:bookmarkEnd w:id="30"/>
    <w:p>
      <w:pPr>
        <w:ind w:right="160"/>
        <w:spacing w:after="0" w:line="262" w:lineRule="auto"/>
        <w:rPr>
          <w:sz w:val="20"/>
          <w:szCs w:val="20"/>
          <w:color w:val="auto"/>
        </w:rPr>
      </w:pPr>
      <w:r>
        <w:rPr>
          <w:rFonts w:ascii="Arial" w:cs="Arial" w:eastAsia="Arial" w:hAnsi="Arial"/>
          <w:sz w:val="18"/>
          <w:szCs w:val="18"/>
          <w:color w:val="auto"/>
        </w:rPr>
        <w:t>including our ability to accurately predict the proportion of our income (loss) before provision for income taxes in multiple jurisdictions, the tax effects of our stock-based compensation, and the effects of its foreign entities.</w:t>
      </w:r>
    </w:p>
    <w:p>
      <w:pPr>
        <w:spacing w:after="0" w:line="18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At December 31, 2021, the Company had approximately $100.1 million of federal net operating loss (“NOL”) carryforwards and approximately $82,583 of State NOL carryforwards expiring in varying amounts through 2037, with the exception of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ownership. As of December 31, 2021 and through the second quarter of 2022, the Company had a full valuation allowance on its net deferred tax assets. As a result of the GeneSiC Semiconductor Inc. acquisition, (see Note 17, Business Combinations), the Company released $9.9 million of U.S. valuation allowance during the three months ended September 30, 2022. The release was attributable to a preliminary estimate of $23.2 million of net deferred tax liabilities recorded on GeneSiC’s opening balance sheets that offset certain U.S. net deferred tax assets of Navitas. As of September 30, 2022, the Company continues to maintain a valuation allowance on the remaining deferreds as the Company believes that it is not more likely than not that the deferred tax assets will be fully realized.</w:t>
      </w:r>
    </w:p>
    <w:p>
      <w:pPr>
        <w:spacing w:after="0" w:line="21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had no unrecognized tax benefits for the three and nine months ended September 30, 2022 and 2021. The Company recognizes interest and penalties related to unrecognized tax benefits in operating expenses. No such interest and penalties were recognized during the three and nine months ended September 30, 2022 and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2022, the Company had no non-cancelable purchase obligations that were due beyond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$2.1 million. At September 30, 2022, no terminations have occurred or are expected to occur pursuant to these arrangements and, accordingly, no termination benefits have been accrued.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color w:val="auto"/>
        </w:rPr>
        <w:t>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5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September 30, 2022.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contingencies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 has outstanding interest-bearing notes receivable from an employee. The notes have various maturity dates through May 1, 2023 and bear interest at rates ranging from 1% to 2.76%. As of September 30, 2022, Note 1 was forgiven for a loss of $109 and Note 2 was paid off in the amount of $88. The Company recognized $0 and $0.9 of interest income from the notes for the three and nine months ended September 30, 2022, respectively. The Company recognized $0 and $2 of interest income from the notes for the three and nine months ended September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7"/>
        </w:trPr>
        <w:tc>
          <w:tcPr>
            <w:tcW w:w="1240" w:type="dxa"/>
            <w:vAlign w:val="bottom"/>
            <w:tcBorders>
              <w:bottom w:val="single" w:sz="8" w:color="D2EDFE"/>
            </w:tcBorders>
          </w:tcPr>
          <w:p>
            <w:pPr>
              <w:spacing w:after="0"/>
              <w:rPr>
                <w:sz w:val="2"/>
                <w:szCs w:val="2"/>
                <w:color w:val="auto"/>
              </w:rPr>
            </w:pPr>
          </w:p>
        </w:tc>
        <w:tc>
          <w:tcPr>
            <w:tcW w:w="5680" w:type="dxa"/>
            <w:vAlign w:val="bottom"/>
            <w:tcBorders>
              <w:bottom w:val="single" w:sz="8" w:color="D2EDFE"/>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D2EDFE"/>
          </w:tcPr>
          <w:p>
            <w:pPr>
              <w:ind w:left="20"/>
              <w:spacing w:after="0"/>
              <w:rPr>
                <w:sz w:val="20"/>
                <w:szCs w:val="20"/>
                <w:color w:val="auto"/>
              </w:rPr>
            </w:pPr>
            <w:r>
              <w:rPr>
                <w:rFonts w:ascii="Arial" w:cs="Arial" w:eastAsia="Arial" w:hAnsi="Arial"/>
                <w:sz w:val="18"/>
                <w:szCs w:val="18"/>
                <w:color w:val="auto"/>
                <w:w w:val="89"/>
                <w:shd w:val="clear" w:color="auto" w:fill="D2EDFE"/>
              </w:rPr>
              <w:t>Notes receivable</w:t>
            </w:r>
          </w:p>
        </w:tc>
        <w:tc>
          <w:tcPr>
            <w:tcW w:w="5680" w:type="dxa"/>
            <w:vAlign w:val="bottom"/>
            <w:shd w:val="clear" w:color="auto" w:fill="D2EDFE"/>
          </w:tcPr>
          <w:p>
            <w:pPr>
              <w:spacing w:after="0"/>
              <w:rPr>
                <w:sz w:val="19"/>
                <w:szCs w:val="19"/>
                <w:color w:val="auto"/>
              </w:rPr>
            </w:pPr>
          </w:p>
        </w:tc>
        <w:tc>
          <w:tcPr>
            <w:tcW w:w="1760" w:type="dxa"/>
            <w:vAlign w:val="bottom"/>
            <w:shd w:val="clear" w:color="auto" w:fill="D2EDFE"/>
          </w:tcPr>
          <w:p>
            <w:pPr>
              <w:jc w:val="right"/>
              <w:ind w:right="15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2EDFE"/>
          </w:tcPr>
          <w:p>
            <w:pPr>
              <w:jc w:val="right"/>
              <w:spacing w:after="0"/>
              <w:rPr>
                <w:sz w:val="20"/>
                <w:szCs w:val="20"/>
                <w:color w:val="auto"/>
              </w:rPr>
            </w:pPr>
            <w:r>
              <w:rPr>
                <w:rFonts w:ascii="Arial" w:cs="Arial" w:eastAsia="Arial" w:hAnsi="Arial"/>
                <w:sz w:val="18"/>
                <w:szCs w:val="18"/>
                <w:color w:val="auto"/>
                <w:w w:val="89"/>
              </w:rPr>
              <w:t>21</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2021, Navitas entered into a partnership with a manufacturer of power management ICs to develop products and technology relating to AC/DC converters. Structured as a joint venture, Navitas’ initial contribution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The Company accounted for the investment in the joint venture as an equity-method investment. Total related party revenues recognized by the Company as a result of arrangements with its joint venture were $21 and $678 for the three and nine months ended September 30, 2022, respectively, and are included in Net Revenues in the Condensed Consolidated Statements of Operations. See Note 18, Noncontrolling Interest,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License Revenue</w:t>
      </w:r>
    </w:p>
    <w:p>
      <w:pPr>
        <w:spacing w:after="0" w:line="239"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During the second quarter of 2022, Navitas entered into a Patent License Agreement with an entity under common control with the Company’s partner in the joint venture described above. In consideration of the license rights granted, the Company recorded license fee revenue of $0 and $850 during the three and nine months ended September 30, 2022, respectively. Such amounts are included in Net Revenues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Investment</w:t>
      </w:r>
    </w:p>
    <w:p>
      <w:pPr>
        <w:spacing w:after="0" w:line="23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7"/>
          <w:szCs w:val="17"/>
          <w:color w:val="auto"/>
        </w:rPr>
        <w:t xml:space="preserve">During the third quarter of 2022, Navitas made a $1.5 million investment in preferred interests of an entity under common control with the Company’s partner in the joint venture described above. Such investment is included in Other Assets in the condensed consolidated balance sheet as of September 30, 2022 and will be accounted for as an equity investment under </w:t>
      </w:r>
      <w:r>
        <w:rPr>
          <w:rFonts w:ascii="Arial" w:cs="Arial" w:eastAsia="Arial" w:hAnsi="Arial"/>
          <w:sz w:val="17"/>
          <w:szCs w:val="17"/>
          <w:i w:val="1"/>
          <w:iCs w:val="1"/>
          <w:color w:val="auto"/>
        </w:rPr>
        <w:t>ASC 321 Investments - Equity Securities</w:t>
      </w:r>
      <w:r>
        <w:rPr>
          <w:rFonts w:ascii="Arial" w:cs="Arial" w:eastAsia="Arial" w:hAnsi="Arial"/>
          <w:sz w:val="17"/>
          <w:szCs w:val="17"/>
          <w:color w:val="auto"/>
        </w:rPr>
        <w:t>. The Company also entered into a Patent License Agreement with this entity as described above under related party license revenue.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Advance</w:t>
      </w:r>
    </w:p>
    <w:p>
      <w:pPr>
        <w:spacing w:after="0" w:line="239" w:lineRule="exact"/>
        <w:rPr>
          <w:sz w:val="20"/>
          <w:szCs w:val="20"/>
          <w:color w:val="auto"/>
        </w:rPr>
      </w:pPr>
    </w:p>
    <w:p>
      <w:pPr>
        <w:ind w:right="260" w:firstLine="486"/>
        <w:spacing w:after="0" w:line="246" w:lineRule="auto"/>
        <w:rPr>
          <w:sz w:val="20"/>
          <w:szCs w:val="20"/>
          <w:color w:val="auto"/>
        </w:rPr>
      </w:pPr>
      <w:r>
        <w:rPr>
          <w:rFonts w:ascii="Arial" w:cs="Arial" w:eastAsia="Arial" w:hAnsi="Arial"/>
          <w:sz w:val="18"/>
          <w:szCs w:val="18"/>
          <w:color w:val="auto"/>
        </w:rPr>
        <w:t>During the third quarter of 2022, Navitas made a $1.0 million to its partner in the joint venture described above in order to facilitate orders of raw materials. Such amounts are included in Prepaid Expenses and Other Current Assets as of September 30,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VDDTech srl</w:t>
      </w:r>
    </w:p>
    <w:p>
      <w:pPr>
        <w:spacing w:after="0" w:line="25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Condensed Consolidated Statement of Operations for the three and nine months ended September 30, 2022, and were not material.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spacing w:after="0" w:line="19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Company recorded a preliminary allocation of the purchase price to tangible assets acquired and liabilities assumed based on their fair values as of the acquisition date. The excess of the purchase price over the fair value of tangible assets and liabilities of $1.2 million was recorded as goodwill as of June 30, 2022. Subsequent to June 30, 2022, a preliminary valuation of the intangible assets acquired was calculated at $1.2 million. During the three months ended September 30, 2022, the Company reclassed the goodwill to an intangible asset. Upon a final determination of the purchase price and the final valuation of the intangible assets acquired, primarily including in-process R&amp;D, the Company will allocate the purchase price to tangible and intangible assets acquired and liabilities assumed, and adjust the excess purchase price allocated to goodwill as needed.</w:t>
      </w:r>
    </w:p>
    <w:p>
      <w:pPr>
        <w:spacing w:after="0" w:line="178" w:lineRule="exact"/>
        <w:rPr>
          <w:sz w:val="20"/>
          <w:szCs w:val="20"/>
          <w:color w:val="auto"/>
        </w:rPr>
      </w:pPr>
    </w:p>
    <w:p>
      <w:pPr>
        <w:jc w:val="both"/>
        <w:ind w:firstLine="567"/>
        <w:spacing w:after="0" w:line="231" w:lineRule="auto"/>
        <w:rPr>
          <w:sz w:val="20"/>
          <w:szCs w:val="20"/>
          <w:color w:val="auto"/>
        </w:rPr>
      </w:pPr>
      <w:r>
        <w:rPr>
          <w:rFonts w:ascii="Arial" w:cs="Arial" w:eastAsia="Arial" w:hAnsi="Arial"/>
          <w:sz w:val="18"/>
          <w:szCs w:val="18"/>
          <w:color w:val="auto"/>
        </w:rPr>
        <w:t>The fair value of the in-process R&amp;D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18% to determine the fair value.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GeneSiC Semiconductor Inc.</w:t>
      </w:r>
    </w:p>
    <w:p>
      <w:pPr>
        <w:spacing w:after="0" w:line="22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7"/>
          <w:szCs w:val="17"/>
          <w:color w:val="auto"/>
        </w:rPr>
        <w:t>On August 15, 2022, the Company entered into an Agreement and Plan of Merger (the “Merger Agreement”) to acquire 100% of the outstanding shares of GeneSiC Semiconductor Inc. for approximately $146.3 million of equity, $99.3 million of cash consideration, and potential future cash earn-out payments of up to an aggregate of $25.0 million. GeneSiC is a silicon carbide (“SiC”) pioneer with deep expertise in SiC power device design and process, based in Dulles, Virginia. The future earn-out payments were fair valued at $0.6 million, for a total merger consideration of $246.2 million. The acquisition was accounted for as a business combination in accordance with Accounting Standards Codification (“ASC”) Topic 805, Business Combinations (“ASC 805”). The Company has determined preliminary fair values of the assets acquired and liabilities assumed. These values are subject to change as the Company performs additional reviews of the assumptions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7"/>
          <w:szCs w:val="17"/>
          <w:color w:val="auto"/>
        </w:rPr>
        <w:t>The primary areas of the preliminary purchase price allocation that are not yet finalized relate to the fair values of certain tangible assets and liabilities acquired, certain legal matters, amounts for income taxes including deferred tax accounts, amounts for uncertain tax positions, and net operating loss carryforwards inclusive of associated limitations and valuation allowances, the determination of identifiable intangible assets and the final allocation of purchase price to goodwill. Additionally, finalized fair values associated with deferred tax accounts could have a material effect on the Company's estimated reversal of its consolidated U.S. valuation allowances recognized during the three month period ended December 31, 2022. See Note 14, Provision for Income Taxes, for further information. The Company expects to continue to obtain information to assist it in determining the fair values of the net assets acquired at the acquisition date during the measurement period.</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following tables summarize the preliminary purchase consideration and the preliminary purchase price allocation to estimated fair values of the identifiable assets acquired and liabilities assumed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Merger Consideration</w:t>
            </w:r>
          </w:p>
        </w:tc>
        <w:tc>
          <w:tcPr>
            <w:tcW w:w="600" w:type="dxa"/>
            <w:vAlign w:val="bottom"/>
          </w:tcPr>
          <w:p>
            <w:pPr>
              <w:spacing w:after="0"/>
              <w:rPr>
                <w:sz w:val="20"/>
                <w:szCs w:val="20"/>
                <w:color w:val="auto"/>
              </w:rPr>
            </w:pPr>
          </w:p>
        </w:tc>
        <w:tc>
          <w:tcPr>
            <w:tcW w:w="2400" w:type="dxa"/>
            <w:vAlign w:val="bottom"/>
          </w:tcPr>
          <w:p>
            <w:pPr>
              <w:jc w:val="right"/>
              <w:ind w:right="10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consideration at closing</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99,291</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Equity consideration at closing</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146,314</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earn-out</w:t>
            </w:r>
          </w:p>
        </w:tc>
        <w:tc>
          <w:tcPr>
            <w:tcW w:w="60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246,205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Preliminary estimate of purchase price allocation</w:t>
            </w:r>
          </w:p>
        </w:tc>
        <w:tc>
          <w:tcPr>
            <w:tcW w:w="6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110,100</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157,429</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271,074</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Liabilities assumed:</w:t>
            </w:r>
          </w:p>
        </w:tc>
        <w:tc>
          <w:tcPr>
            <w:tcW w:w="6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bearing debt</w:t>
            </w:r>
          </w:p>
        </w:tc>
        <w:tc>
          <w:tcPr>
            <w:tcW w:w="6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1,673</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60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w:t>
            </w: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liabilities acquired</w:t>
            </w:r>
          </w:p>
        </w:tc>
        <w:tc>
          <w:tcPr>
            <w:tcW w:w="6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24,869</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246,205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Goodwill represents the excess of the merger price over the amounts assigned to the fair value of the assets acquired and the liabilities assumed, the final amount of the goodwill recorded could differ materially from the amount presented. Goodwill is primarily attributable to assembled workforce, market and expansion capabilities, expected synergies from integration and streamlining operational activities and other factors. Goodwill is not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preliminary fair values of the identifiable intangible assets acquired at the date of Acquisition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Amortization</w:t>
            </w:r>
          </w:p>
        </w:tc>
        <w:tc>
          <w:tcPr>
            <w:tcW w:w="1700" w:type="dxa"/>
            <w:vAlign w:val="bottom"/>
          </w:tcPr>
          <w:p>
            <w:pPr>
              <w:spacing w:after="0"/>
              <w:rPr>
                <w:sz w:val="17"/>
                <w:szCs w:val="17"/>
                <w:color w:val="auto"/>
              </w:rPr>
            </w:pPr>
          </w:p>
        </w:tc>
      </w:tr>
      <w:tr>
        <w:trPr>
          <w:trHeight w:val="234"/>
        </w:trPr>
        <w:tc>
          <w:tcPr>
            <w:tcW w:w="5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Intangible Asset</w:t>
            </w:r>
          </w:p>
        </w:tc>
        <w:tc>
          <w:tcPr>
            <w:tcW w:w="500" w:type="dxa"/>
            <w:vAlign w:val="bottom"/>
          </w:tcPr>
          <w:p>
            <w:pPr>
              <w:spacing w:after="0"/>
              <w:rPr>
                <w:sz w:val="20"/>
                <w:szCs w:val="20"/>
                <w:color w:val="auto"/>
              </w:rPr>
            </w:pPr>
          </w:p>
        </w:tc>
        <w:tc>
          <w:tcPr>
            <w:tcW w:w="2120" w:type="dxa"/>
            <w:vAlign w:val="bottom"/>
          </w:tcPr>
          <w:p>
            <w:pPr>
              <w:jc w:val="right"/>
              <w:ind w:right="8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800" w:type="dxa"/>
            <w:vAlign w:val="bottom"/>
            <w:gridSpan w:val="2"/>
          </w:tcPr>
          <w:p>
            <w:pPr>
              <w:ind w:left="560"/>
              <w:spacing w:after="0"/>
              <w:rPr>
                <w:sz w:val="20"/>
                <w:szCs w:val="20"/>
                <w:color w:val="auto"/>
              </w:rPr>
            </w:pPr>
            <w:r>
              <w:rPr>
                <w:rFonts w:ascii="Arial" w:cs="Arial" w:eastAsia="Arial" w:hAnsi="Arial"/>
                <w:sz w:val="18"/>
                <w:szCs w:val="18"/>
                <w:b w:val="1"/>
                <w:bCs w:val="1"/>
                <w:color w:val="auto"/>
              </w:rPr>
              <w:t>Method</w:t>
            </w:r>
          </w:p>
        </w:tc>
        <w:tc>
          <w:tcPr>
            <w:tcW w:w="1700" w:type="dxa"/>
            <w:vAlign w:val="bottom"/>
          </w:tcPr>
          <w:p>
            <w:pPr>
              <w:ind w:left="42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 years</w:t>
            </w:r>
          </w:p>
        </w:tc>
      </w:tr>
      <w:tr>
        <w:trPr>
          <w:trHeight w:val="23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5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49,100</w:t>
            </w:r>
          </w:p>
        </w:tc>
        <w:tc>
          <w:tcPr>
            <w:tcW w:w="10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tcPr>
          <w:p>
            <w:pPr>
              <w:ind w:left="20"/>
              <w:spacing w:after="0"/>
              <w:rPr>
                <w:sz w:val="20"/>
                <w:szCs w:val="20"/>
                <w:color w:val="auto"/>
              </w:rPr>
            </w:pPr>
            <w:r>
              <w:rPr>
                <w:rFonts w:ascii="Arial" w:cs="Arial" w:eastAsia="Arial" w:hAnsi="Arial"/>
                <w:sz w:val="18"/>
                <w:szCs w:val="18"/>
                <w:color w:val="auto"/>
              </w:rPr>
              <w:t>4 years</w:t>
            </w: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5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tcPr>
          <w:p>
            <w:pPr>
              <w:ind w:left="20"/>
              <w:spacing w:after="0"/>
              <w:rPr>
                <w:sz w:val="20"/>
                <w:szCs w:val="20"/>
                <w:color w:val="auto"/>
              </w:rPr>
            </w:pPr>
            <w:r>
              <w:rPr>
                <w:rFonts w:ascii="Arial" w:cs="Arial" w:eastAsia="Arial" w:hAnsi="Arial"/>
                <w:sz w:val="18"/>
                <w:szCs w:val="18"/>
                <w:color w:val="auto"/>
              </w:rPr>
              <w:t>10 years</w:t>
            </w:r>
          </w:p>
        </w:tc>
      </w:tr>
      <w:tr>
        <w:trPr>
          <w:trHeight w:val="23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5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Straight line</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r>
      <w:tr>
        <w:trPr>
          <w:trHeight w:val="22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 Intangibles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567"/>
        <w:spacing w:after="0" w:line="251" w:lineRule="auto"/>
        <w:rPr>
          <w:sz w:val="20"/>
          <w:szCs w:val="20"/>
          <w:color w:val="auto"/>
        </w:rPr>
      </w:pPr>
      <w:r>
        <w:rPr>
          <w:rFonts w:ascii="Arial" w:cs="Arial" w:eastAsia="Arial" w:hAnsi="Arial"/>
          <w:sz w:val="17"/>
          <w:szCs w:val="17"/>
          <w:color w:val="auto"/>
        </w:rPr>
        <w:t>The valuations of intangible assets incorporate significant unobservable inputs and require significant judgment and estimates, including the amount and timing of future cash flows. The Company recognized approximately $5.4 million of transaction costs in the three and nine months ended September 30, 2022. These costs are recorded in “Selling, general and administrative expense” in the consolidated statements of operations. The financial results of GeneSiC have been included in the Company's consolidated financial statements since the date of the acquisition.</w:t>
      </w:r>
    </w:p>
    <w:p>
      <w:pPr>
        <w:spacing w:after="0" w:line="195"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The fair value of developed technology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15% to determine the fair value.</w:t>
      </w:r>
    </w:p>
    <w:p>
      <w:pPr>
        <w:spacing w:after="0" w:line="202" w:lineRule="exact"/>
        <w:rPr>
          <w:sz w:val="20"/>
          <w:szCs w:val="20"/>
          <w:color w:val="auto"/>
        </w:rPr>
      </w:pPr>
    </w:p>
    <w:p>
      <w:pPr>
        <w:jc w:val="both"/>
        <w:ind w:firstLine="567"/>
        <w:spacing w:after="0" w:line="231" w:lineRule="auto"/>
        <w:rPr>
          <w:sz w:val="20"/>
          <w:szCs w:val="20"/>
          <w:color w:val="auto"/>
        </w:rPr>
      </w:pPr>
      <w:r>
        <w:rPr>
          <w:rFonts w:ascii="Arial" w:cs="Arial" w:eastAsia="Arial" w:hAnsi="Arial"/>
          <w:sz w:val="18"/>
          <w:szCs w:val="18"/>
          <w:color w:val="auto"/>
        </w:rPr>
        <w:t>The fair value of customer relationships was estimated using the distributor method, an income level approach (Level 3), which estimates the value of an asset based upon costs avoided through ownership of the asset. Estimated costs on projected revenues, excluding acquired contract backlog, were made using historical data pertaining to sales to new and existing customers. The cash flow impact of projected cost savings, primarily avoidance of legal costs pertaining to new customers and lower commission rates applicable to existing customers than new customers, were discounted at a rate of 16% to determine the fair value.</w:t>
      </w:r>
    </w:p>
    <w:p>
      <w:pPr>
        <w:spacing w:after="0" w:line="205"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The fair value of the trade name and trademarks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16% to determine the fair value.</w:t>
      </w:r>
    </w:p>
    <w:p>
      <w:pPr>
        <w:spacing w:after="0" w:line="202"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The fair value of the patents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16% to determine the fair value.</w:t>
      </w:r>
    </w:p>
    <w:p>
      <w:pPr>
        <w:spacing w:after="0" w:line="215" w:lineRule="exact"/>
        <w:rPr>
          <w:sz w:val="20"/>
          <w:szCs w:val="20"/>
          <w:color w:val="auto"/>
        </w:rPr>
      </w:pPr>
    </w:p>
    <w:p>
      <w:pPr>
        <w:jc w:val="both"/>
        <w:ind w:right="20" w:firstLine="567"/>
        <w:spacing w:after="0" w:line="253" w:lineRule="auto"/>
        <w:rPr>
          <w:sz w:val="20"/>
          <w:szCs w:val="20"/>
          <w:color w:val="auto"/>
        </w:rPr>
      </w:pPr>
      <w:r>
        <w:rPr>
          <w:rFonts w:ascii="Arial" w:cs="Arial" w:eastAsia="Arial" w:hAnsi="Arial"/>
          <w:sz w:val="17"/>
          <w:szCs w:val="17"/>
          <w:color w:val="auto"/>
        </w:rPr>
        <w:t>The value of the non-competition agreement was estimated using the lost income method (Level 3), because the non-competition agreement prohibits the covenantor from competing with the Company, the fair value of the non-competition agreement can be determined by estimating cash flows that would be lost if the covenantors were to compete, we estimated a discount rate of 16% to determine the fair value.</w:t>
      </w:r>
    </w:p>
    <w:p>
      <w:pPr>
        <w:spacing w:after="0" w:line="19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6"/>
          <w:szCs w:val="16"/>
          <w:color w:val="auto"/>
        </w:rPr>
        <w:t>Discount rates for each respective intangible asset were determined by accounting for the risk associated with each asset, including required technology development and customer acquisition required to support respective projections, the uncertainty of market success and the risk inherent with projected financial results. The estimated useful lives were determined by evaluating the expected economic and useful lives of the assets and of similar intangible assets from previous business combinations and adjusting accordingly after taking into account circumstances that may be unique to GeneSiC. Net tangible assets and intangibles assets assumed as well as goodwill recognized are presented as continuing operations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 and where noted)</w:t>
      </w:r>
    </w:p>
    <w:p>
      <w:pPr>
        <w:spacing w:after="0" w:line="200" w:lineRule="exact"/>
        <w:rPr>
          <w:sz w:val="20"/>
          <w:szCs w:val="20"/>
          <w:color w:val="auto"/>
        </w:rPr>
      </w:pPr>
    </w:p>
    <w:p>
      <w:pPr>
        <w:spacing w:after="0" w:line="308"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The following unaudited pro forma financial information presented in the table below is provided for illustrative purposes only and is based on the historical financial statements of the Company and presents the Company’s results as if the business combination had occurred as of January 1, 2021 (in thousands):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38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(162,744)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 net loss per share</w:t>
            </w:r>
          </w:p>
        </w:tc>
        <w:tc>
          <w:tcPr>
            <w:tcW w:w="43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r>
    </w:tbl>
    <w:p>
      <w:pPr>
        <w:spacing w:after="0" w:line="295"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The unaudited pro forma financial information may not be indicative of the results of operations that the Company would have attained had the business combination occurred as of January 1, 2021, nor is the pro forma financial information indicative of the results of operations that may occur in the future.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NONCONTROLLING INTEREST</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In July 2021, the Company formed a joint venture for the purpose of conducting research and development on technology in the area of AC/DC converters for chargers and adapters.</w:t>
      </w:r>
    </w:p>
    <w:p>
      <w:pPr>
        <w:spacing w:after="0" w:line="19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6"/>
          <w:szCs w:val="16"/>
          <w:color w:val="auto"/>
        </w:rPr>
        <w:t>On August 19, 2022, the Company obtained control of the joint venture,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net assets is based on preliminary estimates. The Company’s net income (loss) excludes income (loss) attributable to the noncontrollling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of the non-controlling interest as of September 30, 2022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ind w:left="1820"/>
              <w:spacing w:after="0"/>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Carrying Value of Non-Controlling</w:t>
            </w:r>
          </w:p>
        </w:tc>
        <w:tc>
          <w:tcPr>
            <w:tcW w:w="120" w:type="dxa"/>
            <w:vAlign w:val="bottom"/>
          </w:tcPr>
          <w:p>
            <w:pPr>
              <w:spacing w:after="0"/>
              <w:rPr>
                <w:sz w:val="14"/>
                <w:szCs w:val="14"/>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loss Attributable to the Non-</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Carrying Value of Non-Controlling</w:t>
            </w:r>
          </w:p>
        </w:tc>
        <w:tc>
          <w:tcPr>
            <w:tcW w:w="0" w:type="dxa"/>
            <w:vAlign w:val="bottom"/>
          </w:tcPr>
          <w:p>
            <w:pPr>
              <w:spacing w:after="0"/>
              <w:rPr>
                <w:sz w:val="1"/>
                <w:szCs w:val="1"/>
                <w:color w:val="auto"/>
              </w:rPr>
            </w:pPr>
          </w:p>
        </w:tc>
      </w:tr>
      <w:tr>
        <w:trPr>
          <w:trHeight w:val="192"/>
        </w:trPr>
        <w:tc>
          <w:tcPr>
            <w:tcW w:w="4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 as of August 19, 2022</w:t>
            </w:r>
          </w:p>
        </w:tc>
        <w:tc>
          <w:tcPr>
            <w:tcW w:w="120" w:type="dxa"/>
            <w:vAlign w:val="bottom"/>
          </w:tcPr>
          <w:p>
            <w:pPr>
              <w:spacing w:after="0"/>
              <w:rPr>
                <w:sz w:val="16"/>
                <w:szCs w:val="16"/>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Controlling Interest</w:t>
            </w:r>
          </w:p>
        </w:tc>
        <w:tc>
          <w:tcPr>
            <w:tcW w:w="120" w:type="dxa"/>
            <w:vAlign w:val="bottom"/>
          </w:tcPr>
          <w:p>
            <w:pPr>
              <w:spacing w:after="0"/>
              <w:rPr>
                <w:sz w:val="16"/>
                <w:szCs w:val="16"/>
                <w:color w:val="auto"/>
              </w:rPr>
            </w:pPr>
          </w:p>
        </w:tc>
        <w:tc>
          <w:tcPr>
            <w:tcW w:w="21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Interest as of September 30, 2022</w:t>
            </w:r>
          </w:p>
        </w:tc>
        <w:tc>
          <w:tcPr>
            <w:tcW w:w="0" w:type="dxa"/>
            <w:vAlign w:val="bottom"/>
          </w:tcPr>
          <w:p>
            <w:pPr>
              <w:spacing w:after="0"/>
              <w:rPr>
                <w:sz w:val="1"/>
                <w:szCs w:val="1"/>
                <w:color w:val="auto"/>
              </w:rPr>
            </w:pPr>
          </w:p>
        </w:tc>
      </w:tr>
      <w:tr>
        <w:trPr>
          <w:trHeight w:val="229"/>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Former Joint Venture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The Company evaluated material subsequent events from the consolidated balance sheet date of September 30, 2022, through November 14, 2022, the date the condensed consolidated financial statements were issued. There were no material subsequent events as of November 14,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40" w:firstLine="486"/>
        <w:spacing w:after="0" w:line="342" w:lineRule="auto"/>
        <w:rPr>
          <w:sz w:val="20"/>
          <w:szCs w:val="20"/>
          <w:color w:val="auto"/>
        </w:rPr>
      </w:pPr>
      <w:r>
        <w:rPr>
          <w:rFonts w:ascii="Arial" w:cs="Arial" w:eastAsia="Arial" w:hAnsi="Arial"/>
          <w:sz w:val="16"/>
          <w:szCs w:val="16"/>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Founded in 2013, Navitas is a U.S. 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and the Philippines, with principal executive offices in Torrance, California.</w:t>
      </w:r>
    </w:p>
    <w:p>
      <w:pPr>
        <w:spacing w:after="0" w:line="16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18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17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9 of the top 10 mobile OEMs across smartphone and laptops, and is in development with 10 out of 10. In addition, our supply chain partners have committed manufacturing capacity in excess of what we consider to be necessary to support our continued growth and expansion.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core strength of our business lies in our industry leading IP position in GaN Power ICs. Navitas invented the first commercial GaN Power 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Today, we have over 165 patents that are issued or pending.</w:t>
      </w:r>
    </w:p>
    <w:p>
      <w:pPr>
        <w:spacing w:after="0" w:line="21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addition to our comprehensive patent portfolio, our biggest proprietary advantage is our process design kit (PDK), the ‘how-to’ guide for Navitas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2021 and the nine months ended September 30, 2022, we spent approximately 103% and 163%, respectively of our revenue on research and development. Navitas’ research and development activities are located primarily in the US and China. As of September 30, 2022, we had approximately 138 full-time personnel in our research &amp; development team, with approximately 55% with advanced degrees (PhD and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GeneSiC</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7"/>
          <w:szCs w:val="17"/>
          <w:color w:val="auto"/>
        </w:rPr>
        <w:t>On August 15, 2022, the Company entered into an Agreement and Plan of Merger (the “Merger Agreement”) to acquire 100% of the outstanding shares of GeneSiC Semiconductor Inc. (“GeneSiC”) for $146.3 million of equity, $99.3 million of cash consideration, and potential future earn-out payments of up to an aggregate of $25.0 million in cash. GeneSiC is a silicon carbide (“SiC”) pioneer with deep expertise in SiC power device design and process, based in Dulles, Virgnia. The future earn-out payments were fair valued at $0.6 million, for a total merger consideration of $246.2 million. GeneSiC’s net assets and operating results since the merger date are included in the Company’s Condensed Consolidated Balance Sheet and Condensed Consolidated Statements of Operations as of and for the three and nine months ended September 30, 2022, respectively.</w:t>
      </w:r>
    </w:p>
    <w:p>
      <w:pPr>
        <w:spacing w:after="0" w:line="21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We recorded a preliminary allocation of the purchase price to tangible and intangible assets acquired and liabilities assumed based on their fair values as of the acquisition date. The excess of the purchase price over the fair value of assets of $157.4 million was recorded as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VDDTech</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Condensed Consolidated Statement of Operations for the three and nine months ended September 30, 2022.</w:t>
      </w:r>
    </w:p>
    <w:p>
      <w:pPr>
        <w:spacing w:after="0" w:line="19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recorded a preliminary allocation of the purchase price to tangible and intangible assets acquired and liabilities assumed based on their fair values as of the acquisition date. The excess of the purchase price over the fair value of assets of $1.2 million was recorded as goodwill. Subsequent to June 30, 2022 a preliminary valuation of the intangible assets acquired was calculated at $1.2 million. During the three months ended September 30, 2022, the Company reclassed the goodwill to an intangible asset.</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Business Combination and Reverse Recapitalization</w:t>
      </w:r>
    </w:p>
    <w:p>
      <w:pPr>
        <w:spacing w:after="0" w:line="108" w:lineRule="exact"/>
        <w:rPr>
          <w:sz w:val="20"/>
          <w:szCs w:val="20"/>
          <w:color w:val="auto"/>
        </w:rPr>
      </w:pPr>
    </w:p>
    <w:p>
      <w:pPr>
        <w:ind w:right="60" w:firstLine="486"/>
        <w:spacing w:after="0" w:line="230" w:lineRule="auto"/>
        <w:rPr>
          <w:sz w:val="20"/>
          <w:szCs w:val="20"/>
          <w:color w:val="auto"/>
        </w:rPr>
      </w:pPr>
      <w:r>
        <w:rPr>
          <w:rFonts w:ascii="Arial" w:cs="Arial" w:eastAsia="Arial" w:hAnsi="Arial"/>
          <w:sz w:val="18"/>
          <w:szCs w:val="18"/>
          <w:color w:val="auto"/>
        </w:rPr>
        <w:t>On May 6, 2021, Navitas Semiconductor Limited (“Navitas Ireland”), a private company limited by shares organized under the Laws of Ireland and domesticated in the State of Delaware as Navitas Semiconductor Ireland, LLC, (“Navitas Delaware”, and together with Navitas Ireland, “Legacy Navitas”) a Delaware limited liability company, entered into a business combination agreement and plan of reorganization (the “Business Combination Agreement” or “BCA”) with Live Oak Acquisition Corp. II (“Live Oak”). Pursuant to the BCA, Live Oak acquired all of the capital stock of Navitas Ireland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spacing w:after="0" w:line="191"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Business Combination was accounted for as a reverse recapitalization in accordance with US GAAP. Under the guidance in ASC 805, Live Oak was treated as the “acquired” company for financial reporting purposes. We were deemed the accounting predecessor and the post-combination company is the successor SEC registrant, meaning that our financial statements for previous periods were disclosed in our annual report Form 10-K filed with the SEC filed on March 31, 2022. The Business Combination had a significant impact on our reported financial position and results as a consequence of the reverse recapitalization. The most significant change in our reported financial position and results of operations was net cash proceeds of $298 from the merger transaction, which included $173 in gross proceeds from the PIPE financing that was consummated in conjunction with the Business Combination. The increase in cash was offset by transaction costs incurred in connection with the Business Combination of approximately $25.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2" w:lineRule="exact"/>
        <w:rPr>
          <w:sz w:val="20"/>
          <w:szCs w:val="20"/>
          <w:color w:val="auto"/>
        </w:rPr>
      </w:pPr>
    </w:p>
    <w:p>
      <w:pPr>
        <w:ind w:right="60" w:firstLine="486"/>
        <w:spacing w:after="0" w:line="239" w:lineRule="auto"/>
        <w:rPr>
          <w:sz w:val="20"/>
          <w:szCs w:val="20"/>
          <w:color w:val="auto"/>
        </w:rPr>
      </w:pPr>
      <w:r>
        <w:rPr>
          <w:rFonts w:ascii="Arial" w:cs="Arial" w:eastAsia="Arial" w:hAnsi="Arial"/>
          <w:sz w:val="18"/>
          <w:szCs w:val="18"/>
          <w:color w:val="auto"/>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overall product mix and sales volumes;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gains and losses in market share and design win traction;</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pace at which technology is adopted in our end markets;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stage of our products in their respective life cycles;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competition and competitive pricing strategies;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of specialized field application engineering resources supporting demand creation and end customer adoption of new products;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achieving acceptable yields and obtaining adequate production capacity from our wafer foundries and assembly and test subcontractors;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end customers’ products; governmental regulations influencing our markets;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global and regional economic cycles.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product revenue is recognized when the customer obtains control of the product and the timing of recognition is based on the contractual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shipping terms of a contract. We provide a non-conformity warranty which is not sold separately and does not represent a separate performance obligation.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vast majority of our product revenue originates from sales shipped to customer locations in Asia.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Cost of goods sold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reserves, consumables, system and shipping costs. Cost of goods sold also includes compensation related to personnel associated with manufacturing.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primarily consists of interest under our term loan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Legacy Navitas is a dual domesticated corporation for Ireland and U.S. federal income tax purposes. Refer to Note 14, Provision for Income Taxes, in our accompanying condensed consolidated financial statements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Three Months September 30, 2022 and 2021</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and discussion below present our results for the three months ended September 30, 2022 and 2021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72"/>
              <w:spacing w:after="0"/>
              <w:rPr>
                <w:sz w:val="20"/>
                <w:szCs w:val="20"/>
                <w:color w:val="auto"/>
              </w:rPr>
            </w:pPr>
            <w:r>
              <w:rPr>
                <w:rFonts w:ascii="Arial" w:cs="Arial" w:eastAsia="Arial" w:hAnsi="Arial"/>
                <w:sz w:val="14"/>
                <w:szCs w:val="14"/>
                <w:b w:val="1"/>
                <w:bCs w:val="1"/>
                <w:color w:val="auto"/>
              </w:rPr>
              <w:t>Change</w:t>
            </w:r>
          </w:p>
        </w:tc>
      </w:tr>
      <w:tr>
        <w:trPr>
          <w:trHeight w:val="186"/>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r>
      <w:tr>
        <w:trPr>
          <w:trHeight w:val="39"/>
        </w:trPr>
        <w:tc>
          <w:tcPr>
            <w:tcW w:w="4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4"/>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r>
      <w:tr>
        <w:trPr>
          <w:trHeight w:val="26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7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225 %</w:t>
            </w:r>
          </w:p>
        </w:tc>
      </w:tr>
      <w:tr>
        <w:trPr>
          <w:trHeight w:val="263"/>
        </w:trPr>
        <w:tc>
          <w:tcPr>
            <w:tcW w:w="4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43"/>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24,477</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589 %</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r>
      <w:tr>
        <w:trPr>
          <w:trHeight w:val="26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(37,429)</w:t>
            </w:r>
          </w:p>
        </w:tc>
        <w:tc>
          <w:tcPr>
            <w:tcW w:w="8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(30,674)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454 %</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96"/>
        </w:trPr>
        <w:tc>
          <w:tcPr>
            <w:tcW w:w="49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7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70"/>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change in fair value of earnout 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r>
      <w:tr>
        <w:trPr>
          <w:trHeight w:val="264"/>
        </w:trPr>
        <w:tc>
          <w:tcPr>
            <w:tcW w:w="4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7279 %</w:t>
            </w:r>
          </w:p>
        </w:tc>
      </w:tr>
      <w:tr>
        <w:trPr>
          <w:trHeight w:val="26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(42,963)</w:t>
            </w:r>
          </w:p>
        </w:tc>
        <w:tc>
          <w:tcPr>
            <w:tcW w:w="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(36,133)</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529 %</w:t>
            </w:r>
          </w:p>
        </w:tc>
      </w:tr>
      <w:tr>
        <w:trPr>
          <w:trHeight w:val="27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(78062)%</w:t>
            </w:r>
          </w:p>
        </w:tc>
      </w:tr>
      <w:tr>
        <w:trPr>
          <w:trHeight w:val="263"/>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(32,828)</w:t>
            </w:r>
          </w:p>
        </w:tc>
        <w:tc>
          <w:tcPr>
            <w:tcW w:w="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(6,843)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380 %</w:t>
            </w:r>
          </w:p>
        </w:tc>
      </w:tr>
      <w:tr>
        <w:trPr>
          <w:trHeight w:val="26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Less: Net income (loss) attributable to noncontrolling interests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controlling interests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(32,590)</w:t>
            </w:r>
          </w:p>
        </w:tc>
        <w:tc>
          <w:tcPr>
            <w:tcW w:w="80" w:type="dxa"/>
            <w:vAlign w:val="bottom"/>
          </w:tcPr>
          <w:p>
            <w:pPr>
              <w:spacing w:after="0"/>
              <w:rPr>
                <w:sz w:val="23"/>
                <w:szCs w:val="23"/>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(6,843)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(25,747)</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376 %</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3420"/>
        <w:spacing w:after="0" w:line="407" w:lineRule="auto"/>
        <w:rPr>
          <w:sz w:val="20"/>
          <w:szCs w:val="20"/>
          <w:color w:val="auto"/>
        </w:rPr>
      </w:pPr>
      <w:r>
        <w:rPr>
          <w:rFonts w:ascii="Arial" w:cs="Arial" w:eastAsia="Arial" w:hAnsi="Arial"/>
          <w:sz w:val="18"/>
          <w:szCs w:val="18"/>
          <w:b w:val="1"/>
          <w:bCs w:val="1"/>
          <w:color w:val="auto"/>
        </w:rPr>
        <w:t xml:space="preserve">Three Months Ended September 30, 2022 Compared to the Three Months Ended September 30, 2021 </w:t>
      </w:r>
      <w:r>
        <w:rPr>
          <w:rFonts w:ascii="Arial" w:cs="Arial" w:eastAsia="Arial" w:hAnsi="Arial"/>
          <w:sz w:val="18"/>
          <w:szCs w:val="18"/>
          <w:b w:val="1"/>
          <w:bCs w:val="1"/>
          <w:i w:val="1"/>
          <w:iCs w:val="1"/>
          <w:u w:val="single" w:color="auto"/>
          <w:color w:val="auto"/>
        </w:rPr>
        <w:t>Revenue</w:t>
      </w:r>
    </w:p>
    <w:p>
      <w:pPr>
        <w:spacing w:after="0" w:line="71" w:lineRule="exact"/>
        <w:rPr>
          <w:sz w:val="20"/>
          <w:szCs w:val="20"/>
          <w:color w:val="auto"/>
        </w:rPr>
      </w:pPr>
    </w:p>
    <w:p>
      <w:pPr>
        <w:ind w:right="60" w:firstLine="486"/>
        <w:spacing w:after="0" w:line="238" w:lineRule="auto"/>
        <w:rPr>
          <w:sz w:val="20"/>
          <w:szCs w:val="20"/>
          <w:color w:val="auto"/>
        </w:rPr>
      </w:pPr>
      <w:r>
        <w:rPr>
          <w:rFonts w:ascii="Arial" w:cs="Arial" w:eastAsia="Arial" w:hAnsi="Arial"/>
          <w:sz w:val="18"/>
          <w:szCs w:val="18"/>
          <w:color w:val="auto"/>
        </w:rPr>
        <w:t>Revenue for the three months ended September 30, 2022 was $10.2 million compared to $5.6 million for the three months ended September 30, 2021, an increase of $4.6 million, or 82%. The increase reflects a combination of the Company’s customer growth trajectory, evolving from aftermarket customers to higher volume customers, and the accretive acquisition of GeneSiC. Total sales volumes increased 19%, from 6.0 million to 7.1 million units shipped, while the average selling price increased 53% to $1.43 per unit.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239"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Cost of goods sold for the three months ended September 30, 2022 was $9.9 million compared to $3.0 million for the three months ended September 30, 2021, an increase of $6.8 million or 225%. The increase was primarily driven by significant revenue growth, acquisition of GeneSiC, which includes $0.5 million for step up in inventory valuation that was</w:t>
      </w:r>
    </w:p>
    <w:p>
      <w:pPr>
        <w:sectPr>
          <w:pgSz w:w="11900" w:h="16838" w:orient="portrait"/>
          <w:cols w:equalWidth="0" w:num="1">
            <w:col w:w="11180"/>
          </w:cols>
          <w:pgMar w:left="320" w:top="44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expensed during the quarter, and inventory reserves of $2.8 million, in addition to TSMC’s 20% wafer price increase which created a higher cost of goods sold.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25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Research and development expense for the three months ended September 30, 2022 of $13.3 million increased by $7.5 million, or 130%, when compared to the three months ended September 30, 2021, driven by increases in stock based compensation, resulting in $5.2 million higher compensation costs, along with an increase of $1.9 million compensation costs related to growth in headcount as the Company develops products in Solar, Enterprise and EV and through its acquisition of GeneSiC. We expect research and development expense to continue to increase as we grow our headcount to support our expansion into new applications.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Selling, general and administrative expense for the three months ended September 30, 2022 of $24.5 million increased by $20.9 million, or 589%, when compared to the three months ended September 30, 2021, driven by increases in stock based compensation, resulting in $10.4 million higher compensation costs, along with an increase of $1.4 million increase in compensation costs related to growth in headcount. In addition, the Company incurred $7.7 million of transaction expenses and amortization of intangibles related to the acquisition of GeneSiC and a $1.1 million increase in other costs of growing the business. We expect selling, general and administrative costs to increase to support our growth and as a result of the increased costs for infrastructure required as a public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1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Net interest income for the three months ended September 30, 2022 was $638 compared to $75 net interest expense for the three months ended September 30, 2021, primarily due to the higher interest rate received on money markets funds.</w:t>
      </w:r>
    </w:p>
    <w:p>
      <w:pPr>
        <w:spacing w:after="0" w:line="184"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During the three months ended September 30, 2022, we recognized $6.1 million loss from the change in fair value of our earn-out liabilities. Subsequent to the recognition of the earnout liability upon the consummation of the Business Combination on October 19, 2021, we remeasure the fair value of this liability at each reporting date. The increase in fair value of our earn-out liability of $6.1 million was primarily a result of the increase of the closing price of our Class A common stock listed on the Nasdaq, resulting in the increased in the estimated fair value of the earnout shares from $1.89 as of June 30, 2022 to $2.61 as of September 30, 2022.</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expense primarily reflects our minority interest in the net loss of a joint venture through August 18,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(Benefit) Provision</w:t>
      </w:r>
    </w:p>
    <w:p>
      <w:pPr>
        <w:spacing w:after="0" w:line="11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Income tax benefit for the three months September 30, 2022 increased by $10,148 when compared to the three months September 30, 2021. As a result of the GeneSiC Semiconductor Inc. acquisition, (see Note 17, Business Combinations), the Company released $9.9 million of U.S. valuation allowance during the three months ended September 30, 2022. The release was attributable to a preliminary estimate of $23.2 million of net deferred tax liabilities recorded on GeneSiC’s opening balance sheets that offset other U.S. net deferred tax assets.We expect our tax rate to remain close to zero in the near term due to full valuation allowances against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Nine Months September 30, 2022 and 2021</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and discussion below present our results for the nine months ended September 30, 2022 and 2021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72"/>
              <w:spacing w:after="0"/>
              <w:rPr>
                <w:sz w:val="20"/>
                <w:szCs w:val="20"/>
                <w:color w:val="auto"/>
              </w:rPr>
            </w:pPr>
            <w:r>
              <w:rPr>
                <w:rFonts w:ascii="Arial" w:cs="Arial" w:eastAsia="Arial" w:hAnsi="Arial"/>
                <w:sz w:val="14"/>
                <w:szCs w:val="14"/>
                <w:b w:val="1"/>
                <w:bCs w:val="1"/>
                <w:color w:val="auto"/>
              </w:rPr>
              <w:t>Change</w:t>
            </w:r>
          </w:p>
        </w:tc>
      </w:t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39"/>
        </w:trPr>
        <w:tc>
          <w:tcPr>
            <w:tcW w:w="49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90"/>
        </w:trPr>
        <w:tc>
          <w:tcPr>
            <w:tcW w:w="4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7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108 %</w:t>
            </w:r>
          </w:p>
        </w:tc>
      </w:tr>
      <w:tr>
        <w:trPr>
          <w:trHeight w:val="264"/>
        </w:trPr>
        <w:tc>
          <w:tcPr>
            <w:tcW w:w="4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39,301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99,376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63"/>
        </w:trPr>
        <w:tc>
          <w:tcPr>
            <w:tcW w:w="4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(92,437)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(59,835)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from change in fair value of warrants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Gain (loss) from change in fair value of earnout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112,162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112,162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20" w:type="dxa"/>
            <w:vAlign w:val="bottom"/>
          </w:tcPr>
          <w:p>
            <w:pPr>
              <w:ind w:left="5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163,376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163,575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(82198)%</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(26754)%</w:t>
            </w: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64"/>
        </w:trPr>
        <w:tc>
          <w:tcPr>
            <w:tcW w:w="4920" w:type="dxa"/>
            <w:vAlign w:val="bottom"/>
          </w:tcPr>
          <w:p>
            <w:pPr>
              <w:ind w:left="20"/>
              <w:spacing w:after="0"/>
              <w:rPr>
                <w:sz w:val="20"/>
                <w:szCs w:val="20"/>
                <w:color w:val="auto"/>
              </w:rPr>
            </w:pPr>
            <w:r>
              <w:rPr>
                <w:rFonts w:ascii="Arial" w:cs="Arial" w:eastAsia="Arial" w:hAnsi="Arial"/>
                <w:sz w:val="18"/>
                <w:szCs w:val="18"/>
                <w:color w:val="auto"/>
                <w:w w:val="99"/>
              </w:rPr>
              <w:t>Less: Net income (loss) attributable to noncontrolling interests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9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(32,838)</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113,877</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60" w:lineRule="exact"/>
        <w:rPr>
          <w:sz w:val="20"/>
          <w:szCs w:val="20"/>
          <w:color w:val="auto"/>
        </w:rPr>
      </w:pPr>
    </w:p>
    <w:p>
      <w:pPr>
        <w:ind w:right="3640"/>
        <w:spacing w:after="0" w:line="407" w:lineRule="auto"/>
        <w:rPr>
          <w:sz w:val="20"/>
          <w:szCs w:val="20"/>
          <w:color w:val="auto"/>
        </w:rPr>
      </w:pPr>
      <w:r>
        <w:rPr>
          <w:rFonts w:ascii="Arial" w:cs="Arial" w:eastAsia="Arial" w:hAnsi="Arial"/>
          <w:sz w:val="18"/>
          <w:szCs w:val="18"/>
          <w:b w:val="1"/>
          <w:bCs w:val="1"/>
          <w:color w:val="auto"/>
        </w:rPr>
        <w:t xml:space="preserve">Nine Months Ended September 30, 2022 Compared to the Nine Months Ended September 30, 2021 </w:t>
      </w:r>
      <w:r>
        <w:rPr>
          <w:rFonts w:ascii="Arial" w:cs="Arial" w:eastAsia="Arial" w:hAnsi="Arial"/>
          <w:sz w:val="18"/>
          <w:szCs w:val="18"/>
          <w:b w:val="1"/>
          <w:bCs w:val="1"/>
          <w:i w:val="1"/>
          <w:iCs w:val="1"/>
          <w:u w:val="single" w:color="auto"/>
          <w:color w:val="auto"/>
        </w:rPr>
        <w:t>Revenue</w:t>
      </w:r>
    </w:p>
    <w:p>
      <w:pPr>
        <w:spacing w:after="0" w:line="71"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Revenue for the nine months ended September 30, 2022 was $25.6 million compared to $16.4 million for the nine months ended September 30, 2021, an increase of $9.2 million, or 56%. The significant increase primarily reflected the Company’s customer growth trajectory, evolving from aftermarket customers to higher volume customers and the accretive acquisition of GeneSiC. Total sales volumes increasing 26%, from 17.5 million to 22.0 million units shipped, while the average selling price increased 24.2% to $1.16 per unit.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239"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Cost of goods sold for the nine months ended September 30, 2022 was $18.7 million compared to $9.0 million for the nine months ended September 30, 2021, an increase of $9.7 million or 108%. The increase was primarily driven by significant revenue growth, acquisition of GeneSiC, which includes $0.5 million for step up in inventory valuation that was expensed during the quarter, and inventory reserves of $2.8 million, in addition to TSMC’s 20% wafer price increase which created a higher cost of goods sold.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239" w:lineRule="exact"/>
        <w:rPr>
          <w:sz w:val="20"/>
          <w:szCs w:val="20"/>
          <w:color w:val="auto"/>
        </w:rPr>
      </w:pPr>
    </w:p>
    <w:p>
      <w:pPr>
        <w:ind w:right="400" w:firstLine="486"/>
        <w:spacing w:after="0" w:line="261" w:lineRule="auto"/>
        <w:rPr>
          <w:sz w:val="20"/>
          <w:szCs w:val="20"/>
          <w:color w:val="auto"/>
        </w:rPr>
      </w:pPr>
      <w:r>
        <w:rPr>
          <w:rFonts w:ascii="Arial" w:cs="Arial" w:eastAsia="Arial" w:hAnsi="Arial"/>
          <w:sz w:val="18"/>
          <w:szCs w:val="18"/>
          <w:color w:val="auto"/>
        </w:rPr>
        <w:t>Research and development expense for the nine months ended September 30, 2022 of $36.4 million increased by $20.0 million, or 123%, when compared to the nine months ended September 30, 2021, primarily driven by increases in</w:t>
      </w:r>
    </w:p>
    <w:p>
      <w:pPr>
        <w:sectPr>
          <w:pgSz w:w="11900" w:h="16838" w:orient="portrait"/>
          <w:cols w:equalWidth="0" w:num="1">
            <w:col w:w="11220"/>
          </w:cols>
          <w:pgMar w:left="320" w:top="4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stock based compensation, resulting in $14.0 million higher compensation costs, along with an increase of $1.1 million in non-compensation costs related to new applications and reliability expenses devoted to next generation product development and $4.9 million in compensation costs related to growth in headcount as the Company develops products in Solar, Enterprise and EV. We expect research and development expense to continue to increase as we grow our headcount to support our expansion into new applications.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Selling, general and administrative expense for the nine months ended September 30, 2022 of $63.0 million increased by $39.3 million, or 166%, when compared to the nine months ended September 30, 2021. The increase is primarily due to a $23.5 million increase in stock-based compensation, and a $3.5 million increase in compensation costs related to growth in headcount. In addition, the Company incurred $7.7 million of transaction expenses and amortization related to the acquisition of GeneSiC and a $3.4 million increase in other costs of growing the business.. We expect selling, general and administrative costs to increase to support our growth and as a result of the increased costs for infrastructure required as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239" w:lineRule="exact"/>
        <w:rPr>
          <w:sz w:val="20"/>
          <w:szCs w:val="20"/>
          <w:color w:val="auto"/>
        </w:rPr>
      </w:pPr>
    </w:p>
    <w:p>
      <w:pPr>
        <w:ind w:firstLine="486"/>
        <w:spacing w:after="0" w:line="291" w:lineRule="auto"/>
        <w:rPr>
          <w:sz w:val="20"/>
          <w:szCs w:val="20"/>
          <w:color w:val="auto"/>
        </w:rPr>
      </w:pPr>
      <w:r>
        <w:rPr>
          <w:rFonts w:ascii="Arial" w:cs="Arial" w:eastAsia="Arial" w:hAnsi="Arial"/>
          <w:sz w:val="17"/>
          <w:szCs w:val="17"/>
          <w:color w:val="auto"/>
        </w:rPr>
        <w:t>Net interest income for the nine months ended September 30, 2022 was $666 thousand compared to $(199) thousand net interest expense for the nine months ended September 30, 2021, increased by 435%, primarily due to the higher interest rate received on cash equivalents.</w:t>
      </w:r>
    </w:p>
    <w:p>
      <w:pPr>
        <w:spacing w:after="0" w:line="174" w:lineRule="exact"/>
        <w:rPr>
          <w:sz w:val="20"/>
          <w:szCs w:val="20"/>
          <w:color w:val="auto"/>
        </w:rPr>
      </w:pPr>
    </w:p>
    <w:p>
      <w:pPr>
        <w:ind w:right="20" w:firstLine="486"/>
        <w:spacing w:after="0" w:line="246" w:lineRule="auto"/>
        <w:rPr>
          <w:sz w:val="20"/>
          <w:szCs w:val="20"/>
          <w:color w:val="auto"/>
        </w:rPr>
      </w:pPr>
      <w:r>
        <w:rPr>
          <w:rFonts w:ascii="Arial" w:cs="Arial" w:eastAsia="Arial" w:hAnsi="Arial"/>
          <w:sz w:val="18"/>
          <w:szCs w:val="18"/>
          <w:color w:val="auto"/>
        </w:rPr>
        <w:t>During the nine months ended September 30, 2022, we recognized $51.8 million gain from the change in fair value of our warrant liabilities, $112.2 million decrease in fair value of our earn out liabilities and $(1.2) million loss from an equity method investment, as follows:</w:t>
      </w:r>
    </w:p>
    <w:p>
      <w:pPr>
        <w:spacing w:after="0" w:line="210" w:lineRule="exact"/>
        <w:rPr>
          <w:sz w:val="20"/>
          <w:szCs w:val="20"/>
          <w:color w:val="auto"/>
        </w:rPr>
      </w:pPr>
    </w:p>
    <w:p>
      <w:pPr>
        <w:ind w:left="660" w:right="80" w:firstLine="482"/>
        <w:spacing w:after="0" w:line="291" w:lineRule="auto"/>
        <w:tabs>
          <w:tab w:leader="none" w:pos="13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Warrants: The change in fair value of our warrant liability is due to the Company issuing a notice of redemption on February 4, 2022 and the Company revaluing the liability just before the exercise and redemptions which resulted in a valuation change of $51.8 million.</w:t>
      </w:r>
    </w:p>
    <w:p>
      <w:pPr>
        <w:spacing w:after="0" w:line="173" w:lineRule="exact"/>
        <w:rPr>
          <w:rFonts w:ascii="Arial" w:cs="Arial" w:eastAsia="Arial" w:hAnsi="Arial"/>
          <w:sz w:val="17"/>
          <w:szCs w:val="17"/>
          <w:color w:val="auto"/>
        </w:rPr>
      </w:pPr>
    </w:p>
    <w:p>
      <w:pPr>
        <w:ind w:left="660" w:right="80" w:firstLine="482"/>
        <w:spacing w:after="0" w:line="262" w:lineRule="auto"/>
        <w:tabs>
          <w:tab w:leader="none" w:pos="13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Earnout liability: Subsequent to the recognition of the earnout liability upon the consummation of the Business Combination on October 19, 2021, we remeasure the fair value of this liability at each reporting date. The decrease in fair value of our earn-out liability of $111.6 million was primarily a result of the increase of the closing price of our Class A common stock listed on the Nasdaq, resulting in the decline in the estimated fair value of the earnout shares from $16.09 as of December 31, 2021 to $2.61 as of September 30, 2022.</w:t>
      </w:r>
    </w:p>
    <w:p>
      <w:pPr>
        <w:spacing w:after="0" w:line="199" w:lineRule="exact"/>
        <w:rPr>
          <w:rFonts w:ascii="Arial" w:cs="Arial" w:eastAsia="Arial" w:hAnsi="Arial"/>
          <w:sz w:val="17"/>
          <w:szCs w:val="17"/>
          <w:color w:val="auto"/>
        </w:rPr>
      </w:pPr>
    </w:p>
    <w:p>
      <w:pPr>
        <w:ind w:left="1400" w:hanging="258"/>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expense primarily reflects our minority interest in the net loss of a joint venture through August 18,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Benefit (Provision)</w:t>
      </w:r>
    </w:p>
    <w:p>
      <w:pPr>
        <w:spacing w:after="0" w:line="11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Income tax benefit for the nine months ended September 30, 2022 increased by $9,899 when compared to the nine months ended September 30, 2021. As a result of the GeneSiC Semiconductor Inc. acquisition, (see Note 17, Business Combinations), the Company released $9.9 million of U.S. valuation allowance during the three months ended September 30, 2022. The release was attributable to a preliminary estimate of $23.2 million of net deferred tax liabilities recorded on GeneSiC’s opening balance sheets that offset other U.S. net deferred tax assets. We expect our tax rate to remain close to zero in the near term due to full valuation allowances against deferred tax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working capital requirements related to inventory, accounts payable and accounts receivable, and selling, general and administrative expenditures. In addition, we use cash to fund our debt service obligations, and purchases of capital and software assets.</w:t>
      </w:r>
    </w:p>
    <w:p>
      <w:pPr>
        <w:spacing w:after="0" w:line="18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expect to continue to incur net operating losses and negative cash flows from operations and we expect our research and development expenses, general and administrative expenses and capital expenditures will continue to increase.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our expenses and capital requirements to increase in connection with our ongoing initiatives to expand our operations, product offerings and end customer base.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to the Business Combination, we derived our liquidity and capital resources primarily from the issuance and sale of convertible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 loan principal balance is payable in monthly installments beginning in September 2021.</w:t>
      </w:r>
    </w:p>
    <w:p>
      <w:pPr>
        <w:spacing w:after="0" w:line="211"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As September 30, 2022, we had cash and cash equivalents of $124.8 million. We currently use cash to fund operations, meet working capital requirements, for capital expenditures and strategic investments. Post-Business Combination, the Company has additional access to capital resources through public market transactions and the historical focus on near-term working capital and liquidity has shifted to more strategic and forward-looking capital optimization plans. We believe that the influx of capital from the Business Combination is sufficient to finance our operations, working capital requirements and capital expenditures for the foreseeable future.</w:t>
      </w:r>
    </w:p>
    <w:p>
      <w:pPr>
        <w:spacing w:after="0" w:line="176"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 for the nine months ended September 30, 2022 and 2021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September 30, 2022</w:t>
            </w:r>
          </w:p>
        </w:tc>
        <w:tc>
          <w:tcPr>
            <w:tcW w:w="340" w:type="dxa"/>
            <w:vAlign w:val="bottom"/>
          </w:tcPr>
          <w:p>
            <w:pPr>
              <w:spacing w:after="0"/>
              <w:rPr>
                <w:sz w:val="20"/>
                <w:szCs w:val="20"/>
                <w:color w:val="auto"/>
              </w:rPr>
            </w:pPr>
          </w:p>
        </w:tc>
        <w:tc>
          <w:tcPr>
            <w:tcW w:w="21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September 30, 2021</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196"/>
        </w:trPr>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 Data:</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(35,537)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(24,792)</w:t>
            </w: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(1,476)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(476)</w:t>
            </w:r>
          </w:p>
        </w:tc>
      </w:tr>
    </w:tbl>
    <w:p>
      <w:pPr>
        <w:spacing w:after="0" w:line="296" w:lineRule="exact"/>
        <w:rPr>
          <w:sz w:val="20"/>
          <w:szCs w:val="20"/>
          <w:color w:val="auto"/>
        </w:rPr>
      </w:pPr>
    </w:p>
    <w:p>
      <w:pPr>
        <w:ind w:right="360" w:firstLine="486"/>
        <w:spacing w:after="0" w:line="311" w:lineRule="auto"/>
        <w:rPr>
          <w:sz w:val="20"/>
          <w:szCs w:val="20"/>
          <w:color w:val="auto"/>
        </w:rPr>
      </w:pPr>
      <w:r>
        <w:rPr>
          <w:rFonts w:ascii="Arial" w:cs="Arial" w:eastAsia="Arial" w:hAnsi="Arial"/>
          <w:sz w:val="16"/>
          <w:szCs w:val="16"/>
          <w:color w:val="auto"/>
        </w:rPr>
        <w:t>We derive liquidity primarily from debt and equity financing activities. As of September 30, 2022, our balance of cash and cash equivalents was $124.8 million, which is a decrease of $143.5 million or 53% compared to December 31, 2021. Our total outstanding debt principal balance as of September 30, 2022 was $4.5 million, which is a decrease of $2.4 million from the $6.9 million of total debt outstanding at December 31,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nine months ended September 30, 2022, net cash used in operating activities was $35.5 million, which primarily reflects a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$80.8 million, adjusted for non-cash share-based compensation of $52.1 million, non-cash gains of $163.9 million in earnout and warrant liabilities and an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aggregate cash provided by operating assets and liabilities of $2.6 million. Specifically, $0.5 million increase in account receivable and $2.7 million</w:t>
      </w:r>
    </w:p>
    <w:p>
      <w:pPr>
        <w:spacing w:after="0"/>
        <w:rPr>
          <w:sz w:val="20"/>
          <w:szCs w:val="20"/>
          <w:color w:val="auto"/>
        </w:rPr>
      </w:pPr>
      <w:r>
        <w:rPr>
          <w:rFonts w:ascii="Arial" w:cs="Arial" w:eastAsia="Arial" w:hAnsi="Arial"/>
          <w:sz w:val="16"/>
          <w:szCs w:val="16"/>
          <w:color w:val="auto"/>
        </w:rPr>
        <w:t>increase in inventory are primarily due to increased sales. $2.8 million increase in account payable is primarily due to accrued bonus and increased wages,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offsetting by $0.5 million decrease in operating lease liability.</w:t>
      </w:r>
    </w:p>
    <w:p>
      <w:pPr>
        <w:spacing w:after="0" w:line="223" w:lineRule="exact"/>
        <w:rPr>
          <w:sz w:val="20"/>
          <w:szCs w:val="20"/>
          <w:color w:val="auto"/>
        </w:rPr>
      </w:pPr>
    </w:p>
    <w:p>
      <w:pPr>
        <w:ind w:right="40" w:firstLine="486"/>
        <w:spacing w:after="0" w:line="243" w:lineRule="auto"/>
        <w:rPr>
          <w:sz w:val="20"/>
          <w:szCs w:val="20"/>
          <w:color w:val="auto"/>
        </w:rPr>
      </w:pPr>
      <w:r>
        <w:rPr>
          <w:rFonts w:ascii="Arial" w:cs="Arial" w:eastAsia="Arial" w:hAnsi="Arial"/>
          <w:sz w:val="18"/>
          <w:szCs w:val="18"/>
          <w:color w:val="auto"/>
        </w:rPr>
        <w:t>For the nine months ended September 30, 2021, net cash used in operating activities was $24.8 million, which primarily reflects a net loss of $32.8 million, adjusted for non-cash share-based compensation of $14.8 million and an aggregate cash used in operating assets and liabilities of $7.3 million. Specifically, $1.4 million increase in account receivable and $8.3 million increase in inventory are primarily due to increased sales. $2.6 million increase in account payable is primarily due to accrued bonus and increased wages.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2022 of $106.4 million was primarily due to $5.2 million cash funding of a joint venture, $3.5 million for purchases of fixed assets, coupled with $99.9 million business acquisitions.</w:t>
      </w:r>
    </w:p>
    <w:p>
      <w:pPr>
        <w:spacing w:after="0" w:line="17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Net cash used in investing activities of $2.5 million for the nine months ended September 30, 2021, was primarily related to the purchase of an asset acquisition and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Net cash used in financing activities for the nine months ended September 30, 2022 of $0.5 million was primarily due to debt payments of $2.4 million and repurchase of our common stock of $0.6 million, partially offset by proceeds from stock option exercises of $1.5 million.</w:t>
      </w:r>
    </w:p>
    <w:p>
      <w:pPr>
        <w:spacing w:after="0" w:line="14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30, 2021 of $476 was primarily due to payments of deferred offering costs offset by proceeds from issuance of long term debt.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for a new operating lease entered into during the quarter (see Note 8, Leases, included on this Form 10-Q), there have been no significant changes to our contractual obligations as described in our annual report on Form 10-K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2022, we did not have any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211"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There have been no material changes to our critical accounting policies and estimates from the information in Item 7, “Management’s Discussion and Analysis of Financial Condition and Results of Operations”, included in our 2021 annual report on Form 10-K, except for adoption of ASC 805 Business Combinations as discussed in Note 2, Significant Accounting Policies and Recent Accounting Pronouncements included on this Form10-Q.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6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Rules 13a-15(e) and 15d-15(e) under the Exchange Act) as of September 30, 2022, pursuant to Exchange Act Rule 13a-15. Based upon this evaluation, our chief executive officer and chief financial officer have concluded that as of November 14, 2022, as a result of the material weaknesses in our internal control over financial reporting discussed below, and in the Company’s annual report on Form 10-K for the year ended December 31, 2021, our disclosure controls and procedures were not effective.</w:t>
      </w:r>
    </w:p>
    <w:p>
      <w:pPr>
        <w:spacing w:after="0" w:line="2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disclosed in Item 9 of our annual report on Form 10-K for the year ended December 31, 2021, management concluded that we lack a sufficient number of trained professionals with technical accounting expertise to identify, evaluate, value and account for complex transactions. We also found we have insufficient accounting resources to maintain appropriate segregation of duties, including to ensure journal entries are reviewed by personnel independent of the preparer.</w:t>
      </w:r>
    </w:p>
    <w:p>
      <w:pPr>
        <w:spacing w:after="0" w:line="21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Management has taken steps to evaluate resources throughout the organization to determine where current resources should be reassigned and where additional resources are needed to consistently and timely execute internal control activities. During the second quarter, a new Controller was added to the accounting department, and consultants were utilized during the third quarter. In addition, for more complex transactions and to the extent there is a lack of knowledge within the current accounting team, Management plans to engage external professional firms to assist with such transactions as they arise, and additional hires during the year and consultants. Management will continue to assess segregation of duties and the journal entries process to ensure there is a separate preparer and reviewer. The material weaknesses will not be considered remediated until remediated controls operate for a sufficient period of time and management has concluded that these controls are operating effectively.</w:t>
      </w:r>
    </w:p>
    <w:p>
      <w:pPr>
        <w:spacing w:after="0" w:line="19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6"/>
          <w:szCs w:val="16"/>
          <w:color w:val="auto"/>
        </w:rPr>
        <w:t>On August 15, 2022, we acquired GeneSiC and, as a result, we have begun integrating certain processes, systems and controls relating to GeneSiC into our existing system of internal control over financial reporting in accordance with our integration plans. Except for certain processes, systems and controls relating to the integration of GeneSiC, during the quarter ended September 30, 2022, there were no significant changes in our internal control over financial reporting (as defined in Rule 13a-15(f) under the Securities Exchange Act of 1934, as amended) that have materially affected or are reasonably likely to</w:t>
      </w:r>
    </w:p>
    <w:p>
      <w:pPr>
        <w:spacing w:after="0"/>
        <w:rPr>
          <w:sz w:val="20"/>
          <w:szCs w:val="20"/>
          <w:color w:val="auto"/>
        </w:rPr>
      </w:pPr>
      <w:r>
        <w:rPr>
          <w:rFonts w:ascii="Arial" w:cs="Arial" w:eastAsia="Arial" w:hAnsi="Arial"/>
          <w:sz w:val="18"/>
          <w:szCs w:val="18"/>
          <w:color w:val="auto"/>
        </w:rPr>
        <w:t>materially affect the Company’s internal control over financial reporting</w:t>
      </w:r>
      <w:r>
        <w:rPr>
          <w:rFonts w:ascii="Arial" w:cs="Arial" w:eastAsia="Arial" w:hAnsi="Arial"/>
          <w:sz w:val="21"/>
          <w:szCs w:val="21"/>
          <w:color w:val="auto"/>
        </w:rPr>
        <w: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may be involved in various disputes and litigation matters that arise in the ordinary course of business. We are currently not a party to any material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 addition to the Summary of Risk Factors set forth at the beginning of this report, you should carefully consider the factors discussed in Part I, Item 1A (“Risk Factors”) of our annual report on Form 10-K for the year ended December 31, 2021, as well as the additional risks associated with the GeneSiC acquisition identified below. The risks described herein and in our 2021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of GeneSiC Semiconductor</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August 15, 2022, we completed our acquisition of GeneSiC Semiconductor Inc. (“GeneSiC”). The acquisition was consummated by the merger of GeneSiC with and into a new wholly owned Navitas subsidiary, which continues to operate the GeneSiC business following the merger. We face the following risks in connection with the GeneSiC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difficulties integrating the operations and business of GeneSiC with our own.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acquisition of GeneSiC is the first significant acquisition we have ever undertaken. Although GeneSiC is a stand-alone business of which is continuing operations as a Navitas subsidiary, the complexities involved in the integration and expansion of GeneSiC as part of our Company are not yet fully understood. We have devoted and expect to continue to devote a significant amount of time and attention to integrating GeneSiC into our existing operations teams.</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our relatively small size and relative inexperience with acquisitions, we expect the challenges involved in this integration to be complex and time consuming. Among other risks that arise from these challenges, we may not be successful in our efforts to: (1) integrate new employees with our existing teams; (2) integrate and align numerous business and work processes, including information technology and cyber security systems; (3) demonstrate that the GeneSiC acquisition will not adversely affect our ability to address the needs of existing customers, or result in the loss of attention or focus on our existing businesses; (4) coordinate and integrate research and development and engineering teams across technologies and product platforms; (5) consolidate and integrate corporate, information technology, finance and administrative processes; (6) coordinate sales and marketing efforts to effectively position our capabilities and the direction of product development; and (7) minimize diversion of management attention from important business objectives.</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we do not successfully manage these issues and the other challenges inherent in the GeneSiC acquisition, then we may not achieve the anticipated benefits of the transaction. As a result, our post-acquisition revenue, expenses, results of operations and financial condition could be materially adversely affected, any of which could materially adversely affect the trading price of our common stock.</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Even if we are able to integrate the GeneSiC and Navitas businesses and operations successfully, we may not realize the growth and other opportunities that are anticipated from the GeneSiC acquisition.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benefits that we expect to achieve as a result of the GeneSiC acquisition will depend, in part, on our ability to realize anticipated growth and profitability opportunities. Even if we are able to integrate the GeneSiC and Navitas businesses and operations successfully, despite the risks identified in the preceding risk factor, the integration may not result in the realization of the full benefits of the growth and profitability opportunities we currently expect within the anticipated time frame or at all. For example, we may incur substantial expenses in connection with the integration of the GeneSiC business, which are difficult to estimate accurately, and may exceed current estimates. We may need to invest in additional business processes and systems to support the GeneSiC business within Navitas, which may be more complex or costly than the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processes and systems needed to operate GeneSiC before the acquisition. Such additional costs would offset the financial benefits realized from the acquisition.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August 24, 2022, we issued 170,068 shares of our common stock in consideration for certain advisory services valued at approximately $1,000,000 provided by a financial advisor. The shares were issued in reliance on the exemption from registration provided by Section 4(a)(2) of the Securities Act of 1933, as amended, or Rule 506 thereunder.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Matters to a Vote of Security Holders.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our 2022 annual stockholders’ meeting on November 10, 2022, stockholders approved the three proposals listed below, each of which is described in more detail in our definitive proxy statement on Schedule 14A, filed with the Securities and Exchange Commission on September 30, 2022 (our “2022 Proxy Statement”). The voting results for each of these proposals are set forth below.</w:t>
      </w:r>
    </w:p>
    <w:p>
      <w:pPr>
        <w:spacing w:after="0" w:line="211" w:lineRule="exact"/>
        <w:rPr>
          <w:sz w:val="20"/>
          <w:szCs w:val="20"/>
          <w:color w:val="auto"/>
        </w:rPr>
      </w:pPr>
    </w:p>
    <w:p>
      <w:pPr>
        <w:ind w:left="340" w:hanging="332"/>
        <w:spacing w:after="0" w:line="277" w:lineRule="auto"/>
        <w:tabs>
          <w:tab w:leader="none" w:pos="4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stockholders reelected Gene Sheridan and Dan Kinzer to serve as Class I directors of the board of directors for a term expiring at the 2025 annual meeting of stockholders and until their respective successors are elected and qualified, by the votes set forth below:</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3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Votes For</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Votes Withheld</w:t>
            </w:r>
          </w:p>
        </w:tc>
        <w:tc>
          <w:tcPr>
            <w:tcW w:w="24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Broker Non-Votes</w:t>
            </w:r>
          </w:p>
        </w:tc>
      </w:tr>
      <w:tr>
        <w:trPr>
          <w:trHeight w:val="223"/>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Gene Sheridan</w:t>
            </w:r>
          </w:p>
        </w:tc>
        <w:tc>
          <w:tcPr>
            <w:tcW w:w="23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85,965,419</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1,055,607</w:t>
            </w:r>
          </w:p>
        </w:tc>
        <w:tc>
          <w:tcPr>
            <w:tcW w:w="24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8"/>
              </w:rPr>
              <w:t>24,381,445</w:t>
            </w:r>
          </w:p>
        </w:tc>
      </w:t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Dan Kinzer</w:t>
            </w:r>
          </w:p>
        </w:tc>
        <w:tc>
          <w:tcPr>
            <w:tcW w:w="2360" w:type="dxa"/>
            <w:vAlign w:val="bottom"/>
          </w:tcPr>
          <w:p>
            <w:pPr>
              <w:jc w:val="center"/>
              <w:ind w:left="90"/>
              <w:spacing w:after="0"/>
              <w:rPr>
                <w:sz w:val="20"/>
                <w:szCs w:val="20"/>
                <w:color w:val="auto"/>
              </w:rPr>
            </w:pPr>
            <w:r>
              <w:rPr>
                <w:rFonts w:ascii="Arial" w:cs="Arial" w:eastAsia="Arial" w:hAnsi="Arial"/>
                <w:sz w:val="18"/>
                <w:szCs w:val="18"/>
                <w:color w:val="auto"/>
                <w:w w:val="90"/>
              </w:rPr>
              <w:t>85,894,522</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1,126,504</w:t>
            </w:r>
          </w:p>
        </w:tc>
        <w:tc>
          <w:tcPr>
            <w:tcW w:w="2460" w:type="dxa"/>
            <w:vAlign w:val="bottom"/>
          </w:tcPr>
          <w:p>
            <w:pPr>
              <w:jc w:val="center"/>
              <w:ind w:left="130"/>
              <w:spacing w:after="0"/>
              <w:rPr>
                <w:sz w:val="20"/>
                <w:szCs w:val="20"/>
                <w:color w:val="auto"/>
              </w:rPr>
            </w:pPr>
            <w:r>
              <w:rPr>
                <w:rFonts w:ascii="Arial" w:cs="Arial" w:eastAsia="Arial" w:hAnsi="Arial"/>
                <w:sz w:val="18"/>
                <w:szCs w:val="18"/>
                <w:color w:val="auto"/>
                <w:w w:val="88"/>
              </w:rPr>
              <w:t>24,381,445</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(ii) The stockholders approved the Navitas Semiconductor 2022 Employee Stock Purchase Plan, by the vote set forth below:</w:t>
      </w:r>
    </w:p>
    <w:p>
      <w:pPr>
        <w:spacing w:after="0" w:line="289"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2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Votes For</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23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6"/>
              </w:rPr>
              <w:t>Abstentions</w:t>
            </w:r>
          </w:p>
        </w:tc>
        <w:tc>
          <w:tcPr>
            <w:tcW w:w="25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3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85,337,569</w:t>
            </w:r>
          </w:p>
        </w:tc>
        <w:tc>
          <w:tcPr>
            <w:tcW w:w="26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89,506</w:t>
            </w:r>
          </w:p>
        </w:tc>
        <w:tc>
          <w:tcPr>
            <w:tcW w:w="23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1,593,951</w:t>
            </w:r>
          </w:p>
        </w:tc>
        <w:tc>
          <w:tcPr>
            <w:tcW w:w="25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24,381,445</w:t>
            </w:r>
          </w:p>
        </w:tc>
      </w:tr>
    </w:tbl>
    <w:p>
      <w:pPr>
        <w:spacing w:after="0" w:line="377" w:lineRule="exact"/>
        <w:rPr>
          <w:sz w:val="20"/>
          <w:szCs w:val="20"/>
          <w:color w:val="auto"/>
        </w:rPr>
      </w:pPr>
    </w:p>
    <w:p>
      <w:pPr>
        <w:ind w:left="340" w:hanging="332"/>
        <w:spacing w:after="0" w:line="277" w:lineRule="auto"/>
        <w:tabs>
          <w:tab w:leader="none" w:pos="3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stockholders ratified the appointment of Deloitte &amp; Touche LLP as the Company’s registered independent public accounting firm for the fiscal year ending December 31, 2022, by the vote set forth below:</w:t>
      </w:r>
    </w:p>
    <w:p>
      <w:pPr>
        <w:spacing w:after="0" w:line="234"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r>
      <w:tr>
        <w:trPr>
          <w:trHeight w:val="223"/>
        </w:trPr>
        <w:tc>
          <w:tcPr>
            <w:tcW w:w="23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111,176,165</w:t>
            </w:r>
          </w:p>
        </w:tc>
        <w:tc>
          <w:tcPr>
            <w:tcW w:w="25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151,213</w:t>
            </w:r>
          </w:p>
        </w:tc>
        <w:tc>
          <w:tcPr>
            <w:tcW w:w="2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75,093</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of Certain Officers.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described above, at our 2022 annual stockholders’ meeting on November 10, 2022, our stockholders approved the Navitas Semiconductor 2022 Employee Stock Purchase Plan (the “ESPP”). The ESPP became effective on September 26, 2022, upon its approval by the board of directors, subject to stockholder approval. The ESPP is filed as Exhibit 10.2 to this report and is incorporated by reference in this Item 5. The terms of the ESPP are the same as the terms set forth in the ESPP included as Annex A of our 2022 Proxy Statement. For a description of the ESPP, see “</w:t>
      </w:r>
      <w:r>
        <w:rPr>
          <w:rFonts w:ascii="Arial" w:cs="Arial" w:eastAsia="Arial" w:hAnsi="Arial"/>
          <w:sz w:val="16"/>
          <w:szCs w:val="16"/>
          <w:i w:val="1"/>
          <w:iCs w:val="1"/>
          <w:color w:val="auto"/>
        </w:rPr>
        <w:t>Proposal 2 — Approval of Navitas</w:t>
      </w:r>
      <w:r>
        <w:rPr>
          <w:rFonts w:ascii="Arial" w:cs="Arial" w:eastAsia="Arial" w:hAnsi="Arial"/>
          <w:sz w:val="16"/>
          <w:szCs w:val="16"/>
          <w:color w:val="auto"/>
        </w:rPr>
        <w:t xml:space="preserve"> </w:t>
      </w:r>
      <w:r>
        <w:rPr>
          <w:rFonts w:ascii="Arial" w:cs="Arial" w:eastAsia="Arial" w:hAnsi="Arial"/>
          <w:sz w:val="16"/>
          <w:szCs w:val="16"/>
          <w:i w:val="1"/>
          <w:iCs w:val="1"/>
          <w:color w:val="auto"/>
        </w:rPr>
        <w:t>Semiconductor 2022 Employee Stock Purchase Plan</w:t>
      </w:r>
      <w:r>
        <w:rPr>
          <w:rFonts w:ascii="Arial" w:cs="Arial" w:eastAsia="Arial" w:hAnsi="Arial"/>
          <w:sz w:val="16"/>
          <w:szCs w:val="16"/>
          <w:color w:val="auto"/>
        </w:rPr>
        <w:t>” in our 2022 Proxy Statement, which description is incorporated by reference in this Item 5.</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20" w:type="dxa"/>
            <w:vAlign w:val="bottom"/>
            <w:gridSpan w:val="8"/>
          </w:tcPr>
          <w:p>
            <w:pPr>
              <w:ind w:left="1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80"/>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2.1†</w:t>
            </w:r>
          </w:p>
        </w:tc>
        <w:tc>
          <w:tcPr>
            <w:tcW w:w="82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2"/>
              </w:rPr>
              <w:t>Agreement and Plan of Merger, dated as of August 15, 2022, among Navitas Semiconductor Corporation, Gemini Acquisition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20" w:type="dxa"/>
            <w:vAlign w:val="bottom"/>
            <w:gridSpan w:val="9"/>
          </w:tcPr>
          <w:p>
            <w:pPr>
              <w:spacing w:after="0" w:line="169" w:lineRule="exact"/>
              <w:rPr>
                <w:sz w:val="20"/>
                <w:szCs w:val="20"/>
                <w:color w:val="auto"/>
              </w:rPr>
            </w:pPr>
            <w:r>
              <w:rPr>
                <w:rFonts w:ascii="Arial" w:cs="Arial" w:eastAsia="Arial" w:hAnsi="Arial"/>
                <w:sz w:val="16"/>
                <w:szCs w:val="16"/>
                <w:color w:val="0000FF"/>
                <w:w w:val="95"/>
              </w:rPr>
              <w:t>LLC, GeneSiC Semiconductor Inc., Ranbir Singh, The Ranbir Singh Irrevocable Trust dated February 4, 2022, and Ranbir</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tcBorders>
              <w:top w:val="single" w:sz="8" w:color="0000FF"/>
              <w:bottom w:val="single" w:sz="8" w:color="0000FF"/>
            </w:tcBorders>
            <w:gridSpan w:val="4"/>
          </w:tcPr>
          <w:p>
            <w:pPr>
              <w:spacing w:after="0" w:line="183" w:lineRule="exact"/>
              <w:rPr>
                <w:sz w:val="20"/>
                <w:szCs w:val="20"/>
                <w:color w:val="auto"/>
              </w:rPr>
            </w:pPr>
            <w:r>
              <w:rPr>
                <w:rFonts w:ascii="Arial" w:cs="Arial" w:eastAsia="Arial" w:hAnsi="Arial"/>
                <w:sz w:val="16"/>
                <w:szCs w:val="16"/>
                <w:color w:val="0000FF"/>
                <w:w w:val="91"/>
              </w:rPr>
              <w:t>Singh in his capacity as representative of the other Stockholder</w:t>
            </w:r>
          </w:p>
        </w:tc>
        <w:tc>
          <w:tcPr>
            <w:tcW w:w="408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8220" w:type="dxa"/>
            <w:vAlign w:val="bottom"/>
            <w:gridSpan w:val="9"/>
          </w:tcPr>
          <w:p>
            <w:pPr>
              <w:spacing w:after="0"/>
              <w:rPr>
                <w:sz w:val="20"/>
                <w:szCs w:val="20"/>
                <w:color w:val="auto"/>
              </w:rPr>
            </w:pPr>
            <w:r>
              <w:rPr>
                <w:rFonts w:ascii="Arial" w:cs="Arial" w:eastAsia="Arial" w:hAnsi="Arial"/>
                <w:sz w:val="16"/>
                <w:szCs w:val="16"/>
                <w:color w:val="0000FF"/>
                <w:w w:val="94"/>
              </w:rPr>
              <w:t>Registration Rights Agreement, dated August 15, 2022, among Navitas Semiconductor Corporation, Ranbir Singh and The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Ranbir Singh Irrevocable Trust dated February 4, 2022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10.2</w:t>
            </w:r>
            <w:r>
              <w:rPr>
                <w:rFonts w:ascii="Arial" w:cs="Arial" w:eastAsia="Arial" w:hAnsi="Arial"/>
                <w:sz w:val="16"/>
                <w:szCs w:val="16"/>
                <w:color w:val="auto"/>
              </w:rPr>
              <w:t>†</w:t>
            </w:r>
          </w:p>
        </w:tc>
        <w:tc>
          <w:tcPr>
            <w:tcW w:w="39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0"/>
              </w:rPr>
              <w:t>Navitas Semiconductor 2022 Employee Stock Purchase Plan</w:t>
            </w:r>
          </w:p>
        </w:tc>
        <w:tc>
          <w:tcPr>
            <w:tcW w:w="4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2"/>
                <w:szCs w:val="22"/>
                <w:color w:val="auto"/>
              </w:rPr>
            </w:pPr>
          </w:p>
        </w:tc>
        <w:tc>
          <w:tcPr>
            <w:tcW w:w="8220" w:type="dxa"/>
            <w:vAlign w:val="bottom"/>
            <w:gridSpan w:val="9"/>
          </w:tcPr>
          <w:p>
            <w:pPr>
              <w:spacing w:after="0"/>
              <w:rPr>
                <w:sz w:val="20"/>
                <w:szCs w:val="20"/>
                <w:color w:val="auto"/>
              </w:rPr>
            </w:pPr>
            <w:r>
              <w:rPr>
                <w:rFonts w:ascii="Arial" w:cs="Arial" w:eastAsia="Arial" w:hAnsi="Arial"/>
                <w:sz w:val="16"/>
                <w:szCs w:val="16"/>
                <w:color w:val="0000FF"/>
              </w:rPr>
              <w:t>Certification of the Chief Executive Officer pursuant to Rule 13a-14(a) of the Exchange Act</w:t>
            </w:r>
          </w:p>
        </w:tc>
        <w:tc>
          <w:tcPr>
            <w:tcW w:w="0" w:type="dxa"/>
            <w:vAlign w:val="bottom"/>
          </w:tcPr>
          <w:p>
            <w:pPr>
              <w:spacing w:after="0"/>
              <w:rPr>
                <w:sz w:val="1"/>
                <w:szCs w:val="1"/>
                <w:color w:val="auto"/>
              </w:rPr>
            </w:pPr>
          </w:p>
        </w:tc>
      </w:tr>
      <w:tr>
        <w:trPr>
          <w:trHeight w:val="250"/>
        </w:trPr>
        <w:tc>
          <w:tcPr>
            <w:tcW w:w="88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59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3"/>
              </w:rPr>
              <w:t>Certification of the Chief Financial Officer pursuant to Rule 13a-14(a) of the Exchange Act</w:t>
            </w:r>
          </w:p>
        </w:tc>
        <w:tc>
          <w:tcPr>
            <w:tcW w:w="40" w:type="dxa"/>
            <w:vAlign w:val="bottom"/>
            <w:tcBorders>
              <w:top w:val="single" w:sz="8" w:color="0000FF"/>
            </w:tcBorders>
          </w:tcPr>
          <w:p>
            <w:pPr>
              <w:spacing w:after="0"/>
              <w:rPr>
                <w:sz w:val="21"/>
                <w:szCs w:val="21"/>
                <w:color w:val="auto"/>
              </w:rPr>
            </w:pPr>
          </w:p>
        </w:tc>
        <w:tc>
          <w:tcPr>
            <w:tcW w:w="22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8220" w:type="dxa"/>
            <w:vAlign w:val="bottom"/>
            <w:gridSpan w:val="9"/>
          </w:tcPr>
          <w:p>
            <w:pPr>
              <w:spacing w:after="0"/>
              <w:rPr>
                <w:sz w:val="20"/>
                <w:szCs w:val="20"/>
                <w:color w:val="auto"/>
              </w:rPr>
            </w:pPr>
            <w:r>
              <w:rPr>
                <w:rFonts w:ascii="Arial" w:cs="Arial" w:eastAsia="Arial" w:hAnsi="Arial"/>
                <w:sz w:val="16"/>
                <w:szCs w:val="16"/>
                <w:color w:val="0000FF"/>
                <w:w w:val="95"/>
              </w:rPr>
              <w:t>Certification of the Chief Executive Officer and the Chief Financial Officer pursuant to Rule 13a-14(b) of the Exchange Act</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1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and 18 U.S.C. § 1350</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101.SCH*</w:t>
            </w:r>
          </w:p>
        </w:tc>
        <w:tc>
          <w:tcPr>
            <w:tcW w:w="1400" w:type="dxa"/>
            <w:vAlign w:val="bottom"/>
            <w:shd w:val="clear" w:color="auto" w:fill="0000FF"/>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000" w:type="dxa"/>
            <w:vAlign w:val="bottom"/>
            <w:gridSpan w:val="2"/>
            <w:vMerge w:val="continue"/>
          </w:tcPr>
          <w:p>
            <w:pPr>
              <w:spacing w:after="0"/>
              <w:rPr>
                <w:sz w:val="24"/>
                <w:szCs w:val="24"/>
                <w:color w:val="auto"/>
              </w:rPr>
            </w:pPr>
          </w:p>
        </w:tc>
        <w:tc>
          <w:tcPr>
            <w:tcW w:w="822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822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822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822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70"/>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822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5"/>
          </w:tcPr>
          <w:p>
            <w:pPr>
              <w:ind w:left="1920"/>
              <w:spacing w:after="0"/>
              <w:rPr>
                <w:sz w:val="20"/>
                <w:szCs w:val="20"/>
                <w:color w:val="auto"/>
              </w:rPr>
            </w:pPr>
            <w:r>
              <w:rPr>
                <w:rFonts w:ascii="Arial" w:cs="Arial" w:eastAsia="Arial" w:hAnsi="Arial"/>
                <w:sz w:val="16"/>
                <w:szCs w:val="16"/>
                <w:color w:val="auto"/>
                <w:w w:val="99"/>
              </w:rPr>
              <w:t>_____________________________________________</w:t>
            </w: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660" w:right="899" w:hanging="4"/>
        <w:spacing w:after="0" w:line="299" w:lineRule="auto"/>
        <w:tabs>
          <w:tab w:leader="none" w:pos="9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 * Filed herewith.</w:t>
      </w:r>
    </w:p>
    <w:p>
      <w:pPr>
        <w:ind w:left="660"/>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9"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NAVITAS SEMICONDUCTOR</w:t>
      </w:r>
    </w:p>
    <w:p>
      <w:pPr>
        <w:ind w:left="4480"/>
        <w:spacing w:after="0"/>
        <w:rPr>
          <w:sz w:val="20"/>
          <w:szCs w:val="20"/>
          <w:color w:val="auto"/>
        </w:rPr>
      </w:pPr>
      <w:r>
        <w:rPr>
          <w:rFonts w:ascii="Arial" w:cs="Arial" w:eastAsia="Arial" w:hAnsi="Arial"/>
          <w:sz w:val="18"/>
          <w:szCs w:val="18"/>
          <w:color w:val="auto"/>
        </w:rPr>
        <w:t>CORPORATION</w:t>
      </w:r>
    </w:p>
    <w:p>
      <w:pPr>
        <w:spacing w:after="0" w:line="236"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1834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Gene Sheridan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278" w:lineRule="exact"/>
        <w:rPr>
          <w:sz w:val="20"/>
          <w:szCs w:val="20"/>
          <w:color w:val="auto"/>
        </w:rPr>
      </w:pPr>
    </w:p>
    <w:p>
      <w:pPr>
        <w:jc w:val="center"/>
        <w:ind w:right="-179"/>
        <w:spacing w:after="0"/>
        <w:tabs>
          <w:tab w:leader="none" w:pos="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14, 2022</w:t>
      </w: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NAVITAS SEMICONDUCTOR</w:t>
      </w:r>
    </w:p>
    <w:p>
      <w:pPr>
        <w:ind w:left="4400"/>
        <w:spacing w:after="0"/>
        <w:rPr>
          <w:sz w:val="20"/>
          <w:szCs w:val="20"/>
          <w:color w:val="auto"/>
        </w:rPr>
      </w:pPr>
      <w:r>
        <w:rPr>
          <w:rFonts w:ascii="Arial" w:cs="Arial" w:eastAsia="Arial" w:hAnsi="Arial"/>
          <w:sz w:val="18"/>
          <w:szCs w:val="18"/>
          <w:color w:val="auto"/>
        </w:rPr>
        <w:t>CORPORATION</w:t>
      </w:r>
    </w:p>
    <w:p>
      <w:pPr>
        <w:spacing w:after="0" w:line="236"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18599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Ron Shelton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and accounting</w:t>
      </w:r>
    </w:p>
    <w:p>
      <w:pPr>
        <w:ind w:left="4940"/>
        <w:spacing w:after="0"/>
        <w:rPr>
          <w:sz w:val="20"/>
          <w:szCs w:val="20"/>
          <w:color w:val="auto"/>
        </w:rPr>
      </w:pPr>
      <w:r>
        <w:rPr>
          <w:rFonts w:ascii="Arial" w:cs="Arial" w:eastAsia="Arial" w:hAnsi="Arial"/>
          <w:sz w:val="18"/>
          <w:szCs w:val="18"/>
          <w:color w:val="auto"/>
        </w:rPr>
        <w:t>officer)</w:t>
      </w:r>
    </w:p>
    <w:p>
      <w:pPr>
        <w:spacing w:after="0" w:line="27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60"/>
          </w:cols>
          <w:pgMar w:left="320" w:top="449" w:right="81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AGREEMENT AND PLAN OF MERGER</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among</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NAVITAS SEMICONDUCTOR CORPORATION,</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GEMINI ACQUISITION LLC,</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GENESIC SEMICONDUCTOR INC.</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RANBIR SINGH,</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THE RANBIR SINGH IRREVOCABLE TRUST DATED FEBRUARY 4, 2022,</w:t>
      </w:r>
    </w:p>
    <w:p>
      <w:pPr>
        <w:spacing w:after="0" w:line="19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RANBIR SINGH</w:t>
      </w:r>
      <w:r>
        <w:rPr>
          <w:rFonts w:ascii="Arial" w:cs="Arial" w:eastAsia="Arial" w:hAnsi="Arial"/>
          <w:sz w:val="22"/>
          <w:szCs w:val="22"/>
          <w:color w:val="auto"/>
        </w:rPr>
        <w:t>, as the Stockholder Representative</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August 15, 2022</w:t>
      </w:r>
    </w:p>
    <w:p>
      <w:pPr>
        <w:sectPr>
          <w:pgSz w:w="11900" w:h="16838" w:orient="portrait"/>
          <w:cols w:equalWidth="0" w:num="1">
            <w:col w:w="10120"/>
          </w:cols>
          <w:pgMar w:left="1440" w:top="98" w:right="339" w:bottom="1440" w:gutter="0" w:footer="0" w:header="0"/>
        </w:sectPr>
      </w:pPr>
    </w:p>
    <w:bookmarkStart w:id="53" w:name="page54"/>
    <w:bookmarkEnd w:id="53"/>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4"/>
          </w:tcPr>
          <w:p>
            <w:pPr>
              <w:jc w:val="right"/>
              <w:ind w:right="392"/>
              <w:spacing w:after="0"/>
              <w:rPr>
                <w:sz w:val="20"/>
                <w:szCs w:val="20"/>
                <w:color w:val="auto"/>
              </w:rPr>
            </w:pPr>
            <w:r>
              <w:rPr>
                <w:rFonts w:ascii="Arial" w:cs="Arial" w:eastAsia="Arial" w:hAnsi="Arial"/>
                <w:sz w:val="22"/>
                <w:szCs w:val="22"/>
                <w:b w:val="1"/>
                <w:bCs w:val="1"/>
                <w:color w:val="auto"/>
              </w:rPr>
              <w:t>TABLE OF CONTENTS</w:t>
            </w: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60" w:type="dxa"/>
            <w:vAlign w:val="bottom"/>
            <w:gridSpan w:val="2"/>
          </w:tcPr>
          <w:p>
            <w:pPr>
              <w:ind w:left="3540"/>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355"/>
        </w:trPr>
        <w:tc>
          <w:tcPr>
            <w:tcW w:w="2440" w:type="dxa"/>
            <w:vAlign w:val="bottom"/>
            <w:gridSpan w:val="3"/>
          </w:tcPr>
          <w:p>
            <w:pPr>
              <w:spacing w:after="0"/>
              <w:rPr>
                <w:sz w:val="20"/>
                <w:szCs w:val="20"/>
                <w:color w:val="auto"/>
              </w:rPr>
            </w:pPr>
            <w:r>
              <w:rPr>
                <w:rFonts w:ascii="Arial" w:cs="Arial" w:eastAsia="Arial" w:hAnsi="Arial"/>
                <w:sz w:val="22"/>
                <w:szCs w:val="22"/>
                <w:color w:val="auto"/>
                <w:w w:val="96"/>
              </w:rPr>
              <w:t>ARTICLE I DEFINITIONS</w:t>
            </w:r>
          </w:p>
        </w:tc>
        <w:tc>
          <w:tcPr>
            <w:tcW w:w="460" w:type="dxa"/>
            <w:vAlign w:val="bottom"/>
            <w:gridSpan w:val="2"/>
          </w:tcPr>
          <w:p>
            <w:pPr>
              <w:jc w:val="right"/>
              <w:ind w:right="32"/>
              <w:spacing w:after="0"/>
              <w:rPr>
                <w:sz w:val="20"/>
                <w:szCs w:val="20"/>
                <w:color w:val="auto"/>
              </w:rPr>
            </w:pPr>
            <w:r>
              <w:rPr>
                <w:rFonts w:ascii="Arial" w:cs="Arial" w:eastAsia="Arial" w:hAnsi="Arial"/>
                <w:sz w:val="22"/>
                <w:szCs w:val="22"/>
                <w:color w:val="auto"/>
              </w:rPr>
              <w:t>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1.1</w:t>
            </w:r>
          </w:p>
        </w:tc>
        <w:tc>
          <w:tcPr>
            <w:tcW w:w="2120" w:type="dxa"/>
            <w:vAlign w:val="bottom"/>
            <w:gridSpan w:val="6"/>
          </w:tcPr>
          <w:p>
            <w:pPr>
              <w:ind w:left="40"/>
              <w:spacing w:after="0"/>
              <w:rPr>
                <w:sz w:val="20"/>
                <w:szCs w:val="20"/>
                <w:color w:val="auto"/>
              </w:rPr>
            </w:pPr>
            <w:r>
              <w:rPr>
                <w:rFonts w:ascii="Arial" w:cs="Arial" w:eastAsia="Arial" w:hAnsi="Arial"/>
                <w:sz w:val="22"/>
                <w:szCs w:val="22"/>
                <w:color w:val="auto"/>
                <w:w w:val="93"/>
              </w:rPr>
              <w:t>Certain Defined Terms</w:t>
            </w:r>
          </w:p>
        </w:tc>
        <w:tc>
          <w:tcPr>
            <w:tcW w:w="560" w:type="dxa"/>
            <w:vAlign w:val="bottom"/>
          </w:tcPr>
          <w:p>
            <w:pPr>
              <w:jc w:val="right"/>
              <w:ind w:right="232"/>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rPr>
              <w:t>Section 1.2</w:t>
            </w:r>
          </w:p>
        </w:tc>
        <w:tc>
          <w:tcPr>
            <w:tcW w:w="1860" w:type="dxa"/>
            <w:vAlign w:val="bottom"/>
            <w:gridSpan w:val="5"/>
          </w:tcPr>
          <w:p>
            <w:pPr>
              <w:ind w:left="40"/>
              <w:spacing w:after="0"/>
              <w:rPr>
                <w:sz w:val="20"/>
                <w:szCs w:val="20"/>
                <w:color w:val="auto"/>
              </w:rPr>
            </w:pPr>
            <w:r>
              <w:rPr>
                <w:rFonts w:ascii="Arial" w:cs="Arial" w:eastAsia="Arial" w:hAnsi="Arial"/>
                <w:sz w:val="22"/>
                <w:szCs w:val="22"/>
                <w:color w:val="auto"/>
                <w:w w:val="95"/>
              </w:rPr>
              <w:t>Table of Definitions</w:t>
            </w:r>
          </w:p>
        </w:tc>
        <w:tc>
          <w:tcPr>
            <w:tcW w:w="820" w:type="dxa"/>
            <w:vAlign w:val="bottom"/>
            <w:gridSpan w:val="2"/>
          </w:tcPr>
          <w:p>
            <w:pPr>
              <w:jc w:val="right"/>
              <w:ind w:right="372"/>
              <w:spacing w:after="0"/>
              <w:rPr>
                <w:sz w:val="20"/>
                <w:szCs w:val="20"/>
                <w:color w:val="auto"/>
              </w:rPr>
            </w:pPr>
            <w:r>
              <w:rPr>
                <w:rFonts w:ascii="Arial" w:cs="Arial" w:eastAsia="Arial" w:hAnsi="Arial"/>
                <w:sz w:val="22"/>
                <w:szCs w:val="22"/>
                <w:color w:val="auto"/>
              </w:rPr>
              <w:t>13</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720" w:type="dxa"/>
            <w:vAlign w:val="bottom"/>
            <w:gridSpan w:val="4"/>
          </w:tcPr>
          <w:p>
            <w:pPr>
              <w:spacing w:after="0"/>
              <w:rPr>
                <w:sz w:val="20"/>
                <w:szCs w:val="20"/>
                <w:color w:val="auto"/>
              </w:rPr>
            </w:pPr>
            <w:r>
              <w:rPr>
                <w:rFonts w:ascii="Arial" w:cs="Arial" w:eastAsia="Arial" w:hAnsi="Arial"/>
                <w:sz w:val="22"/>
                <w:szCs w:val="22"/>
                <w:color w:val="auto"/>
              </w:rPr>
              <w:t>ARTICLE II THE MERGER</w:t>
            </w:r>
          </w:p>
        </w:tc>
        <w:tc>
          <w:tcPr>
            <w:tcW w:w="500" w:type="dxa"/>
            <w:vAlign w:val="bottom"/>
            <w:gridSpan w:val="2"/>
          </w:tcPr>
          <w:p>
            <w:pPr>
              <w:jc w:val="right"/>
              <w:ind w:right="152"/>
              <w:spacing w:after="0"/>
              <w:rPr>
                <w:sz w:val="20"/>
                <w:szCs w:val="20"/>
                <w:color w:val="auto"/>
              </w:rPr>
            </w:pPr>
            <w:r>
              <w:rPr>
                <w:rFonts w:ascii="Arial" w:cs="Arial" w:eastAsia="Arial" w:hAnsi="Arial"/>
                <w:sz w:val="22"/>
                <w:szCs w:val="22"/>
                <w:color w:val="auto"/>
                <w:w w:val="89"/>
              </w:rPr>
              <w:t>13</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2.1</w:t>
            </w:r>
          </w:p>
        </w:tc>
        <w:tc>
          <w:tcPr>
            <w:tcW w:w="1080" w:type="dxa"/>
            <w:vAlign w:val="bottom"/>
            <w:gridSpan w:val="2"/>
          </w:tcPr>
          <w:p>
            <w:pPr>
              <w:ind w:left="40"/>
              <w:spacing w:after="0"/>
              <w:rPr>
                <w:sz w:val="20"/>
                <w:szCs w:val="20"/>
                <w:color w:val="auto"/>
              </w:rPr>
            </w:pPr>
            <w:r>
              <w:rPr>
                <w:rFonts w:ascii="Arial" w:cs="Arial" w:eastAsia="Arial" w:hAnsi="Arial"/>
                <w:sz w:val="22"/>
                <w:szCs w:val="22"/>
                <w:color w:val="auto"/>
                <w:w w:val="89"/>
              </w:rPr>
              <w:t>The Merger</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13</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22"/>
                <w:szCs w:val="22"/>
                <w:color w:val="auto"/>
              </w:rPr>
              <w:t>13</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2.2</w:t>
            </w:r>
          </w:p>
        </w:tc>
        <w:tc>
          <w:tcPr>
            <w:tcW w:w="2120" w:type="dxa"/>
            <w:vAlign w:val="bottom"/>
            <w:gridSpan w:val="6"/>
          </w:tcPr>
          <w:p>
            <w:pPr>
              <w:ind w:left="40"/>
              <w:spacing w:after="0" w:line="216" w:lineRule="exact"/>
              <w:rPr>
                <w:sz w:val="20"/>
                <w:szCs w:val="20"/>
                <w:color w:val="auto"/>
              </w:rPr>
            </w:pPr>
            <w:r>
              <w:rPr>
                <w:rFonts w:ascii="Arial" w:cs="Arial" w:eastAsia="Arial" w:hAnsi="Arial"/>
                <w:sz w:val="22"/>
                <w:szCs w:val="22"/>
                <w:color w:val="auto"/>
                <w:w w:val="91"/>
              </w:rPr>
              <w:t>Closing; Effective Time</w:t>
            </w:r>
          </w:p>
        </w:tc>
        <w:tc>
          <w:tcPr>
            <w:tcW w:w="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2.3</w:t>
            </w:r>
          </w:p>
        </w:tc>
        <w:tc>
          <w:tcPr>
            <w:tcW w:w="2680" w:type="dxa"/>
            <w:vAlign w:val="bottom"/>
            <w:gridSpan w:val="7"/>
          </w:tcPr>
          <w:p>
            <w:pPr>
              <w:ind w:left="40"/>
              <w:spacing w:after="0" w:line="216" w:lineRule="exact"/>
              <w:rPr>
                <w:sz w:val="20"/>
                <w:szCs w:val="20"/>
                <w:color w:val="auto"/>
              </w:rPr>
            </w:pPr>
            <w:r>
              <w:rPr>
                <w:rFonts w:ascii="Arial" w:cs="Arial" w:eastAsia="Arial" w:hAnsi="Arial"/>
                <w:sz w:val="22"/>
                <w:szCs w:val="22"/>
                <w:color w:val="auto"/>
              </w:rPr>
              <w:t>Effects of the Merger  14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13"/>
          </w:tcPr>
          <w:p>
            <w:pPr>
              <w:ind w:left="220"/>
              <w:spacing w:after="0" w:line="216" w:lineRule="exact"/>
              <w:rPr>
                <w:sz w:val="20"/>
                <w:szCs w:val="20"/>
                <w:color w:val="auto"/>
              </w:rPr>
            </w:pPr>
            <w:r>
              <w:rPr>
                <w:rFonts w:ascii="Arial" w:cs="Arial" w:eastAsia="Arial" w:hAnsi="Arial"/>
                <w:sz w:val="22"/>
                <w:szCs w:val="22"/>
                <w:color w:val="auto"/>
                <w:w w:val="98"/>
              </w:rPr>
              <w:t>Section 2.4  Limited Liability Company Agreement of Surviving Entity.  14</w:t>
            </w: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2.5</w:t>
            </w:r>
          </w:p>
        </w:tc>
        <w:tc>
          <w:tcPr>
            <w:tcW w:w="1860" w:type="dxa"/>
            <w:vAlign w:val="bottom"/>
            <w:gridSpan w:val="5"/>
          </w:tcPr>
          <w:p>
            <w:pPr>
              <w:ind w:left="40"/>
              <w:spacing w:after="0" w:line="216" w:lineRule="exact"/>
              <w:rPr>
                <w:sz w:val="20"/>
                <w:szCs w:val="20"/>
                <w:color w:val="auto"/>
              </w:rPr>
            </w:pPr>
            <w:r>
              <w:rPr>
                <w:rFonts w:ascii="Arial" w:cs="Arial" w:eastAsia="Arial" w:hAnsi="Arial"/>
                <w:sz w:val="22"/>
                <w:szCs w:val="22"/>
                <w:color w:val="auto"/>
              </w:rPr>
              <w:t>Directors; Officers</w:t>
            </w: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w w:val="89"/>
              </w:rPr>
              <w:t>14</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2.6</w:t>
            </w:r>
          </w:p>
        </w:tc>
        <w:tc>
          <w:tcPr>
            <w:tcW w:w="18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1"/>
              </w:rPr>
              <w:t>Subsequent Actions</w:t>
            </w:r>
          </w:p>
        </w:tc>
        <w:tc>
          <w:tcPr>
            <w:tcW w:w="820" w:type="dxa"/>
            <w:vAlign w:val="bottom"/>
            <w:gridSpan w:val="2"/>
          </w:tcPr>
          <w:p>
            <w:pPr>
              <w:jc w:val="right"/>
              <w:ind w:right="372"/>
              <w:spacing w:after="0" w:line="216" w:lineRule="exact"/>
              <w:rPr>
                <w:sz w:val="20"/>
                <w:szCs w:val="20"/>
                <w:color w:val="auto"/>
              </w:rPr>
            </w:pPr>
            <w:r>
              <w:rPr>
                <w:rFonts w:ascii="Arial" w:cs="Arial" w:eastAsia="Arial" w:hAnsi="Arial"/>
                <w:sz w:val="22"/>
                <w:szCs w:val="22"/>
                <w:color w:val="auto"/>
              </w:rPr>
              <w:t>14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2.7</w:t>
            </w:r>
          </w:p>
        </w:tc>
        <w:tc>
          <w:tcPr>
            <w:tcW w:w="18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1"/>
              </w:rPr>
              <w:t>Conversion of Stock</w:t>
            </w:r>
          </w:p>
        </w:tc>
        <w:tc>
          <w:tcPr>
            <w:tcW w:w="820" w:type="dxa"/>
            <w:vAlign w:val="bottom"/>
            <w:gridSpan w:val="2"/>
          </w:tcPr>
          <w:p>
            <w:pPr>
              <w:jc w:val="right"/>
              <w:ind w:right="332"/>
              <w:spacing w:after="0" w:line="216" w:lineRule="exact"/>
              <w:rPr>
                <w:sz w:val="20"/>
                <w:szCs w:val="20"/>
                <w:color w:val="auto"/>
              </w:rPr>
            </w:pPr>
            <w:r>
              <w:rPr>
                <w:rFonts w:ascii="Arial" w:cs="Arial" w:eastAsia="Arial" w:hAnsi="Arial"/>
                <w:sz w:val="22"/>
                <w:szCs w:val="22"/>
                <w:color w:val="auto"/>
              </w:rPr>
              <w:t>14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2.8</w:t>
            </w:r>
          </w:p>
        </w:tc>
        <w:tc>
          <w:tcPr>
            <w:tcW w:w="18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2"/>
              </w:rPr>
              <w:t>Payment for Shares</w:t>
            </w:r>
          </w:p>
        </w:tc>
        <w:tc>
          <w:tcPr>
            <w:tcW w:w="820" w:type="dxa"/>
            <w:vAlign w:val="bottom"/>
            <w:gridSpan w:val="2"/>
          </w:tcPr>
          <w:p>
            <w:pPr>
              <w:jc w:val="right"/>
              <w:ind w:right="412"/>
              <w:spacing w:after="0" w:line="216" w:lineRule="exact"/>
              <w:rPr>
                <w:sz w:val="20"/>
                <w:szCs w:val="20"/>
                <w:color w:val="auto"/>
              </w:rPr>
            </w:pPr>
            <w:r>
              <w:rPr>
                <w:rFonts w:ascii="Arial" w:cs="Arial" w:eastAsia="Arial" w:hAnsi="Arial"/>
                <w:sz w:val="22"/>
                <w:szCs w:val="22"/>
                <w:color w:val="auto"/>
              </w:rPr>
              <w:t>15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2.9</w:t>
            </w:r>
          </w:p>
        </w:tc>
        <w:tc>
          <w:tcPr>
            <w:tcW w:w="18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8"/>
              </w:rPr>
              <w:t>Withholding Rights</w:t>
            </w:r>
          </w:p>
        </w:tc>
        <w:tc>
          <w:tcPr>
            <w:tcW w:w="820" w:type="dxa"/>
            <w:vAlign w:val="bottom"/>
            <w:gridSpan w:val="2"/>
          </w:tcPr>
          <w:p>
            <w:pPr>
              <w:jc w:val="right"/>
              <w:ind w:right="392"/>
              <w:spacing w:after="0" w:line="216" w:lineRule="exact"/>
              <w:rPr>
                <w:sz w:val="20"/>
                <w:szCs w:val="20"/>
                <w:color w:val="auto"/>
              </w:rPr>
            </w:pPr>
            <w:r>
              <w:rPr>
                <w:rFonts w:ascii="Arial" w:cs="Arial" w:eastAsia="Arial" w:hAnsi="Arial"/>
                <w:sz w:val="22"/>
                <w:szCs w:val="22"/>
                <w:color w:val="auto"/>
              </w:rPr>
              <w:t>15</w:t>
            </w:r>
          </w:p>
        </w:tc>
        <w:tc>
          <w:tcPr>
            <w:tcW w:w="260" w:type="dxa"/>
            <w:vAlign w:val="bottom"/>
          </w:tcPr>
          <w:p>
            <w:pPr>
              <w:spacing w:after="0"/>
              <w:rPr>
                <w:sz w:val="18"/>
                <w:szCs w:val="18"/>
                <w:color w:val="auto"/>
              </w:rPr>
            </w:pPr>
          </w:p>
        </w:tc>
        <w:tc>
          <w:tcPr>
            <w:tcW w:w="440" w:type="dxa"/>
            <w:vAlign w:val="bottom"/>
            <w:vMerge w:val="restart"/>
          </w:tcPr>
          <w:p>
            <w:pPr>
              <w:jc w:val="right"/>
              <w:ind w:right="72"/>
              <w:spacing w:after="0"/>
              <w:rPr>
                <w:sz w:val="20"/>
                <w:szCs w:val="20"/>
                <w:color w:val="auto"/>
              </w:rPr>
            </w:pPr>
            <w:r>
              <w:rPr>
                <w:rFonts w:ascii="Arial" w:cs="Arial" w:eastAsia="Arial" w:hAnsi="Arial"/>
                <w:sz w:val="22"/>
                <w:szCs w:val="22"/>
                <w:color w:val="auto"/>
                <w:w w:val="97"/>
              </w:rPr>
              <w:t>16</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2.10</w:t>
            </w:r>
          </w:p>
        </w:tc>
        <w:tc>
          <w:tcPr>
            <w:tcW w:w="294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3"/>
              </w:rPr>
              <w:t>Transaction Expenses Pay-Off</w:t>
            </w:r>
          </w:p>
        </w:tc>
        <w:tc>
          <w:tcPr>
            <w:tcW w:w="440" w:type="dxa"/>
            <w:vAlign w:val="bottom"/>
            <w:vMerge w:val="continue"/>
          </w:tcPr>
          <w:p>
            <w:pPr>
              <w:spacing w:after="0"/>
              <w:rPr>
                <w:sz w:val="18"/>
                <w:szCs w:val="18"/>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22"/>
                <w:szCs w:val="22"/>
                <w:color w:val="auto"/>
                <w:w w:val="89"/>
              </w:rPr>
              <w:t>16</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2.11</w:t>
            </w:r>
          </w:p>
        </w:tc>
        <w:tc>
          <w:tcPr>
            <w:tcW w:w="3380" w:type="dxa"/>
            <w:vAlign w:val="bottom"/>
            <w:gridSpan w:val="9"/>
          </w:tcPr>
          <w:p>
            <w:pPr>
              <w:ind w:left="140"/>
              <w:spacing w:after="0" w:line="216" w:lineRule="exact"/>
              <w:rPr>
                <w:sz w:val="20"/>
                <w:szCs w:val="20"/>
                <w:color w:val="auto"/>
              </w:rPr>
            </w:pPr>
            <w:r>
              <w:rPr>
                <w:rFonts w:ascii="Arial" w:cs="Arial" w:eastAsia="Arial" w:hAnsi="Arial"/>
                <w:sz w:val="22"/>
                <w:szCs w:val="22"/>
                <w:color w:val="auto"/>
                <w:w w:val="95"/>
              </w:rPr>
              <w:t>Merger Consideration Adjustments</w:t>
            </w:r>
          </w:p>
        </w:tc>
        <w:tc>
          <w:tcPr>
            <w:tcW w:w="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2.12</w:t>
            </w:r>
          </w:p>
        </w:tc>
        <w:tc>
          <w:tcPr>
            <w:tcW w:w="21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3"/>
              </w:rPr>
              <w:t>Contingent Payments</w:t>
            </w:r>
          </w:p>
        </w:tc>
        <w:tc>
          <w:tcPr>
            <w:tcW w:w="560" w:type="dxa"/>
            <w:vAlign w:val="bottom"/>
          </w:tcPr>
          <w:p>
            <w:pPr>
              <w:jc w:val="right"/>
              <w:ind w:right="132"/>
              <w:spacing w:after="0" w:line="216" w:lineRule="exact"/>
              <w:rPr>
                <w:sz w:val="20"/>
                <w:szCs w:val="20"/>
                <w:color w:val="auto"/>
              </w:rPr>
            </w:pPr>
            <w:r>
              <w:rPr>
                <w:rFonts w:ascii="Arial" w:cs="Arial" w:eastAsia="Arial" w:hAnsi="Arial"/>
                <w:sz w:val="22"/>
                <w:szCs w:val="22"/>
                <w:color w:val="auto"/>
              </w:rPr>
              <w:t>20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w w:val="91"/>
              </w:rPr>
              <w:t>Section 2.13</w:t>
            </w:r>
          </w:p>
        </w:tc>
        <w:tc>
          <w:tcPr>
            <w:tcW w:w="9880" w:type="dxa"/>
            <w:vAlign w:val="bottom"/>
            <w:gridSpan w:val="14"/>
          </w:tcPr>
          <w:p>
            <w:pPr>
              <w:ind w:left="140"/>
              <w:spacing w:after="0"/>
              <w:rPr>
                <w:sz w:val="20"/>
                <w:szCs w:val="20"/>
                <w:color w:val="auto"/>
              </w:rPr>
            </w:pPr>
            <w:r>
              <w:rPr>
                <w:rFonts w:ascii="Arial" w:cs="Arial" w:eastAsia="Arial" w:hAnsi="Arial"/>
                <w:sz w:val="22"/>
                <w:szCs w:val="22"/>
                <w:color w:val="auto"/>
              </w:rPr>
              <w:t>Restrictions on Post-Closing Sale of Acquiror Common Stock  20</w:t>
            </w:r>
          </w:p>
        </w:tc>
        <w:tc>
          <w:tcPr>
            <w:tcW w:w="0" w:type="dxa"/>
            <w:vAlign w:val="bottom"/>
          </w:tcPr>
          <w:p>
            <w:pPr>
              <w:spacing w:after="0"/>
              <w:rPr>
                <w:sz w:val="1"/>
                <w:szCs w:val="1"/>
                <w:color w:val="auto"/>
              </w:rPr>
            </w:pPr>
          </w:p>
        </w:tc>
      </w:tr>
      <w:tr>
        <w:trPr>
          <w:trHeight w:val="324"/>
        </w:trPr>
        <w:tc>
          <w:tcPr>
            <w:tcW w:w="7280" w:type="dxa"/>
            <w:vAlign w:val="bottom"/>
            <w:gridSpan w:val="13"/>
          </w:tcPr>
          <w:p>
            <w:pPr>
              <w:spacing w:after="0"/>
              <w:rPr>
                <w:sz w:val="20"/>
                <w:szCs w:val="20"/>
                <w:color w:val="auto"/>
              </w:rPr>
            </w:pPr>
            <w:r>
              <w:rPr>
                <w:rFonts w:ascii="Arial" w:cs="Arial" w:eastAsia="Arial" w:hAnsi="Arial"/>
                <w:sz w:val="22"/>
                <w:szCs w:val="22"/>
                <w:color w:val="auto"/>
                <w:w w:val="96"/>
              </w:rPr>
              <w:t>ARTICLE III REPRESENTATIONS AND WARRANTIES OF THE COMPANY</w:t>
            </w:r>
          </w:p>
        </w:tc>
        <w:tc>
          <w:tcPr>
            <w:tcW w:w="3540" w:type="dxa"/>
            <w:vAlign w:val="bottom"/>
          </w:tcPr>
          <w:p>
            <w:pPr>
              <w:jc w:val="right"/>
              <w:ind w:right="3212"/>
              <w:spacing w:after="0"/>
              <w:rPr>
                <w:sz w:val="20"/>
                <w:szCs w:val="20"/>
                <w:color w:val="auto"/>
              </w:rPr>
            </w:pPr>
            <w:r>
              <w:rPr>
                <w:rFonts w:ascii="Arial" w:cs="Arial" w:eastAsia="Arial" w:hAnsi="Arial"/>
                <w:sz w:val="22"/>
                <w:szCs w:val="22"/>
                <w:color w:val="auto"/>
                <w:w w:val="81"/>
              </w:rPr>
              <w:t>21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3.1</w:t>
            </w:r>
          </w:p>
        </w:tc>
        <w:tc>
          <w:tcPr>
            <w:tcW w:w="2940" w:type="dxa"/>
            <w:vAlign w:val="bottom"/>
            <w:gridSpan w:val="8"/>
          </w:tcPr>
          <w:p>
            <w:pPr>
              <w:ind w:left="40"/>
              <w:spacing w:after="0"/>
              <w:rPr>
                <w:sz w:val="20"/>
                <w:szCs w:val="20"/>
                <w:color w:val="auto"/>
              </w:rPr>
            </w:pPr>
            <w:r>
              <w:rPr>
                <w:rFonts w:ascii="Arial" w:cs="Arial" w:eastAsia="Arial" w:hAnsi="Arial"/>
                <w:sz w:val="22"/>
                <w:szCs w:val="22"/>
                <w:color w:val="auto"/>
                <w:w w:val="97"/>
              </w:rPr>
              <w:t>Organization and Qualification</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w w:val="81"/>
              </w:rPr>
              <w:t>21</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3.2</w:t>
            </w:r>
          </w:p>
        </w:tc>
        <w:tc>
          <w:tcPr>
            <w:tcW w:w="10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Authority</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9"/>
              </w:rPr>
              <w:t>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21</w:t>
            </w: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3.3</w:t>
            </w:r>
          </w:p>
        </w:tc>
        <w:tc>
          <w:tcPr>
            <w:tcW w:w="3960" w:type="dxa"/>
            <w:vAlign w:val="bottom"/>
            <w:gridSpan w:val="10"/>
          </w:tcPr>
          <w:p>
            <w:pPr>
              <w:ind w:left="40"/>
              <w:spacing w:after="0" w:line="216" w:lineRule="exact"/>
              <w:rPr>
                <w:sz w:val="20"/>
                <w:szCs w:val="20"/>
                <w:color w:val="auto"/>
              </w:rPr>
            </w:pPr>
            <w:r>
              <w:rPr>
                <w:rFonts w:ascii="Arial" w:cs="Arial" w:eastAsia="Arial" w:hAnsi="Arial"/>
                <w:sz w:val="22"/>
                <w:szCs w:val="22"/>
                <w:color w:val="auto"/>
                <w:w w:val="92"/>
              </w:rPr>
              <w:t>No Conflict; Required Filings and Consents</w:t>
            </w:r>
          </w:p>
        </w:tc>
        <w:tc>
          <w:tcPr>
            <w:tcW w:w="36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3.4</w:t>
            </w:r>
          </w:p>
        </w:tc>
        <w:tc>
          <w:tcPr>
            <w:tcW w:w="136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8"/>
              </w:rPr>
              <w:t>Capitalization</w:t>
            </w:r>
          </w:p>
        </w:tc>
        <w:tc>
          <w:tcPr>
            <w:tcW w:w="500" w:type="dxa"/>
            <w:vAlign w:val="bottom"/>
            <w:gridSpan w:val="2"/>
          </w:tcPr>
          <w:p>
            <w:pPr>
              <w:jc w:val="right"/>
              <w:ind w:right="72"/>
              <w:spacing w:after="0" w:line="216" w:lineRule="exact"/>
              <w:rPr>
                <w:sz w:val="20"/>
                <w:szCs w:val="20"/>
                <w:color w:val="auto"/>
              </w:rPr>
            </w:pPr>
            <w:r>
              <w:rPr>
                <w:rFonts w:ascii="Arial" w:cs="Arial" w:eastAsia="Arial" w:hAnsi="Arial"/>
                <w:sz w:val="22"/>
                <w:szCs w:val="22"/>
                <w:color w:val="auto"/>
              </w:rPr>
              <w:t>22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3.5</w:t>
            </w:r>
          </w:p>
        </w:tc>
        <w:tc>
          <w:tcPr>
            <w:tcW w:w="154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7"/>
              </w:rPr>
              <w:t>Equity Interests</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22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vMerge w:val="restart"/>
          </w:tcPr>
          <w:p>
            <w:pPr>
              <w:jc w:val="right"/>
              <w:ind w:right="1112"/>
              <w:spacing w:after="0"/>
              <w:rPr>
                <w:sz w:val="20"/>
                <w:szCs w:val="20"/>
                <w:color w:val="auto"/>
              </w:rPr>
            </w:pPr>
            <w:r>
              <w:rPr>
                <w:rFonts w:ascii="Arial" w:cs="Arial" w:eastAsia="Arial" w:hAnsi="Arial"/>
                <w:sz w:val="22"/>
                <w:szCs w:val="22"/>
                <w:color w:val="auto"/>
              </w:rPr>
              <w:t>23</w:t>
            </w: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3.6</w:t>
            </w:r>
          </w:p>
        </w:tc>
        <w:tc>
          <w:tcPr>
            <w:tcW w:w="4320" w:type="dxa"/>
            <w:vAlign w:val="bottom"/>
            <w:gridSpan w:val="11"/>
          </w:tcPr>
          <w:p>
            <w:pPr>
              <w:ind w:left="40"/>
              <w:spacing w:after="0" w:line="216" w:lineRule="exact"/>
              <w:rPr>
                <w:sz w:val="20"/>
                <w:szCs w:val="20"/>
                <w:color w:val="auto"/>
              </w:rPr>
            </w:pPr>
            <w:r>
              <w:rPr>
                <w:rFonts w:ascii="Arial" w:cs="Arial" w:eastAsia="Arial" w:hAnsi="Arial"/>
                <w:sz w:val="22"/>
                <w:szCs w:val="22"/>
                <w:color w:val="auto"/>
                <w:w w:val="90"/>
              </w:rPr>
              <w:t>Financial Statements; No Undisclosed Liabilities</w:t>
            </w:r>
          </w:p>
        </w:tc>
        <w:tc>
          <w:tcPr>
            <w:tcW w:w="16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3.7</w:t>
            </w:r>
          </w:p>
        </w:tc>
        <w:tc>
          <w:tcPr>
            <w:tcW w:w="3380" w:type="dxa"/>
            <w:vAlign w:val="bottom"/>
            <w:gridSpan w:val="9"/>
          </w:tcPr>
          <w:p>
            <w:pPr>
              <w:ind w:left="40"/>
              <w:spacing w:after="0" w:line="216" w:lineRule="exact"/>
              <w:rPr>
                <w:sz w:val="20"/>
                <w:szCs w:val="20"/>
                <w:color w:val="auto"/>
              </w:rPr>
            </w:pPr>
            <w:r>
              <w:rPr>
                <w:rFonts w:ascii="Arial" w:cs="Arial" w:eastAsia="Arial" w:hAnsi="Arial"/>
                <w:sz w:val="22"/>
                <w:szCs w:val="22"/>
                <w:color w:val="auto"/>
                <w:w w:val="87"/>
              </w:rPr>
              <w:t>Absence of Certain Changes or Events</w:t>
            </w:r>
          </w:p>
        </w:tc>
        <w:tc>
          <w:tcPr>
            <w:tcW w:w="580" w:type="dxa"/>
            <w:vAlign w:val="bottom"/>
          </w:tcPr>
          <w:p>
            <w:pPr>
              <w:jc w:val="right"/>
              <w:ind w:right="32"/>
              <w:spacing w:after="0" w:line="216" w:lineRule="exact"/>
              <w:rPr>
                <w:sz w:val="20"/>
                <w:szCs w:val="20"/>
                <w:color w:val="auto"/>
              </w:rPr>
            </w:pPr>
            <w:r>
              <w:rPr>
                <w:rFonts w:ascii="Arial" w:cs="Arial" w:eastAsia="Arial" w:hAnsi="Arial"/>
                <w:sz w:val="22"/>
                <w:szCs w:val="22"/>
                <w:color w:val="auto"/>
              </w:rPr>
              <w:t>23</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3.8</w:t>
            </w:r>
          </w:p>
        </w:tc>
        <w:tc>
          <w:tcPr>
            <w:tcW w:w="2940" w:type="dxa"/>
            <w:vAlign w:val="bottom"/>
            <w:gridSpan w:val="8"/>
          </w:tcPr>
          <w:p>
            <w:pPr>
              <w:ind w:left="40"/>
              <w:spacing w:after="0" w:line="216" w:lineRule="exact"/>
              <w:rPr>
                <w:sz w:val="20"/>
                <w:szCs w:val="20"/>
                <w:color w:val="auto"/>
              </w:rPr>
            </w:pPr>
            <w:r>
              <w:rPr>
                <w:rFonts w:ascii="Arial" w:cs="Arial" w:eastAsia="Arial" w:hAnsi="Arial"/>
                <w:sz w:val="22"/>
                <w:szCs w:val="22"/>
                <w:color w:val="auto"/>
                <w:w w:val="97"/>
              </w:rPr>
              <w:t>Compliance with Law; Permits</w:t>
            </w:r>
          </w:p>
        </w:tc>
        <w:tc>
          <w:tcPr>
            <w:tcW w:w="440" w:type="dxa"/>
            <w:vAlign w:val="bottom"/>
          </w:tcPr>
          <w:p>
            <w:pPr>
              <w:jc w:val="right"/>
              <w:ind w:right="112"/>
              <w:spacing w:after="0" w:line="216" w:lineRule="exact"/>
              <w:rPr>
                <w:sz w:val="20"/>
                <w:szCs w:val="20"/>
                <w:color w:val="auto"/>
              </w:rPr>
            </w:pPr>
            <w:r>
              <w:rPr>
                <w:rFonts w:ascii="Arial" w:cs="Arial" w:eastAsia="Arial" w:hAnsi="Arial"/>
                <w:sz w:val="22"/>
                <w:szCs w:val="22"/>
                <w:color w:val="auto"/>
                <w:w w:val="81"/>
              </w:rPr>
              <w:t>24</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3.9</w:t>
            </w:r>
          </w:p>
        </w:tc>
        <w:tc>
          <w:tcPr>
            <w:tcW w:w="10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Litigation</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9"/>
              </w:rPr>
              <w:t>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3.10</w:t>
            </w:r>
          </w:p>
        </w:tc>
        <w:tc>
          <w:tcPr>
            <w:tcW w:w="268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3"/>
              </w:rPr>
              <w:t>Employee Benefit Plans  25</w:t>
            </w:r>
          </w:p>
        </w:tc>
        <w:tc>
          <w:tcPr>
            <w:tcW w:w="26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27</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3.11</w:t>
            </w:r>
          </w:p>
        </w:tc>
        <w:tc>
          <w:tcPr>
            <w:tcW w:w="294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0"/>
              </w:rPr>
              <w:t>Labor and Employment Matters</w:t>
            </w:r>
          </w:p>
        </w:tc>
        <w:tc>
          <w:tcPr>
            <w:tcW w:w="4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3.12</w:t>
            </w:r>
          </w:p>
        </w:tc>
        <w:tc>
          <w:tcPr>
            <w:tcW w:w="108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5"/>
              </w:rPr>
              <w:t>Insurance</w:t>
            </w:r>
          </w:p>
        </w:tc>
        <w:tc>
          <w:tcPr>
            <w:tcW w:w="460" w:type="dxa"/>
            <w:vAlign w:val="bottom"/>
            <w:gridSpan w:val="2"/>
          </w:tcPr>
          <w:p>
            <w:pPr>
              <w:jc w:val="right"/>
              <w:ind w:right="12"/>
              <w:spacing w:after="0" w:line="216" w:lineRule="exact"/>
              <w:rPr>
                <w:sz w:val="20"/>
                <w:szCs w:val="20"/>
                <w:color w:val="auto"/>
              </w:rPr>
            </w:pPr>
            <w:r>
              <w:rPr>
                <w:rFonts w:ascii="Arial" w:cs="Arial" w:eastAsia="Arial" w:hAnsi="Arial"/>
                <w:sz w:val="22"/>
                <w:szCs w:val="22"/>
                <w:color w:val="auto"/>
              </w:rPr>
              <w:t>27</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w w:val="89"/>
              </w:rPr>
              <w:t>28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3.13</w:t>
            </w:r>
          </w:p>
        </w:tc>
        <w:tc>
          <w:tcPr>
            <w:tcW w:w="136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89"/>
              </w:rPr>
              <w:t>Real Property</w:t>
            </w:r>
          </w:p>
        </w:tc>
        <w:tc>
          <w:tcPr>
            <w:tcW w:w="1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ind w:right="232"/>
              <w:spacing w:after="0"/>
              <w:rPr>
                <w:sz w:val="20"/>
                <w:szCs w:val="20"/>
                <w:color w:val="auto"/>
              </w:rPr>
            </w:pPr>
            <w:r>
              <w:rPr>
                <w:rFonts w:ascii="Arial" w:cs="Arial" w:eastAsia="Arial" w:hAnsi="Arial"/>
                <w:sz w:val="22"/>
                <w:szCs w:val="22"/>
                <w:color w:val="auto"/>
                <w:w w:val="81"/>
              </w:rPr>
              <w:t>28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3.14</w:t>
            </w:r>
          </w:p>
        </w:tc>
        <w:tc>
          <w:tcPr>
            <w:tcW w:w="2120" w:type="dxa"/>
            <w:vAlign w:val="bottom"/>
            <w:gridSpan w:val="6"/>
          </w:tcPr>
          <w:p>
            <w:pPr>
              <w:ind w:left="140"/>
              <w:spacing w:after="0" w:line="216" w:lineRule="exact"/>
              <w:rPr>
                <w:sz w:val="20"/>
                <w:szCs w:val="20"/>
                <w:color w:val="auto"/>
              </w:rPr>
            </w:pPr>
            <w:r>
              <w:rPr>
                <w:rFonts w:ascii="Arial" w:cs="Arial" w:eastAsia="Arial" w:hAnsi="Arial"/>
                <w:sz w:val="22"/>
                <w:szCs w:val="22"/>
                <w:color w:val="auto"/>
              </w:rPr>
              <w:t>Intellectual Property</w:t>
            </w:r>
          </w:p>
        </w:tc>
        <w:tc>
          <w:tcPr>
            <w:tcW w:w="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3.15</w:t>
            </w:r>
          </w:p>
        </w:tc>
        <w:tc>
          <w:tcPr>
            <w:tcW w:w="840" w:type="dxa"/>
            <w:vAlign w:val="bottom"/>
          </w:tcPr>
          <w:p>
            <w:pPr>
              <w:ind w:left="140"/>
              <w:spacing w:after="0" w:line="216" w:lineRule="exact"/>
              <w:rPr>
                <w:sz w:val="20"/>
                <w:szCs w:val="20"/>
                <w:color w:val="auto"/>
              </w:rPr>
            </w:pPr>
            <w:r>
              <w:rPr>
                <w:rFonts w:ascii="Arial" w:cs="Arial" w:eastAsia="Arial" w:hAnsi="Arial"/>
                <w:sz w:val="22"/>
                <w:szCs w:val="22"/>
                <w:color w:val="auto"/>
              </w:rPr>
              <w:t>Taxes</w:t>
            </w:r>
          </w:p>
        </w:tc>
        <w:tc>
          <w:tcPr>
            <w:tcW w:w="240" w:type="dxa"/>
            <w:vAlign w:val="bottom"/>
          </w:tcPr>
          <w:p>
            <w:pPr>
              <w:jc w:val="right"/>
              <w:spacing w:after="0" w:line="216" w:lineRule="exact"/>
              <w:rPr>
                <w:sz w:val="20"/>
                <w:szCs w:val="20"/>
                <w:color w:val="auto"/>
              </w:rPr>
            </w:pPr>
            <w:r>
              <w:rPr>
                <w:rFonts w:ascii="Arial" w:cs="Arial" w:eastAsia="Arial" w:hAnsi="Arial"/>
                <w:sz w:val="22"/>
                <w:szCs w:val="22"/>
                <w:color w:val="auto"/>
                <w:w w:val="89"/>
              </w:rPr>
              <w:t>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22"/>
                <w:szCs w:val="22"/>
                <w:color w:val="auto"/>
              </w:rPr>
              <w:t>33</w:t>
            </w: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3.16</w:t>
            </w:r>
          </w:p>
        </w:tc>
        <w:tc>
          <w:tcPr>
            <w:tcW w:w="3960" w:type="dxa"/>
            <w:vAlign w:val="bottom"/>
            <w:gridSpan w:val="10"/>
          </w:tcPr>
          <w:p>
            <w:pPr>
              <w:ind w:left="140"/>
              <w:spacing w:after="0" w:line="216" w:lineRule="exact"/>
              <w:rPr>
                <w:sz w:val="20"/>
                <w:szCs w:val="20"/>
                <w:color w:val="auto"/>
              </w:rPr>
            </w:pPr>
            <w:r>
              <w:rPr>
                <w:rFonts w:ascii="Arial" w:cs="Arial" w:eastAsia="Arial" w:hAnsi="Arial"/>
                <w:sz w:val="22"/>
                <w:szCs w:val="22"/>
                <w:color w:val="auto"/>
                <w:w w:val="91"/>
              </w:rPr>
              <w:t>Environmental, Health, and Safety Matters</w:t>
            </w:r>
          </w:p>
        </w:tc>
        <w:tc>
          <w:tcPr>
            <w:tcW w:w="36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3.17</w:t>
            </w:r>
          </w:p>
        </w:tc>
        <w:tc>
          <w:tcPr>
            <w:tcW w:w="186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5"/>
              </w:rPr>
              <w:t>Material Contracts</w:t>
            </w:r>
          </w:p>
        </w:tc>
        <w:tc>
          <w:tcPr>
            <w:tcW w:w="820" w:type="dxa"/>
            <w:vAlign w:val="bottom"/>
            <w:gridSpan w:val="2"/>
          </w:tcPr>
          <w:p>
            <w:pPr>
              <w:jc w:val="right"/>
              <w:ind w:right="372"/>
              <w:spacing w:after="0" w:line="216" w:lineRule="exact"/>
              <w:rPr>
                <w:sz w:val="20"/>
                <w:szCs w:val="20"/>
                <w:color w:val="auto"/>
              </w:rPr>
            </w:pPr>
            <w:r>
              <w:rPr>
                <w:rFonts w:ascii="Arial" w:cs="Arial" w:eastAsia="Arial" w:hAnsi="Arial"/>
                <w:sz w:val="22"/>
                <w:szCs w:val="22"/>
                <w:color w:val="auto"/>
              </w:rPr>
              <w:t>33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3.18</w:t>
            </w:r>
          </w:p>
        </w:tc>
        <w:tc>
          <w:tcPr>
            <w:tcW w:w="21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88"/>
              </w:rPr>
              <w:t>Government Contracts</w:t>
            </w:r>
          </w:p>
        </w:tc>
        <w:tc>
          <w:tcPr>
            <w:tcW w:w="560" w:type="dxa"/>
            <w:vAlign w:val="bottom"/>
          </w:tcPr>
          <w:p>
            <w:pPr>
              <w:jc w:val="right"/>
              <w:ind w:right="32"/>
              <w:spacing w:after="0" w:line="216" w:lineRule="exact"/>
              <w:rPr>
                <w:sz w:val="20"/>
                <w:szCs w:val="20"/>
                <w:color w:val="auto"/>
              </w:rPr>
            </w:pPr>
            <w:r>
              <w:rPr>
                <w:rFonts w:ascii="Arial" w:cs="Arial" w:eastAsia="Arial" w:hAnsi="Arial"/>
                <w:sz w:val="22"/>
                <w:szCs w:val="22"/>
                <w:color w:val="auto"/>
              </w:rPr>
              <w:t>35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3.19</w:t>
            </w:r>
          </w:p>
        </w:tc>
        <w:tc>
          <w:tcPr>
            <w:tcW w:w="840" w:type="dxa"/>
            <w:vAlign w:val="bottom"/>
          </w:tcPr>
          <w:p>
            <w:pPr>
              <w:ind w:left="140"/>
              <w:spacing w:after="0" w:line="216" w:lineRule="exact"/>
              <w:rPr>
                <w:sz w:val="20"/>
                <w:szCs w:val="20"/>
                <w:color w:val="auto"/>
              </w:rPr>
            </w:pPr>
            <w:r>
              <w:rPr>
                <w:rFonts w:ascii="Arial" w:cs="Arial" w:eastAsia="Arial" w:hAnsi="Arial"/>
                <w:sz w:val="22"/>
                <w:szCs w:val="22"/>
                <w:color w:val="auto"/>
                <w:w w:val="89"/>
              </w:rPr>
              <w:t>Brokers</w:t>
            </w:r>
          </w:p>
        </w:tc>
        <w:tc>
          <w:tcPr>
            <w:tcW w:w="52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color w:val="auto"/>
                <w:w w:val="81"/>
              </w:rPr>
              <w:t>36</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3.20</w:t>
            </w:r>
          </w:p>
        </w:tc>
        <w:tc>
          <w:tcPr>
            <w:tcW w:w="268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4"/>
              </w:rPr>
              <w:t>Related Party Transactions</w:t>
            </w:r>
          </w:p>
        </w:tc>
        <w:tc>
          <w:tcPr>
            <w:tcW w:w="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3.21</w:t>
            </w:r>
          </w:p>
        </w:tc>
        <w:tc>
          <w:tcPr>
            <w:tcW w:w="186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7"/>
              </w:rPr>
              <w:t>Certain Payments</w:t>
            </w: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w w:val="89"/>
              </w:rPr>
              <w:t>36</w:t>
            </w:r>
          </w:p>
        </w:tc>
        <w:tc>
          <w:tcPr>
            <w:tcW w:w="56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color w:val="auto"/>
                <w:w w:val="89"/>
              </w:rPr>
              <w:t>36</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3.22</w:t>
            </w:r>
          </w:p>
        </w:tc>
        <w:tc>
          <w:tcPr>
            <w:tcW w:w="268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4"/>
              </w:rPr>
              <w:t>Tangible Personal Property</w:t>
            </w:r>
          </w:p>
        </w:tc>
        <w:tc>
          <w:tcPr>
            <w:tcW w:w="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3.23</w:t>
            </w:r>
          </w:p>
        </w:tc>
        <w:tc>
          <w:tcPr>
            <w:tcW w:w="154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91"/>
              </w:rPr>
              <w:t>Product Quality</w:t>
            </w:r>
          </w:p>
        </w:tc>
        <w:tc>
          <w:tcPr>
            <w:tcW w:w="580" w:type="dxa"/>
            <w:vAlign w:val="bottom"/>
            <w:gridSpan w:val="2"/>
          </w:tcPr>
          <w:p>
            <w:pPr>
              <w:jc w:val="right"/>
              <w:ind w:right="52"/>
              <w:spacing w:after="0" w:line="216" w:lineRule="exact"/>
              <w:rPr>
                <w:sz w:val="20"/>
                <w:szCs w:val="20"/>
                <w:color w:val="auto"/>
              </w:rPr>
            </w:pPr>
            <w:r>
              <w:rPr>
                <w:rFonts w:ascii="Arial" w:cs="Arial" w:eastAsia="Arial" w:hAnsi="Arial"/>
                <w:sz w:val="22"/>
                <w:szCs w:val="22"/>
                <w:color w:val="auto"/>
              </w:rPr>
              <w:t>37</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3.24</w:t>
            </w:r>
          </w:p>
        </w:tc>
        <w:tc>
          <w:tcPr>
            <w:tcW w:w="186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9"/>
              </w:rPr>
              <w:t>Product Warranty</w:t>
            </w: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w w:val="89"/>
              </w:rPr>
              <w:t>37</w:t>
            </w:r>
          </w:p>
        </w:tc>
        <w:tc>
          <w:tcPr>
            <w:tcW w:w="560" w:type="dxa"/>
            <w:vAlign w:val="bottom"/>
            <w:vMerge w:val="restart"/>
          </w:tcPr>
          <w:p>
            <w:pPr>
              <w:jc w:val="right"/>
              <w:ind w:right="172"/>
              <w:spacing w:after="0"/>
              <w:rPr>
                <w:sz w:val="20"/>
                <w:szCs w:val="20"/>
                <w:color w:val="auto"/>
              </w:rPr>
            </w:pPr>
            <w:r>
              <w:rPr>
                <w:rFonts w:ascii="Arial" w:cs="Arial" w:eastAsia="Arial" w:hAnsi="Arial"/>
                <w:sz w:val="22"/>
                <w:szCs w:val="22"/>
                <w:color w:val="auto"/>
              </w:rPr>
              <w:t>37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3.25</w:t>
            </w:r>
          </w:p>
        </w:tc>
        <w:tc>
          <w:tcPr>
            <w:tcW w:w="21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5"/>
              </w:rPr>
              <w:t>Accounts Receivable</w:t>
            </w:r>
          </w:p>
        </w:tc>
        <w:tc>
          <w:tcPr>
            <w:tcW w:w="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3.26</w:t>
            </w:r>
          </w:p>
        </w:tc>
        <w:tc>
          <w:tcPr>
            <w:tcW w:w="108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Inventory</w:t>
            </w:r>
          </w:p>
        </w:tc>
        <w:tc>
          <w:tcPr>
            <w:tcW w:w="460" w:type="dxa"/>
            <w:vAlign w:val="bottom"/>
            <w:gridSpan w:val="2"/>
          </w:tcPr>
          <w:p>
            <w:pPr>
              <w:jc w:val="right"/>
              <w:ind w:right="12"/>
              <w:spacing w:after="0" w:line="216" w:lineRule="exact"/>
              <w:rPr>
                <w:sz w:val="20"/>
                <w:szCs w:val="20"/>
                <w:color w:val="auto"/>
              </w:rPr>
            </w:pPr>
            <w:r>
              <w:rPr>
                <w:rFonts w:ascii="Arial" w:cs="Arial" w:eastAsia="Arial" w:hAnsi="Arial"/>
                <w:sz w:val="22"/>
                <w:szCs w:val="22"/>
                <w:color w:val="auto"/>
              </w:rPr>
              <w:t>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vMerge w:val="restart"/>
          </w:tcPr>
          <w:p>
            <w:pPr>
              <w:jc w:val="right"/>
              <w:ind w:right="1232"/>
              <w:spacing w:after="0"/>
              <w:rPr>
                <w:sz w:val="20"/>
                <w:szCs w:val="20"/>
                <w:color w:val="auto"/>
              </w:rPr>
            </w:pPr>
            <w:r>
              <w:rPr>
                <w:rFonts w:ascii="Arial" w:cs="Arial" w:eastAsia="Arial" w:hAnsi="Arial"/>
                <w:sz w:val="22"/>
                <w:szCs w:val="22"/>
                <w:color w:val="auto"/>
                <w:w w:val="97"/>
              </w:rPr>
              <w:t>37</w:t>
            </w: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3.27</w:t>
            </w:r>
          </w:p>
        </w:tc>
        <w:tc>
          <w:tcPr>
            <w:tcW w:w="4320" w:type="dxa"/>
            <w:vAlign w:val="bottom"/>
            <w:gridSpan w:val="11"/>
          </w:tcPr>
          <w:p>
            <w:pPr>
              <w:ind w:left="140"/>
              <w:spacing w:after="0" w:line="216" w:lineRule="exact"/>
              <w:rPr>
                <w:sz w:val="20"/>
                <w:szCs w:val="20"/>
                <w:color w:val="auto"/>
              </w:rPr>
            </w:pPr>
            <w:r>
              <w:rPr>
                <w:rFonts w:ascii="Arial" w:cs="Arial" w:eastAsia="Arial" w:hAnsi="Arial"/>
                <w:sz w:val="22"/>
                <w:szCs w:val="22"/>
                <w:color w:val="auto"/>
                <w:w w:val="92"/>
              </w:rPr>
              <w:t>Exclusivity of Representations and Warranties</w:t>
            </w:r>
          </w:p>
        </w:tc>
        <w:tc>
          <w:tcPr>
            <w:tcW w:w="16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w w:val="91"/>
              </w:rPr>
              <w:t>Section 3.28</w:t>
            </w:r>
          </w:p>
        </w:tc>
        <w:tc>
          <w:tcPr>
            <w:tcW w:w="2680" w:type="dxa"/>
            <w:vAlign w:val="bottom"/>
            <w:gridSpan w:val="7"/>
          </w:tcPr>
          <w:p>
            <w:pPr>
              <w:ind w:left="140"/>
              <w:spacing w:after="0"/>
              <w:rPr>
                <w:sz w:val="20"/>
                <w:szCs w:val="20"/>
                <w:color w:val="auto"/>
              </w:rPr>
            </w:pPr>
            <w:r>
              <w:rPr>
                <w:rFonts w:ascii="Arial" w:cs="Arial" w:eastAsia="Arial" w:hAnsi="Arial"/>
                <w:sz w:val="22"/>
                <w:szCs w:val="22"/>
                <w:color w:val="auto"/>
                <w:w w:val="92"/>
              </w:rPr>
              <w:t>Limited Reliance Disclaimer</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37</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280" w:type="dxa"/>
            <w:vAlign w:val="bottom"/>
            <w:gridSpan w:val="13"/>
          </w:tcPr>
          <w:p>
            <w:pPr>
              <w:spacing w:after="0"/>
              <w:rPr>
                <w:sz w:val="20"/>
                <w:szCs w:val="20"/>
                <w:color w:val="auto"/>
              </w:rPr>
            </w:pPr>
            <w:r>
              <w:rPr>
                <w:rFonts w:ascii="Arial" w:cs="Arial" w:eastAsia="Arial" w:hAnsi="Arial"/>
                <w:sz w:val="22"/>
                <w:szCs w:val="22"/>
                <w:color w:val="auto"/>
                <w:w w:val="93"/>
              </w:rPr>
              <w:t>ARTICLE IV REPRESENTATIONS AND WARRANTIES OF STOCKHOLDERS</w:t>
            </w:r>
          </w:p>
        </w:tc>
        <w:tc>
          <w:tcPr>
            <w:tcW w:w="3540" w:type="dxa"/>
            <w:vAlign w:val="bottom"/>
          </w:tcPr>
          <w:p>
            <w:pPr>
              <w:jc w:val="right"/>
              <w:ind w:right="3032"/>
              <w:spacing w:after="0"/>
              <w:rPr>
                <w:sz w:val="20"/>
                <w:szCs w:val="20"/>
                <w:color w:val="auto"/>
              </w:rPr>
            </w:pPr>
            <w:r>
              <w:rPr>
                <w:rFonts w:ascii="Arial" w:cs="Arial" w:eastAsia="Arial" w:hAnsi="Arial"/>
                <w:sz w:val="22"/>
                <w:szCs w:val="22"/>
                <w:color w:val="auto"/>
              </w:rPr>
              <w:t>38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440"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1360" w:type="dxa"/>
            <w:vAlign w:val="bottom"/>
          </w:tcPr>
          <w:p>
            <w:pPr>
              <w:ind w:left="220"/>
              <w:spacing w:after="0"/>
              <w:rPr>
                <w:sz w:val="20"/>
                <w:szCs w:val="20"/>
                <w:color w:val="auto"/>
              </w:rPr>
            </w:pPr>
            <w:r>
              <w:rPr>
                <w:rFonts w:ascii="Arial" w:cs="Arial" w:eastAsia="Arial" w:hAnsi="Arial"/>
                <w:sz w:val="22"/>
                <w:szCs w:val="22"/>
                <w:color w:val="auto"/>
              </w:rPr>
              <w:t>Section 4.1</w:t>
            </w:r>
          </w:p>
        </w:tc>
        <w:tc>
          <w:tcPr>
            <w:tcW w:w="960" w:type="dxa"/>
            <w:vAlign w:val="bottom"/>
          </w:tcPr>
          <w:p>
            <w:pPr>
              <w:ind w:left="40"/>
              <w:spacing w:after="0"/>
              <w:rPr>
                <w:sz w:val="20"/>
                <w:szCs w:val="20"/>
                <w:color w:val="auto"/>
              </w:rPr>
            </w:pPr>
            <w:r>
              <w:rPr>
                <w:rFonts w:ascii="Arial" w:cs="Arial" w:eastAsia="Arial" w:hAnsi="Arial"/>
                <w:sz w:val="22"/>
                <w:szCs w:val="22"/>
                <w:color w:val="auto"/>
              </w:rPr>
              <w:t>Authority</w:t>
            </w:r>
          </w:p>
        </w:tc>
        <w:tc>
          <w:tcPr>
            <w:tcW w:w="500" w:type="dxa"/>
            <w:vAlign w:val="bottom"/>
          </w:tcPr>
          <w:p>
            <w:pPr>
              <w:jc w:val="right"/>
              <w:ind w:right="32"/>
              <w:spacing w:after="0"/>
              <w:rPr>
                <w:sz w:val="20"/>
                <w:szCs w:val="20"/>
                <w:color w:val="auto"/>
              </w:rPr>
            </w:pPr>
            <w:r>
              <w:rPr>
                <w:rFonts w:ascii="Arial" w:cs="Arial" w:eastAsia="Arial" w:hAnsi="Arial"/>
                <w:sz w:val="22"/>
                <w:szCs w:val="22"/>
                <w:color w:val="auto"/>
              </w:rPr>
              <w:t>38</w:t>
            </w:r>
          </w:p>
        </w:tc>
        <w:tc>
          <w:tcPr>
            <w:tcW w:w="420" w:type="dxa"/>
            <w:vAlign w:val="bottom"/>
            <w:vMerge w:val="restart"/>
          </w:tcPr>
          <w:p>
            <w:pPr>
              <w:jc w:val="right"/>
              <w:ind w:right="52"/>
              <w:spacing w:after="0"/>
              <w:rPr>
                <w:sz w:val="20"/>
                <w:szCs w:val="20"/>
                <w:color w:val="auto"/>
              </w:rPr>
            </w:pPr>
            <w:r>
              <w:rPr>
                <w:rFonts w:ascii="Arial" w:cs="Arial" w:eastAsia="Arial" w:hAnsi="Arial"/>
                <w:sz w:val="22"/>
                <w:szCs w:val="22"/>
                <w:color w:val="auto"/>
                <w:w w:val="97"/>
              </w:rPr>
              <w:t>38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4.2</w:t>
            </w:r>
          </w:p>
        </w:tc>
        <w:tc>
          <w:tcPr>
            <w:tcW w:w="14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8"/>
              </w:rPr>
              <w:t>Title to Shares</w:t>
            </w:r>
          </w:p>
        </w:tc>
        <w:tc>
          <w:tcPr>
            <w:tcW w:w="420" w:type="dxa"/>
            <w:vAlign w:val="bottom"/>
            <w:vMerge w:val="continue"/>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4.3</w:t>
            </w:r>
          </w:p>
        </w:tc>
        <w:tc>
          <w:tcPr>
            <w:tcW w:w="188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6"/>
              </w:rPr>
              <w:t>Accredited Investor</w:t>
            </w:r>
          </w:p>
        </w:tc>
        <w:tc>
          <w:tcPr>
            <w:tcW w:w="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4.4</w:t>
            </w:r>
          </w:p>
        </w:tc>
        <w:tc>
          <w:tcPr>
            <w:tcW w:w="7640" w:type="dxa"/>
            <w:vAlign w:val="bottom"/>
            <w:gridSpan w:val="10"/>
          </w:tcPr>
          <w:p>
            <w:pPr>
              <w:ind w:left="40"/>
              <w:spacing w:after="0" w:line="216" w:lineRule="exact"/>
              <w:rPr>
                <w:sz w:val="20"/>
                <w:szCs w:val="20"/>
                <w:color w:val="auto"/>
              </w:rPr>
            </w:pPr>
            <w:r>
              <w:rPr>
                <w:rFonts w:ascii="Arial" w:cs="Arial" w:eastAsia="Arial" w:hAnsi="Arial"/>
                <w:sz w:val="22"/>
                <w:szCs w:val="22"/>
                <w:color w:val="auto"/>
              </w:rPr>
              <w:t>Information; Consultation with Counsel and Advisors  38</w:t>
            </w: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4.5</w:t>
            </w:r>
          </w:p>
        </w:tc>
        <w:tc>
          <w:tcPr>
            <w:tcW w:w="146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Brokers  39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vMerge w:val="restart"/>
          </w:tcPr>
          <w:p>
            <w:pPr>
              <w:jc w:val="right"/>
              <w:ind w:right="3452"/>
              <w:spacing w:after="0"/>
              <w:rPr>
                <w:sz w:val="20"/>
                <w:szCs w:val="20"/>
                <w:color w:val="auto"/>
              </w:rPr>
            </w:pPr>
            <w:r>
              <w:rPr>
                <w:rFonts w:ascii="Arial" w:cs="Arial" w:eastAsia="Arial" w:hAnsi="Arial"/>
                <w:sz w:val="22"/>
                <w:szCs w:val="22"/>
                <w:color w:val="auto"/>
                <w:w w:val="89"/>
              </w:rPr>
              <w:t>39</w:t>
            </w: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4.6</w:t>
            </w:r>
          </w:p>
        </w:tc>
        <w:tc>
          <w:tcPr>
            <w:tcW w:w="3840" w:type="dxa"/>
            <w:vAlign w:val="bottom"/>
            <w:gridSpan w:val="9"/>
          </w:tcPr>
          <w:p>
            <w:pPr>
              <w:ind w:left="40"/>
              <w:spacing w:after="0" w:line="216" w:lineRule="exact"/>
              <w:rPr>
                <w:sz w:val="20"/>
                <w:szCs w:val="20"/>
                <w:color w:val="auto"/>
              </w:rPr>
            </w:pPr>
            <w:r>
              <w:rPr>
                <w:rFonts w:ascii="Arial" w:cs="Arial" w:eastAsia="Arial" w:hAnsi="Arial"/>
                <w:sz w:val="22"/>
                <w:szCs w:val="22"/>
                <w:color w:val="auto"/>
                <w:w w:val="93"/>
              </w:rPr>
              <w:t>Ultimate Parent Entity and Size of Person</w:t>
            </w:r>
          </w:p>
        </w:tc>
        <w:tc>
          <w:tcPr>
            <w:tcW w:w="3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4.7</w:t>
            </w:r>
          </w:p>
        </w:tc>
        <w:tc>
          <w:tcPr>
            <w:tcW w:w="3840" w:type="dxa"/>
            <w:vAlign w:val="bottom"/>
            <w:gridSpan w:val="9"/>
          </w:tcPr>
          <w:p>
            <w:pPr>
              <w:ind w:left="40"/>
              <w:spacing w:after="0" w:line="216" w:lineRule="exact"/>
              <w:rPr>
                <w:sz w:val="20"/>
                <w:szCs w:val="20"/>
                <w:color w:val="auto"/>
              </w:rPr>
            </w:pPr>
            <w:r>
              <w:rPr>
                <w:rFonts w:ascii="Arial" w:cs="Arial" w:eastAsia="Arial" w:hAnsi="Arial"/>
                <w:sz w:val="22"/>
                <w:szCs w:val="22"/>
                <w:color w:val="auto"/>
                <w:w w:val="91"/>
              </w:rPr>
              <w:t>No Other Representations and Warranties</w:t>
            </w:r>
          </w:p>
        </w:tc>
        <w:tc>
          <w:tcPr>
            <w:tcW w:w="3800" w:type="dxa"/>
            <w:vAlign w:val="bottom"/>
          </w:tcPr>
          <w:p>
            <w:pPr>
              <w:jc w:val="right"/>
              <w:ind w:right="3472"/>
              <w:spacing w:after="0" w:line="216" w:lineRule="exact"/>
              <w:rPr>
                <w:sz w:val="20"/>
                <w:szCs w:val="20"/>
                <w:color w:val="auto"/>
              </w:rPr>
            </w:pPr>
            <w:r>
              <w:rPr>
                <w:rFonts w:ascii="Arial" w:cs="Arial" w:eastAsia="Arial" w:hAnsi="Arial"/>
                <w:sz w:val="22"/>
                <w:szCs w:val="22"/>
                <w:color w:val="auto"/>
                <w:w w:val="81"/>
              </w:rPr>
              <w:t>39</w:t>
            </w: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rPr>
              <w:t>Section 4.8</w:t>
            </w:r>
          </w:p>
        </w:tc>
        <w:tc>
          <w:tcPr>
            <w:tcW w:w="2720" w:type="dxa"/>
            <w:vAlign w:val="bottom"/>
            <w:gridSpan w:val="6"/>
          </w:tcPr>
          <w:p>
            <w:pPr>
              <w:ind w:left="40"/>
              <w:spacing w:after="0"/>
              <w:rPr>
                <w:sz w:val="20"/>
                <w:szCs w:val="20"/>
                <w:color w:val="auto"/>
              </w:rPr>
            </w:pPr>
            <w:r>
              <w:rPr>
                <w:rFonts w:ascii="Arial" w:cs="Arial" w:eastAsia="Arial" w:hAnsi="Arial"/>
                <w:sz w:val="22"/>
                <w:szCs w:val="22"/>
                <w:color w:val="auto"/>
                <w:w w:val="98"/>
              </w:rPr>
              <w:t>Limited Reliance Disclaimer</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w w:val="89"/>
              </w:rPr>
              <w:t>40</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9000" w:type="dxa"/>
            <w:vAlign w:val="bottom"/>
            <w:gridSpan w:val="11"/>
          </w:tcPr>
          <w:p>
            <w:pPr>
              <w:spacing w:after="0"/>
              <w:rPr>
                <w:sz w:val="20"/>
                <w:szCs w:val="20"/>
                <w:color w:val="auto"/>
              </w:rPr>
            </w:pPr>
            <w:r>
              <w:rPr>
                <w:rFonts w:ascii="Arial" w:cs="Arial" w:eastAsia="Arial" w:hAnsi="Arial"/>
                <w:sz w:val="22"/>
                <w:szCs w:val="22"/>
                <w:color w:val="auto"/>
                <w:w w:val="94"/>
              </w:rPr>
              <w:t>ARTICLE V REPRESENTATIONS AND WARRANTIES OF ACQUIROR AND MERGER SUB  40</w:t>
            </w: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5.1</w:t>
            </w:r>
          </w:p>
        </w:tc>
        <w:tc>
          <w:tcPr>
            <w:tcW w:w="2720" w:type="dxa"/>
            <w:vAlign w:val="bottom"/>
            <w:gridSpan w:val="6"/>
          </w:tcPr>
          <w:p>
            <w:pPr>
              <w:ind w:left="40"/>
              <w:spacing w:after="0"/>
              <w:rPr>
                <w:sz w:val="20"/>
                <w:szCs w:val="20"/>
                <w:color w:val="auto"/>
              </w:rPr>
            </w:pPr>
            <w:r>
              <w:rPr>
                <w:rFonts w:ascii="Arial" w:cs="Arial" w:eastAsia="Arial" w:hAnsi="Arial"/>
                <w:sz w:val="22"/>
                <w:szCs w:val="22"/>
                <w:color w:val="auto"/>
                <w:w w:val="90"/>
              </w:rPr>
              <w:t>Organization and Qualification</w:t>
            </w:r>
          </w:p>
        </w:tc>
        <w:tc>
          <w:tcPr>
            <w:tcW w:w="460" w:type="dxa"/>
            <w:vAlign w:val="bottom"/>
          </w:tcPr>
          <w:p>
            <w:pPr>
              <w:jc w:val="right"/>
              <w:spacing w:after="0"/>
              <w:rPr>
                <w:sz w:val="20"/>
                <w:szCs w:val="20"/>
                <w:color w:val="auto"/>
              </w:rPr>
            </w:pPr>
            <w:r>
              <w:rPr>
                <w:rFonts w:ascii="Arial" w:cs="Arial" w:eastAsia="Arial" w:hAnsi="Arial"/>
                <w:sz w:val="22"/>
                <w:szCs w:val="22"/>
                <w:color w:val="auto"/>
              </w:rPr>
              <w:t>40</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5.2</w:t>
            </w:r>
          </w:p>
        </w:tc>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Authority</w:t>
            </w:r>
          </w:p>
        </w:tc>
        <w:tc>
          <w:tcPr>
            <w:tcW w:w="50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vMerge w:val="restart"/>
          </w:tcPr>
          <w:p>
            <w:pPr>
              <w:jc w:val="right"/>
              <w:ind w:right="32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5.3</w:t>
            </w:r>
          </w:p>
        </w:tc>
        <w:tc>
          <w:tcPr>
            <w:tcW w:w="3840" w:type="dxa"/>
            <w:vAlign w:val="bottom"/>
            <w:gridSpan w:val="9"/>
          </w:tcPr>
          <w:p>
            <w:pPr>
              <w:ind w:left="40"/>
              <w:spacing w:after="0" w:line="216" w:lineRule="exact"/>
              <w:rPr>
                <w:sz w:val="20"/>
                <w:szCs w:val="20"/>
                <w:color w:val="auto"/>
              </w:rPr>
            </w:pPr>
            <w:r>
              <w:rPr>
                <w:rFonts w:ascii="Arial" w:cs="Arial" w:eastAsia="Arial" w:hAnsi="Arial"/>
                <w:sz w:val="22"/>
                <w:szCs w:val="22"/>
                <w:color w:val="auto"/>
                <w:w w:val="89"/>
              </w:rPr>
              <w:t>No Conflict; Required Filings and Consents</w:t>
            </w:r>
          </w:p>
        </w:tc>
        <w:tc>
          <w:tcPr>
            <w:tcW w:w="3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5.4</w:t>
            </w:r>
          </w:p>
        </w:tc>
        <w:tc>
          <w:tcPr>
            <w:tcW w:w="146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Capitalization</w:t>
            </w:r>
          </w:p>
        </w:tc>
        <w:tc>
          <w:tcPr>
            <w:tcW w:w="420" w:type="dxa"/>
            <w:vAlign w:val="bottom"/>
          </w:tcPr>
          <w:p>
            <w:pPr>
              <w:spacing w:after="0" w:line="216" w:lineRule="exact"/>
              <w:rPr>
                <w:sz w:val="20"/>
                <w:szCs w:val="20"/>
                <w:color w:val="auto"/>
              </w:rPr>
            </w:pPr>
            <w:r>
              <w:rPr>
                <w:rFonts w:ascii="Arial" w:cs="Arial" w:eastAsia="Arial" w:hAnsi="Arial"/>
                <w:sz w:val="22"/>
                <w:szCs w:val="22"/>
                <w:color w:val="auto"/>
              </w:rPr>
              <w:t>41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5.5</w:t>
            </w:r>
          </w:p>
        </w:tc>
        <w:tc>
          <w:tcPr>
            <w:tcW w:w="7640" w:type="dxa"/>
            <w:vAlign w:val="bottom"/>
            <w:gridSpan w:val="10"/>
          </w:tcPr>
          <w:p>
            <w:pPr>
              <w:ind w:left="40"/>
              <w:spacing w:after="0" w:line="216" w:lineRule="exact"/>
              <w:rPr>
                <w:sz w:val="20"/>
                <w:szCs w:val="20"/>
                <w:color w:val="auto"/>
              </w:rPr>
            </w:pPr>
            <w:r>
              <w:rPr>
                <w:rFonts w:ascii="Arial" w:cs="Arial" w:eastAsia="Arial" w:hAnsi="Arial"/>
                <w:sz w:val="22"/>
                <w:szCs w:val="22"/>
                <w:color w:val="auto"/>
              </w:rPr>
              <w:t>Acquiror Public Documents; Financial Statements  42</w:t>
            </w: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5.6</w:t>
            </w:r>
          </w:p>
        </w:tc>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Litigation</w:t>
            </w:r>
          </w:p>
        </w:tc>
        <w:tc>
          <w:tcPr>
            <w:tcW w:w="50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vMerge w:val="restart"/>
          </w:tcPr>
          <w:p>
            <w:pPr>
              <w:jc w:val="right"/>
              <w:ind w:right="132"/>
              <w:spacing w:after="0"/>
              <w:rPr>
                <w:sz w:val="20"/>
                <w:szCs w:val="20"/>
                <w:color w:val="auto"/>
              </w:rPr>
            </w:pPr>
            <w:r>
              <w:rPr>
                <w:rFonts w:ascii="Arial" w:cs="Arial" w:eastAsia="Arial" w:hAnsi="Arial"/>
                <w:sz w:val="22"/>
                <w:szCs w:val="22"/>
                <w:color w:val="auto"/>
                <w:w w:val="81"/>
              </w:rPr>
              <w:t>43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5.7</w:t>
            </w:r>
          </w:p>
        </w:tc>
        <w:tc>
          <w:tcPr>
            <w:tcW w:w="2720" w:type="dxa"/>
            <w:vAlign w:val="bottom"/>
            <w:gridSpan w:val="6"/>
          </w:tcPr>
          <w:p>
            <w:pPr>
              <w:ind w:left="40"/>
              <w:spacing w:after="0" w:line="216" w:lineRule="exact"/>
              <w:rPr>
                <w:sz w:val="20"/>
                <w:szCs w:val="20"/>
                <w:color w:val="auto"/>
              </w:rPr>
            </w:pPr>
            <w:r>
              <w:rPr>
                <w:rFonts w:ascii="Arial" w:cs="Arial" w:eastAsia="Arial" w:hAnsi="Arial"/>
                <w:sz w:val="22"/>
                <w:szCs w:val="22"/>
                <w:color w:val="auto"/>
                <w:w w:val="94"/>
              </w:rPr>
              <w:t>Absence of Certain Changes</w:t>
            </w:r>
          </w:p>
        </w:tc>
        <w:tc>
          <w:tcPr>
            <w:tcW w:w="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5.8</w:t>
            </w:r>
          </w:p>
        </w:tc>
        <w:tc>
          <w:tcPr>
            <w:tcW w:w="1880" w:type="dxa"/>
            <w:vAlign w:val="bottom"/>
            <w:gridSpan w:val="3"/>
          </w:tcPr>
          <w:p>
            <w:pPr>
              <w:ind w:left="40"/>
              <w:spacing w:after="0" w:line="216" w:lineRule="exact"/>
              <w:rPr>
                <w:sz w:val="20"/>
                <w:szCs w:val="20"/>
                <w:color w:val="auto"/>
              </w:rPr>
            </w:pPr>
            <w:r>
              <w:rPr>
                <w:rFonts w:ascii="Arial" w:cs="Arial" w:eastAsia="Arial" w:hAnsi="Arial"/>
                <w:sz w:val="22"/>
                <w:szCs w:val="22"/>
                <w:color w:val="auto"/>
              </w:rPr>
              <w:t>No Prior Activities</w:t>
            </w:r>
          </w:p>
        </w:tc>
        <w:tc>
          <w:tcPr>
            <w:tcW w:w="340" w:type="dxa"/>
            <w:vAlign w:val="bottom"/>
          </w:tcPr>
          <w:p>
            <w:pPr>
              <w:jc w:val="right"/>
              <w:spacing w:after="0" w:line="216" w:lineRule="exact"/>
              <w:rPr>
                <w:sz w:val="20"/>
                <w:szCs w:val="20"/>
                <w:color w:val="auto"/>
              </w:rPr>
            </w:pPr>
            <w:r>
              <w:rPr>
                <w:rFonts w:ascii="Arial" w:cs="Arial" w:eastAsia="Arial" w:hAnsi="Arial"/>
                <w:sz w:val="22"/>
                <w:szCs w:val="22"/>
                <w:color w:val="auto"/>
                <w:w w:val="89"/>
              </w:rPr>
              <w:t>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5.9</w:t>
            </w:r>
          </w:p>
        </w:tc>
        <w:tc>
          <w:tcPr>
            <w:tcW w:w="188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1"/>
              </w:rPr>
              <w:t>Sufficiency of Funds</w:t>
            </w:r>
          </w:p>
        </w:tc>
        <w:tc>
          <w:tcPr>
            <w:tcW w:w="580" w:type="dxa"/>
            <w:vAlign w:val="bottom"/>
            <w:gridSpan w:val="2"/>
          </w:tcPr>
          <w:p>
            <w:pPr>
              <w:jc w:val="right"/>
              <w:ind w:right="72"/>
              <w:spacing w:after="0" w:line="216" w:lineRule="exact"/>
              <w:rPr>
                <w:sz w:val="20"/>
                <w:szCs w:val="20"/>
                <w:color w:val="auto"/>
              </w:rPr>
            </w:pPr>
            <w:r>
              <w:rPr>
                <w:rFonts w:ascii="Arial" w:cs="Arial" w:eastAsia="Arial" w:hAnsi="Arial"/>
                <w:sz w:val="22"/>
                <w:szCs w:val="22"/>
                <w:color w:val="auto"/>
              </w:rPr>
              <w:t>43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5.10</w:t>
            </w:r>
          </w:p>
        </w:tc>
        <w:tc>
          <w:tcPr>
            <w:tcW w:w="960" w:type="dxa"/>
            <w:vAlign w:val="bottom"/>
          </w:tcPr>
          <w:p>
            <w:pPr>
              <w:ind w:left="140"/>
              <w:spacing w:after="0" w:line="216" w:lineRule="exact"/>
              <w:rPr>
                <w:sz w:val="20"/>
                <w:szCs w:val="20"/>
                <w:color w:val="auto"/>
              </w:rPr>
            </w:pPr>
            <w:r>
              <w:rPr>
                <w:rFonts w:ascii="Arial" w:cs="Arial" w:eastAsia="Arial" w:hAnsi="Arial"/>
                <w:sz w:val="22"/>
                <w:szCs w:val="22"/>
                <w:color w:val="auto"/>
              </w:rPr>
              <w:t>Brokers</w:t>
            </w:r>
          </w:p>
        </w:tc>
        <w:tc>
          <w:tcPr>
            <w:tcW w:w="500" w:type="dxa"/>
            <w:vAlign w:val="bottom"/>
          </w:tcPr>
          <w:p>
            <w:pPr>
              <w:jc w:val="right"/>
              <w:ind w:right="92"/>
              <w:spacing w:after="0" w:line="216" w:lineRule="exact"/>
              <w:rPr>
                <w:sz w:val="20"/>
                <w:szCs w:val="20"/>
                <w:color w:val="auto"/>
              </w:rPr>
            </w:pPr>
            <w:r>
              <w:rPr>
                <w:rFonts w:ascii="Arial" w:cs="Arial" w:eastAsia="Arial" w:hAnsi="Arial"/>
                <w:sz w:val="22"/>
                <w:szCs w:val="22"/>
                <w:color w:val="auto"/>
              </w:rPr>
              <w:t>43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color w:val="auto"/>
                <w:w w:val="81"/>
              </w:rPr>
              <w:t>43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5.11</w:t>
            </w:r>
          </w:p>
        </w:tc>
        <w:tc>
          <w:tcPr>
            <w:tcW w:w="2460" w:type="dxa"/>
            <w:vAlign w:val="bottom"/>
            <w:gridSpan w:val="5"/>
          </w:tcPr>
          <w:p>
            <w:pPr>
              <w:ind w:left="140"/>
              <w:spacing w:after="0" w:line="216" w:lineRule="exact"/>
              <w:rPr>
                <w:sz w:val="20"/>
                <w:szCs w:val="20"/>
                <w:color w:val="auto"/>
              </w:rPr>
            </w:pPr>
            <w:r>
              <w:rPr>
                <w:rFonts w:ascii="Arial" w:cs="Arial" w:eastAsia="Arial" w:hAnsi="Arial"/>
                <w:sz w:val="22"/>
                <w:szCs w:val="22"/>
                <w:color w:val="auto"/>
              </w:rPr>
              <w:t>Acquiror’s Investigation</w:t>
            </w:r>
          </w:p>
        </w:tc>
        <w:tc>
          <w:tcPr>
            <w:tcW w:w="2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vMerge w:val="restart"/>
          </w:tcPr>
          <w:p>
            <w:pPr>
              <w:jc w:val="right"/>
              <w:ind w:right="3352"/>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w w:val="91"/>
              </w:rPr>
              <w:t>Section 5.12</w:t>
            </w:r>
          </w:p>
        </w:tc>
        <w:tc>
          <w:tcPr>
            <w:tcW w:w="3840" w:type="dxa"/>
            <w:vAlign w:val="bottom"/>
            <w:gridSpan w:val="9"/>
          </w:tcPr>
          <w:p>
            <w:pPr>
              <w:ind w:left="140"/>
              <w:spacing w:after="0" w:line="216" w:lineRule="exact"/>
              <w:rPr>
                <w:sz w:val="20"/>
                <w:szCs w:val="20"/>
                <w:color w:val="auto"/>
              </w:rPr>
            </w:pPr>
            <w:r>
              <w:rPr>
                <w:rFonts w:ascii="Arial" w:cs="Arial" w:eastAsia="Arial" w:hAnsi="Arial"/>
                <w:sz w:val="22"/>
                <w:szCs w:val="22"/>
                <w:color w:val="auto"/>
                <w:w w:val="89"/>
              </w:rPr>
              <w:t>No Other Representations and Warranties</w:t>
            </w:r>
          </w:p>
        </w:tc>
        <w:tc>
          <w:tcPr>
            <w:tcW w:w="3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w w:val="91"/>
              </w:rPr>
              <w:t>Section 5.13</w:t>
            </w:r>
          </w:p>
        </w:tc>
        <w:tc>
          <w:tcPr>
            <w:tcW w:w="2720" w:type="dxa"/>
            <w:vAlign w:val="bottom"/>
            <w:gridSpan w:val="6"/>
          </w:tcPr>
          <w:p>
            <w:pPr>
              <w:ind w:left="140"/>
              <w:spacing w:after="0"/>
              <w:rPr>
                <w:sz w:val="20"/>
                <w:szCs w:val="20"/>
                <w:color w:val="auto"/>
              </w:rPr>
            </w:pPr>
            <w:r>
              <w:rPr>
                <w:rFonts w:ascii="Arial" w:cs="Arial" w:eastAsia="Arial" w:hAnsi="Arial"/>
                <w:sz w:val="22"/>
                <w:szCs w:val="22"/>
                <w:color w:val="auto"/>
                <w:w w:val="94"/>
              </w:rPr>
              <w:t>Limited Reliance Disclaimer</w:t>
            </w:r>
          </w:p>
        </w:tc>
        <w:tc>
          <w:tcPr>
            <w:tcW w:w="460" w:type="dxa"/>
            <w:vAlign w:val="bottom"/>
          </w:tcPr>
          <w:p>
            <w:pPr>
              <w:jc w:val="right"/>
              <w:spacing w:after="0"/>
              <w:rPr>
                <w:sz w:val="20"/>
                <w:szCs w:val="20"/>
                <w:color w:val="auto"/>
              </w:rPr>
            </w:pPr>
            <w:r>
              <w:rPr>
                <w:rFonts w:ascii="Arial" w:cs="Arial" w:eastAsia="Arial" w:hAnsi="Arial"/>
                <w:sz w:val="22"/>
                <w:szCs w:val="22"/>
                <w:color w:val="auto"/>
              </w:rPr>
              <w:t>44</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240" w:type="dxa"/>
            <w:vAlign w:val="bottom"/>
            <w:gridSpan w:val="4"/>
          </w:tcPr>
          <w:p>
            <w:pPr>
              <w:spacing w:after="0"/>
              <w:rPr>
                <w:sz w:val="20"/>
                <w:szCs w:val="20"/>
                <w:color w:val="auto"/>
              </w:rPr>
            </w:pPr>
            <w:r>
              <w:rPr>
                <w:rFonts w:ascii="Arial" w:cs="Arial" w:eastAsia="Arial" w:hAnsi="Arial"/>
                <w:sz w:val="22"/>
                <w:szCs w:val="22"/>
                <w:color w:val="auto"/>
              </w:rPr>
              <w:t>ARTICLE VI COVENANTS  44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6.1</w:t>
            </w:r>
          </w:p>
        </w:tc>
        <w:tc>
          <w:tcPr>
            <w:tcW w:w="3180" w:type="dxa"/>
            <w:vAlign w:val="bottom"/>
            <w:gridSpan w:val="7"/>
          </w:tcPr>
          <w:p>
            <w:pPr>
              <w:ind w:left="40"/>
              <w:spacing w:after="0"/>
              <w:rPr>
                <w:sz w:val="20"/>
                <w:szCs w:val="20"/>
                <w:color w:val="auto"/>
              </w:rPr>
            </w:pPr>
            <w:r>
              <w:rPr>
                <w:rFonts w:ascii="Arial" w:cs="Arial" w:eastAsia="Arial" w:hAnsi="Arial"/>
                <w:sz w:val="22"/>
                <w:szCs w:val="22"/>
                <w:color w:val="auto"/>
                <w:w w:val="94"/>
              </w:rPr>
              <w:t>Covenants Regarding Information</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44</w:t>
            </w: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6.2</w:t>
            </w:r>
          </w:p>
        </w:tc>
        <w:tc>
          <w:tcPr>
            <w:tcW w:w="188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9"/>
              </w:rPr>
              <w:t>Employee Benefits</w:t>
            </w:r>
          </w:p>
        </w:tc>
        <w:tc>
          <w:tcPr>
            <w:tcW w:w="340" w:type="dxa"/>
            <w:vAlign w:val="bottom"/>
          </w:tcPr>
          <w:p>
            <w:pPr>
              <w:jc w:val="right"/>
              <w:spacing w:after="0" w:line="216" w:lineRule="exact"/>
              <w:rPr>
                <w:sz w:val="20"/>
                <w:szCs w:val="20"/>
                <w:color w:val="auto"/>
              </w:rPr>
            </w:pPr>
            <w:r>
              <w:rPr>
                <w:rFonts w:ascii="Arial" w:cs="Arial" w:eastAsia="Arial" w:hAnsi="Arial"/>
                <w:sz w:val="22"/>
                <w:szCs w:val="22"/>
                <w:color w:val="auto"/>
                <w:w w:val="89"/>
              </w:rPr>
              <w:t>44</w:t>
            </w:r>
          </w:p>
        </w:tc>
        <w:tc>
          <w:tcPr>
            <w:tcW w:w="50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w w:val="97"/>
              </w:rPr>
              <w:t>45</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6.3</w:t>
            </w:r>
          </w:p>
        </w:tc>
        <w:tc>
          <w:tcPr>
            <w:tcW w:w="222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5"/>
              </w:rPr>
              <w:t>Public Announcements</w:t>
            </w:r>
          </w:p>
        </w:tc>
        <w:tc>
          <w:tcPr>
            <w:tcW w:w="5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6"/>
          </w:tcPr>
          <w:p>
            <w:pPr>
              <w:ind w:left="220"/>
              <w:spacing w:after="0" w:line="216" w:lineRule="exact"/>
              <w:rPr>
                <w:sz w:val="20"/>
                <w:szCs w:val="20"/>
                <w:color w:val="auto"/>
              </w:rPr>
            </w:pPr>
            <w:r>
              <w:rPr>
                <w:rFonts w:ascii="Arial" w:cs="Arial" w:eastAsia="Arial" w:hAnsi="Arial"/>
                <w:sz w:val="22"/>
                <w:szCs w:val="22"/>
                <w:color w:val="auto"/>
                <w:w w:val="97"/>
              </w:rPr>
              <w:t>Section 6.4  Intentionally Omitted.  45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6.5</w:t>
            </w:r>
          </w:p>
        </w:tc>
        <w:tc>
          <w:tcPr>
            <w:tcW w:w="14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0"/>
              </w:rPr>
              <w:t>R&amp;W Insurance</w:t>
            </w:r>
          </w:p>
        </w:tc>
        <w:tc>
          <w:tcPr>
            <w:tcW w:w="420" w:type="dxa"/>
            <w:vAlign w:val="bottom"/>
          </w:tcPr>
          <w:p>
            <w:pPr>
              <w:jc w:val="right"/>
              <w:spacing w:after="0" w:line="216" w:lineRule="exact"/>
              <w:rPr>
                <w:sz w:val="20"/>
                <w:szCs w:val="20"/>
                <w:color w:val="auto"/>
              </w:rPr>
            </w:pPr>
            <w:r>
              <w:rPr>
                <w:rFonts w:ascii="Arial" w:cs="Arial" w:eastAsia="Arial" w:hAnsi="Arial"/>
                <w:sz w:val="22"/>
                <w:szCs w:val="22"/>
                <w:color w:val="auto"/>
              </w:rPr>
              <w:t>45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6.6</w:t>
            </w:r>
          </w:p>
        </w:tc>
        <w:tc>
          <w:tcPr>
            <w:tcW w:w="960" w:type="dxa"/>
            <w:vAlign w:val="bottom"/>
          </w:tcPr>
          <w:p>
            <w:pPr>
              <w:ind w:left="40"/>
              <w:spacing w:after="0" w:line="216" w:lineRule="exact"/>
              <w:rPr>
                <w:sz w:val="20"/>
                <w:szCs w:val="20"/>
                <w:color w:val="auto"/>
              </w:rPr>
            </w:pPr>
            <w:r>
              <w:rPr>
                <w:rFonts w:ascii="Arial" w:cs="Arial" w:eastAsia="Arial" w:hAnsi="Arial"/>
                <w:sz w:val="22"/>
                <w:szCs w:val="22"/>
                <w:color w:val="auto"/>
              </w:rPr>
              <w:t>Release.</w:t>
            </w:r>
          </w:p>
        </w:tc>
        <w:tc>
          <w:tcPr>
            <w:tcW w:w="500" w:type="dxa"/>
            <w:vAlign w:val="bottom"/>
          </w:tcPr>
          <w:p>
            <w:pPr>
              <w:jc w:val="right"/>
              <w:ind w:right="152"/>
              <w:spacing w:after="0" w:line="216" w:lineRule="exact"/>
              <w:rPr>
                <w:sz w:val="20"/>
                <w:szCs w:val="20"/>
                <w:color w:val="auto"/>
              </w:rPr>
            </w:pPr>
            <w:r>
              <w:rPr>
                <w:rFonts w:ascii="Arial" w:cs="Arial" w:eastAsia="Arial" w:hAnsi="Arial"/>
                <w:sz w:val="22"/>
                <w:szCs w:val="22"/>
                <w:color w:val="auto"/>
                <w:w w:val="89"/>
              </w:rPr>
              <w:t>46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47</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6.7</w:t>
            </w:r>
          </w:p>
        </w:tc>
        <w:tc>
          <w:tcPr>
            <w:tcW w:w="3180" w:type="dxa"/>
            <w:vAlign w:val="bottom"/>
            <w:gridSpan w:val="7"/>
          </w:tcPr>
          <w:p>
            <w:pPr>
              <w:ind w:left="40"/>
              <w:spacing w:after="0" w:line="216" w:lineRule="exact"/>
              <w:rPr>
                <w:sz w:val="20"/>
                <w:szCs w:val="20"/>
                <w:color w:val="auto"/>
              </w:rPr>
            </w:pPr>
            <w:r>
              <w:rPr>
                <w:rFonts w:ascii="Arial" w:cs="Arial" w:eastAsia="Arial" w:hAnsi="Arial"/>
                <w:sz w:val="22"/>
                <w:szCs w:val="22"/>
                <w:color w:val="auto"/>
                <w:w w:val="94"/>
              </w:rPr>
              <w:t>Non-Competition; Non-Solicitation</w:t>
            </w:r>
          </w:p>
        </w:tc>
        <w:tc>
          <w:tcPr>
            <w:tcW w:w="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rPr>
              <w:t>Section 6.8</w:t>
            </w:r>
          </w:p>
        </w:tc>
        <w:tc>
          <w:tcPr>
            <w:tcW w:w="2720" w:type="dxa"/>
            <w:vAlign w:val="bottom"/>
            <w:gridSpan w:val="6"/>
          </w:tcPr>
          <w:p>
            <w:pPr>
              <w:ind w:left="40"/>
              <w:spacing w:after="0"/>
              <w:rPr>
                <w:sz w:val="20"/>
                <w:szCs w:val="20"/>
                <w:color w:val="auto"/>
              </w:rPr>
            </w:pPr>
            <w:r>
              <w:rPr>
                <w:rFonts w:ascii="Arial" w:cs="Arial" w:eastAsia="Arial" w:hAnsi="Arial"/>
                <w:sz w:val="22"/>
                <w:szCs w:val="22"/>
                <w:color w:val="auto"/>
                <w:w w:val="98"/>
              </w:rPr>
              <w:t>Post-Closing Confidentiality</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47</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820" w:type="dxa"/>
            <w:vAlign w:val="bottom"/>
            <w:gridSpan w:val="3"/>
          </w:tcPr>
          <w:p>
            <w:pPr>
              <w:spacing w:after="0"/>
              <w:rPr>
                <w:sz w:val="20"/>
                <w:szCs w:val="20"/>
                <w:color w:val="auto"/>
              </w:rPr>
            </w:pPr>
            <w:r>
              <w:rPr>
                <w:rFonts w:ascii="Arial" w:cs="Arial" w:eastAsia="Arial" w:hAnsi="Arial"/>
                <w:sz w:val="22"/>
                <w:szCs w:val="22"/>
                <w:color w:val="auto"/>
                <w:w w:val="97"/>
              </w:rPr>
              <w:t>ARTICLE VII TAX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48</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7.1</w:t>
            </w:r>
          </w:p>
        </w:tc>
        <w:tc>
          <w:tcPr>
            <w:tcW w:w="1880" w:type="dxa"/>
            <w:vAlign w:val="bottom"/>
            <w:gridSpan w:val="3"/>
          </w:tcPr>
          <w:p>
            <w:pPr>
              <w:ind w:left="40"/>
              <w:spacing w:after="0"/>
              <w:rPr>
                <w:sz w:val="20"/>
                <w:szCs w:val="20"/>
                <w:color w:val="auto"/>
              </w:rPr>
            </w:pPr>
            <w:r>
              <w:rPr>
                <w:rFonts w:ascii="Arial" w:cs="Arial" w:eastAsia="Arial" w:hAnsi="Arial"/>
                <w:sz w:val="22"/>
                <w:szCs w:val="22"/>
                <w:color w:val="auto"/>
                <w:w w:val="97"/>
              </w:rPr>
              <w:t>Return Preparation</w:t>
            </w:r>
          </w:p>
        </w:tc>
        <w:tc>
          <w:tcPr>
            <w:tcW w:w="340" w:type="dxa"/>
            <w:vAlign w:val="bottom"/>
          </w:tcPr>
          <w:p>
            <w:pPr>
              <w:jc w:val="right"/>
              <w:ind w:right="12"/>
              <w:spacing w:after="0"/>
              <w:rPr>
                <w:sz w:val="20"/>
                <w:szCs w:val="20"/>
                <w:color w:val="auto"/>
              </w:rPr>
            </w:pPr>
            <w:r>
              <w:rPr>
                <w:rFonts w:ascii="Arial" w:cs="Arial" w:eastAsia="Arial" w:hAnsi="Arial"/>
                <w:sz w:val="22"/>
                <w:szCs w:val="22"/>
                <w:color w:val="auto"/>
                <w:w w:val="81"/>
              </w:rPr>
              <w:t>48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7.2</w:t>
            </w:r>
          </w:p>
        </w:tc>
        <w:tc>
          <w:tcPr>
            <w:tcW w:w="960" w:type="dxa"/>
            <w:vAlign w:val="bottom"/>
          </w:tcPr>
          <w:p>
            <w:pPr>
              <w:ind w:left="40"/>
              <w:spacing w:after="0" w:line="216" w:lineRule="exact"/>
              <w:rPr>
                <w:sz w:val="20"/>
                <w:szCs w:val="20"/>
                <w:color w:val="auto"/>
              </w:rPr>
            </w:pPr>
            <w:r>
              <w:rPr>
                <w:rFonts w:ascii="Arial" w:cs="Arial" w:eastAsia="Arial" w:hAnsi="Arial"/>
                <w:sz w:val="22"/>
                <w:szCs w:val="22"/>
                <w:color w:val="auto"/>
                <w:w w:val="94"/>
              </w:rPr>
              <w:t>Allocation</w:t>
            </w:r>
          </w:p>
        </w:tc>
        <w:tc>
          <w:tcPr>
            <w:tcW w:w="500" w:type="dxa"/>
            <w:vAlign w:val="bottom"/>
          </w:tcPr>
          <w:p>
            <w:pPr>
              <w:jc w:val="right"/>
              <w:spacing w:after="0" w:line="216" w:lineRule="exact"/>
              <w:rPr>
                <w:sz w:val="20"/>
                <w:szCs w:val="20"/>
                <w:color w:val="auto"/>
              </w:rPr>
            </w:pPr>
            <w:r>
              <w:rPr>
                <w:rFonts w:ascii="Arial" w:cs="Arial" w:eastAsia="Arial" w:hAnsi="Arial"/>
                <w:sz w:val="22"/>
                <w:szCs w:val="22"/>
                <w:color w:val="auto"/>
              </w:rPr>
              <w:t>48</w:t>
            </w:r>
          </w:p>
        </w:tc>
        <w:tc>
          <w:tcPr>
            <w:tcW w:w="420" w:type="dxa"/>
            <w:vAlign w:val="bottom"/>
            <w:vMerge w:val="restart"/>
          </w:tcPr>
          <w:p>
            <w:pPr>
              <w:jc w:val="right"/>
              <w:ind w:right="32"/>
              <w:spacing w:after="0"/>
              <w:rPr>
                <w:sz w:val="20"/>
                <w:szCs w:val="20"/>
                <w:color w:val="auto"/>
              </w:rPr>
            </w:pPr>
            <w:r>
              <w:rPr>
                <w:rFonts w:ascii="Arial" w:cs="Arial" w:eastAsia="Arial" w:hAnsi="Arial"/>
                <w:sz w:val="22"/>
                <w:szCs w:val="22"/>
                <w:color w:val="auto"/>
              </w:rPr>
              <w:t>49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7.3</w:t>
            </w:r>
          </w:p>
        </w:tc>
        <w:tc>
          <w:tcPr>
            <w:tcW w:w="14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4"/>
              </w:rPr>
              <w:t>Transfer Taxes</w:t>
            </w:r>
          </w:p>
        </w:tc>
        <w:tc>
          <w:tcPr>
            <w:tcW w:w="4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vMerge w:val="restart"/>
          </w:tcPr>
          <w:p>
            <w:pPr>
              <w:jc w:val="right"/>
              <w:ind w:right="172"/>
              <w:spacing w:after="0"/>
              <w:rPr>
                <w:sz w:val="20"/>
                <w:szCs w:val="20"/>
                <w:color w:val="auto"/>
              </w:rPr>
            </w:pPr>
            <w:r>
              <w:rPr>
                <w:rFonts w:ascii="Arial" w:cs="Arial" w:eastAsia="Arial" w:hAnsi="Arial"/>
                <w:sz w:val="22"/>
                <w:szCs w:val="22"/>
                <w:color w:val="auto"/>
              </w:rPr>
              <w:t>49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7.4</w:t>
            </w:r>
          </w:p>
        </w:tc>
        <w:tc>
          <w:tcPr>
            <w:tcW w:w="24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88"/>
              </w:rPr>
              <w:t>Cooperation on Tax Matters</w:t>
            </w:r>
          </w:p>
        </w:tc>
        <w:tc>
          <w:tcPr>
            <w:tcW w:w="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7.5</w:t>
            </w:r>
          </w:p>
        </w:tc>
        <w:tc>
          <w:tcPr>
            <w:tcW w:w="222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1"/>
              </w:rPr>
              <w:t>Intended Tax Treatment</w:t>
            </w:r>
          </w:p>
        </w:tc>
        <w:tc>
          <w:tcPr>
            <w:tcW w:w="500" w:type="dxa"/>
            <w:vAlign w:val="bottom"/>
            <w:gridSpan w:val="2"/>
          </w:tcPr>
          <w:p>
            <w:pPr>
              <w:jc w:val="right"/>
              <w:ind w:right="72"/>
              <w:spacing w:after="0" w:line="216" w:lineRule="exact"/>
              <w:rPr>
                <w:sz w:val="20"/>
                <w:szCs w:val="20"/>
                <w:color w:val="auto"/>
              </w:rPr>
            </w:pPr>
            <w:r>
              <w:rPr>
                <w:rFonts w:ascii="Arial" w:cs="Arial" w:eastAsia="Arial" w:hAnsi="Arial"/>
                <w:sz w:val="22"/>
                <w:szCs w:val="22"/>
                <w:color w:val="auto"/>
              </w:rPr>
              <w:t>49</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7.6</w:t>
            </w:r>
          </w:p>
        </w:tc>
        <w:tc>
          <w:tcPr>
            <w:tcW w:w="188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89"/>
              </w:rPr>
              <w:t>Post-Closing Actions</w:t>
            </w:r>
          </w:p>
        </w:tc>
        <w:tc>
          <w:tcPr>
            <w:tcW w:w="580" w:type="dxa"/>
            <w:vAlign w:val="bottom"/>
            <w:gridSpan w:val="2"/>
          </w:tcPr>
          <w:p>
            <w:pPr>
              <w:jc w:val="right"/>
              <w:ind w:right="32"/>
              <w:spacing w:after="0" w:line="216" w:lineRule="exact"/>
              <w:rPr>
                <w:sz w:val="20"/>
                <w:szCs w:val="20"/>
                <w:color w:val="auto"/>
              </w:rPr>
            </w:pPr>
            <w:r>
              <w:rPr>
                <w:rFonts w:ascii="Arial" w:cs="Arial" w:eastAsia="Arial" w:hAnsi="Arial"/>
                <w:sz w:val="22"/>
                <w:szCs w:val="22"/>
                <w:color w:val="auto"/>
              </w:rPr>
              <w:t>49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50</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rPr>
              <w:t>Section 7.7</w:t>
            </w:r>
          </w:p>
        </w:tc>
        <w:tc>
          <w:tcPr>
            <w:tcW w:w="3180" w:type="dxa"/>
            <w:vAlign w:val="bottom"/>
            <w:gridSpan w:val="7"/>
          </w:tcPr>
          <w:p>
            <w:pPr>
              <w:ind w:left="40"/>
              <w:spacing w:after="0"/>
              <w:rPr>
                <w:sz w:val="20"/>
                <w:szCs w:val="20"/>
                <w:color w:val="auto"/>
              </w:rPr>
            </w:pPr>
            <w:r>
              <w:rPr>
                <w:rFonts w:ascii="Arial" w:cs="Arial" w:eastAsia="Arial" w:hAnsi="Arial"/>
                <w:sz w:val="22"/>
                <w:szCs w:val="22"/>
                <w:color w:val="auto"/>
                <w:w w:val="92"/>
              </w:rPr>
              <w:t>Merger Consideration Adjustments</w:t>
            </w:r>
          </w:p>
        </w:tc>
        <w:tc>
          <w:tcPr>
            <w:tcW w:w="3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820" w:type="dxa"/>
            <w:vAlign w:val="bottom"/>
            <w:gridSpan w:val="3"/>
          </w:tcPr>
          <w:p>
            <w:pPr>
              <w:spacing w:after="0"/>
              <w:rPr>
                <w:sz w:val="20"/>
                <w:szCs w:val="20"/>
                <w:color w:val="auto"/>
              </w:rPr>
            </w:pPr>
            <w:r>
              <w:rPr>
                <w:rFonts w:ascii="Arial" w:cs="Arial" w:eastAsia="Arial" w:hAnsi="Arial"/>
                <w:sz w:val="22"/>
                <w:szCs w:val="22"/>
                <w:color w:val="auto"/>
              </w:rPr>
              <w:t>ARTICLE VIII INDEMNITY</w:t>
            </w:r>
          </w:p>
        </w:tc>
        <w:tc>
          <w:tcPr>
            <w:tcW w:w="420" w:type="dxa"/>
            <w:vAlign w:val="bottom"/>
          </w:tcPr>
          <w:p>
            <w:pPr>
              <w:spacing w:after="0"/>
              <w:rPr>
                <w:sz w:val="20"/>
                <w:szCs w:val="20"/>
                <w:color w:val="auto"/>
              </w:rPr>
            </w:pPr>
            <w:r>
              <w:rPr>
                <w:rFonts w:ascii="Arial" w:cs="Arial" w:eastAsia="Arial" w:hAnsi="Arial"/>
                <w:sz w:val="22"/>
                <w:szCs w:val="22"/>
                <w:color w:val="auto"/>
              </w:rPr>
              <w:t>50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8.1</w:t>
            </w:r>
          </w:p>
        </w:tc>
        <w:tc>
          <w:tcPr>
            <w:tcW w:w="2220" w:type="dxa"/>
            <w:vAlign w:val="bottom"/>
            <w:gridSpan w:val="4"/>
          </w:tcPr>
          <w:p>
            <w:pPr>
              <w:ind w:left="40"/>
              <w:spacing w:after="0"/>
              <w:rPr>
                <w:sz w:val="20"/>
                <w:szCs w:val="20"/>
                <w:color w:val="auto"/>
              </w:rPr>
            </w:pPr>
            <w:r>
              <w:rPr>
                <w:rFonts w:ascii="Arial" w:cs="Arial" w:eastAsia="Arial" w:hAnsi="Arial"/>
                <w:sz w:val="22"/>
                <w:szCs w:val="22"/>
                <w:color w:val="auto"/>
                <w:w w:val="99"/>
              </w:rPr>
              <w:t>Stockholder Indemnity</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50</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8.2</w:t>
            </w:r>
          </w:p>
        </w:tc>
        <w:tc>
          <w:tcPr>
            <w:tcW w:w="188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9"/>
              </w:rPr>
              <w:t>Acquiror Indemnity</w:t>
            </w:r>
          </w:p>
        </w:tc>
        <w:tc>
          <w:tcPr>
            <w:tcW w:w="340" w:type="dxa"/>
            <w:vAlign w:val="bottom"/>
          </w:tcPr>
          <w:p>
            <w:pPr>
              <w:jc w:val="right"/>
              <w:spacing w:after="0" w:line="216" w:lineRule="exact"/>
              <w:rPr>
                <w:sz w:val="20"/>
                <w:szCs w:val="20"/>
                <w:color w:val="auto"/>
              </w:rPr>
            </w:pPr>
            <w:r>
              <w:rPr>
                <w:rFonts w:ascii="Arial" w:cs="Arial" w:eastAsia="Arial" w:hAnsi="Arial"/>
                <w:sz w:val="22"/>
                <w:szCs w:val="22"/>
                <w:color w:val="auto"/>
              </w:rPr>
              <w:t>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8.3</w:t>
            </w:r>
          </w:p>
        </w:tc>
        <w:tc>
          <w:tcPr>
            <w:tcW w:w="7640" w:type="dxa"/>
            <w:vAlign w:val="bottom"/>
            <w:gridSpan w:val="10"/>
          </w:tcPr>
          <w:p>
            <w:pPr>
              <w:ind w:left="40"/>
              <w:spacing w:after="0" w:line="216" w:lineRule="exact"/>
              <w:rPr>
                <w:sz w:val="20"/>
                <w:szCs w:val="20"/>
                <w:color w:val="auto"/>
              </w:rPr>
            </w:pPr>
            <w:r>
              <w:rPr>
                <w:rFonts w:ascii="Arial" w:cs="Arial" w:eastAsia="Arial" w:hAnsi="Arial"/>
                <w:sz w:val="22"/>
                <w:szCs w:val="22"/>
                <w:color w:val="auto"/>
              </w:rPr>
              <w:t>Indemnification Limitations and Qualification Exception  50</w:t>
            </w: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line="216" w:lineRule="exact"/>
              <w:rPr>
                <w:sz w:val="20"/>
                <w:szCs w:val="20"/>
                <w:color w:val="auto"/>
              </w:rPr>
            </w:pPr>
            <w:r>
              <w:rPr>
                <w:rFonts w:ascii="Arial" w:cs="Arial" w:eastAsia="Arial" w:hAnsi="Arial"/>
                <w:sz w:val="22"/>
                <w:szCs w:val="22"/>
                <w:color w:val="auto"/>
              </w:rPr>
              <w:t>Section 8.4</w:t>
            </w:r>
          </w:p>
        </w:tc>
        <w:tc>
          <w:tcPr>
            <w:tcW w:w="3560" w:type="dxa"/>
            <w:vAlign w:val="bottom"/>
            <w:gridSpan w:val="8"/>
          </w:tcPr>
          <w:p>
            <w:pPr>
              <w:ind w:left="40"/>
              <w:spacing w:after="0" w:line="216" w:lineRule="exact"/>
              <w:rPr>
                <w:sz w:val="20"/>
                <w:szCs w:val="20"/>
                <w:color w:val="auto"/>
              </w:rPr>
            </w:pPr>
            <w:r>
              <w:rPr>
                <w:rFonts w:ascii="Arial" w:cs="Arial" w:eastAsia="Arial" w:hAnsi="Arial"/>
                <w:sz w:val="22"/>
                <w:szCs w:val="22"/>
                <w:color w:val="auto"/>
                <w:w w:val="95"/>
              </w:rPr>
              <w:t>Indemnification Notice and Procedure</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1"/>
              </w:rPr>
              <w:t>53</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rPr>
              <w:t>Section 8.5</w:t>
            </w:r>
          </w:p>
        </w:tc>
        <w:tc>
          <w:tcPr>
            <w:tcW w:w="3560" w:type="dxa"/>
            <w:vAlign w:val="bottom"/>
            <w:gridSpan w:val="8"/>
          </w:tcPr>
          <w:p>
            <w:pPr>
              <w:ind w:left="40"/>
              <w:spacing w:after="0"/>
              <w:rPr>
                <w:sz w:val="20"/>
                <w:szCs w:val="20"/>
                <w:color w:val="auto"/>
              </w:rPr>
            </w:pPr>
            <w:r>
              <w:rPr>
                <w:rFonts w:ascii="Arial" w:cs="Arial" w:eastAsia="Arial" w:hAnsi="Arial"/>
                <w:sz w:val="22"/>
                <w:szCs w:val="22"/>
                <w:color w:val="auto"/>
                <w:w w:val="93"/>
              </w:rPr>
              <w:t>Tax Treatment of Indemnity Payments</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55</w:t>
            </w: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580" w:type="dxa"/>
            <w:vAlign w:val="bottom"/>
            <w:gridSpan w:val="5"/>
          </w:tcPr>
          <w:p>
            <w:pPr>
              <w:spacing w:after="0"/>
              <w:rPr>
                <w:sz w:val="20"/>
                <w:szCs w:val="20"/>
                <w:color w:val="auto"/>
              </w:rPr>
            </w:pPr>
            <w:r>
              <w:rPr>
                <w:rFonts w:ascii="Arial" w:cs="Arial" w:eastAsia="Arial" w:hAnsi="Arial"/>
                <w:sz w:val="22"/>
                <w:szCs w:val="22"/>
                <w:color w:val="auto"/>
                <w:w w:val="98"/>
              </w:rPr>
              <w:t>ARTICLE IX CLOSING DELIVERIES</w:t>
            </w:r>
          </w:p>
        </w:tc>
        <w:tc>
          <w:tcPr>
            <w:tcW w:w="500" w:type="dxa"/>
            <w:vAlign w:val="bottom"/>
            <w:gridSpan w:val="2"/>
          </w:tcPr>
          <w:p>
            <w:pPr>
              <w:jc w:val="right"/>
              <w:ind w:right="52"/>
              <w:spacing w:after="0"/>
              <w:rPr>
                <w:sz w:val="20"/>
                <w:szCs w:val="20"/>
                <w:color w:val="auto"/>
              </w:rPr>
            </w:pPr>
            <w:r>
              <w:rPr>
                <w:rFonts w:ascii="Arial" w:cs="Arial" w:eastAsia="Arial" w:hAnsi="Arial"/>
                <w:sz w:val="22"/>
                <w:szCs w:val="22"/>
                <w:color w:val="auto"/>
              </w:rPr>
              <w:t>56</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60" w:type="dxa"/>
            <w:vAlign w:val="bottom"/>
          </w:tcPr>
          <w:p>
            <w:pPr>
              <w:ind w:left="220"/>
              <w:spacing w:after="0"/>
              <w:rPr>
                <w:sz w:val="20"/>
                <w:szCs w:val="20"/>
                <w:color w:val="auto"/>
              </w:rPr>
            </w:pPr>
            <w:r>
              <w:rPr>
                <w:rFonts w:ascii="Arial" w:cs="Arial" w:eastAsia="Arial" w:hAnsi="Arial"/>
                <w:sz w:val="22"/>
                <w:szCs w:val="22"/>
                <w:color w:val="auto"/>
              </w:rPr>
              <w:t>Section 9.1</w:t>
            </w:r>
          </w:p>
        </w:tc>
        <w:tc>
          <w:tcPr>
            <w:tcW w:w="2220" w:type="dxa"/>
            <w:vAlign w:val="bottom"/>
            <w:gridSpan w:val="4"/>
          </w:tcPr>
          <w:p>
            <w:pPr>
              <w:ind w:left="40"/>
              <w:spacing w:after="0"/>
              <w:rPr>
                <w:sz w:val="20"/>
                <w:szCs w:val="20"/>
                <w:color w:val="auto"/>
              </w:rPr>
            </w:pPr>
            <w:r>
              <w:rPr>
                <w:rFonts w:ascii="Arial" w:cs="Arial" w:eastAsia="Arial" w:hAnsi="Arial"/>
                <w:sz w:val="22"/>
                <w:szCs w:val="22"/>
                <w:color w:val="auto"/>
                <w:w w:val="92"/>
              </w:rPr>
              <w:t>Stockholders’ Deliveries</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56</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220"/>
              <w:spacing w:after="0"/>
              <w:rPr>
                <w:sz w:val="20"/>
                <w:szCs w:val="20"/>
                <w:color w:val="auto"/>
              </w:rPr>
            </w:pPr>
            <w:r>
              <w:rPr>
                <w:rFonts w:ascii="Arial" w:cs="Arial" w:eastAsia="Arial" w:hAnsi="Arial"/>
                <w:sz w:val="22"/>
                <w:szCs w:val="22"/>
                <w:color w:val="auto"/>
              </w:rPr>
              <w:t>Section 9.2</w:t>
            </w:r>
          </w:p>
        </w:tc>
        <w:tc>
          <w:tcPr>
            <w:tcW w:w="2220" w:type="dxa"/>
            <w:vAlign w:val="bottom"/>
            <w:gridSpan w:val="4"/>
          </w:tcPr>
          <w:p>
            <w:pPr>
              <w:ind w:left="40"/>
              <w:spacing w:after="0"/>
              <w:rPr>
                <w:sz w:val="20"/>
                <w:szCs w:val="20"/>
                <w:color w:val="auto"/>
              </w:rPr>
            </w:pPr>
            <w:r>
              <w:rPr>
                <w:rFonts w:ascii="Arial" w:cs="Arial" w:eastAsia="Arial" w:hAnsi="Arial"/>
                <w:sz w:val="22"/>
                <w:szCs w:val="22"/>
                <w:color w:val="auto"/>
              </w:rPr>
              <w:t>Deliveries by Acquiror</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56</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6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364" w:right="1440" w:bottom="1440" w:gutter="0" w:footer="0" w:header="0"/>
          <w:type w:val="continuous"/>
        </w:sectPr>
      </w:pPr>
    </w:p>
    <w:bookmarkStart w:id="55" w:name="page56"/>
    <w:bookmarkEnd w:id="55"/>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4"/>
          </w:tcPr>
          <w:p>
            <w:pPr>
              <w:spacing w:after="0"/>
              <w:rPr>
                <w:sz w:val="20"/>
                <w:szCs w:val="20"/>
                <w:color w:val="auto"/>
              </w:rPr>
            </w:pPr>
            <w:r>
              <w:rPr>
                <w:rFonts w:ascii="Arial" w:cs="Arial" w:eastAsia="Arial" w:hAnsi="Arial"/>
                <w:sz w:val="22"/>
                <w:szCs w:val="22"/>
                <w:color w:val="auto"/>
                <w:w w:val="96"/>
              </w:rPr>
              <w:t>ARTICLE X GENERAL PROVISIONS</w:t>
            </w:r>
          </w:p>
        </w:tc>
        <w:tc>
          <w:tcPr>
            <w:tcW w:w="600" w:type="dxa"/>
            <w:vAlign w:val="bottom"/>
            <w:gridSpan w:val="2"/>
          </w:tcPr>
          <w:p>
            <w:pPr>
              <w:jc w:val="right"/>
              <w:ind w:right="132"/>
              <w:spacing w:after="0"/>
              <w:rPr>
                <w:sz w:val="20"/>
                <w:szCs w:val="20"/>
                <w:color w:val="auto"/>
              </w:rPr>
            </w:pPr>
            <w:r>
              <w:rPr>
                <w:rFonts w:ascii="Arial" w:cs="Arial" w:eastAsia="Arial" w:hAnsi="Arial"/>
                <w:sz w:val="22"/>
                <w:szCs w:val="22"/>
                <w:color w:val="auto"/>
              </w:rPr>
              <w:t>57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tcPr>
          <w:p>
            <w:pPr>
              <w:ind w:left="220"/>
              <w:spacing w:after="0"/>
              <w:rPr>
                <w:sz w:val="20"/>
                <w:szCs w:val="20"/>
                <w:color w:val="auto"/>
              </w:rPr>
            </w:pPr>
            <w:r>
              <w:rPr>
                <w:rFonts w:ascii="Arial" w:cs="Arial" w:eastAsia="Arial" w:hAnsi="Arial"/>
                <w:sz w:val="22"/>
                <w:szCs w:val="22"/>
                <w:color w:val="auto"/>
                <w:w w:val="99"/>
              </w:rPr>
              <w:t>Section 10.1</w:t>
            </w:r>
          </w:p>
        </w:tc>
        <w:tc>
          <w:tcPr>
            <w:tcW w:w="1740" w:type="dxa"/>
            <w:vAlign w:val="bottom"/>
            <w:gridSpan w:val="2"/>
          </w:tcPr>
          <w:p>
            <w:pPr>
              <w:ind w:left="40"/>
              <w:spacing w:after="0"/>
              <w:rPr>
                <w:sz w:val="20"/>
                <w:szCs w:val="20"/>
                <w:color w:val="auto"/>
              </w:rPr>
            </w:pPr>
            <w:r>
              <w:rPr>
                <w:rFonts w:ascii="Arial" w:cs="Arial" w:eastAsia="Arial" w:hAnsi="Arial"/>
                <w:sz w:val="22"/>
                <w:szCs w:val="22"/>
                <w:color w:val="auto"/>
                <w:w w:val="86"/>
              </w:rPr>
              <w:t>Fees and Expenses</w:t>
            </w:r>
          </w:p>
        </w:tc>
        <w:tc>
          <w:tcPr>
            <w:tcW w:w="380" w:type="dxa"/>
            <w:vAlign w:val="bottom"/>
          </w:tcPr>
          <w:p>
            <w:pPr>
              <w:jc w:val="right"/>
              <w:spacing w:after="0"/>
              <w:rPr>
                <w:sz w:val="20"/>
                <w:szCs w:val="20"/>
                <w:color w:val="auto"/>
              </w:rPr>
            </w:pPr>
            <w:r>
              <w:rPr>
                <w:rFonts w:ascii="Arial" w:cs="Arial" w:eastAsia="Arial" w:hAnsi="Arial"/>
                <w:sz w:val="22"/>
                <w:szCs w:val="22"/>
                <w:color w:val="auto"/>
              </w:rPr>
              <w:t>57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vMerge w:val="restart"/>
          </w:tcPr>
          <w:p>
            <w:pPr>
              <w:jc w:val="right"/>
              <w:ind w:right="812"/>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10.2</w:t>
            </w:r>
          </w:p>
        </w:tc>
        <w:tc>
          <w:tcPr>
            <w:tcW w:w="272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3"/>
              </w:rPr>
              <w:t>Amendment and Modification</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10.3</w:t>
            </w:r>
          </w:p>
        </w:tc>
        <w:tc>
          <w:tcPr>
            <w:tcW w:w="174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4"/>
              </w:rPr>
              <w:t>Waiver; Extension</w:t>
            </w:r>
          </w:p>
        </w:tc>
        <w:tc>
          <w:tcPr>
            <w:tcW w:w="380" w:type="dxa"/>
            <w:vAlign w:val="bottom"/>
          </w:tcPr>
          <w:p>
            <w:pPr>
              <w:jc w:val="right"/>
              <w:spacing w:after="0" w:line="216" w:lineRule="exact"/>
              <w:rPr>
                <w:sz w:val="20"/>
                <w:szCs w:val="20"/>
                <w:color w:val="auto"/>
              </w:rPr>
            </w:pPr>
            <w:r>
              <w:rPr>
                <w:rFonts w:ascii="Arial" w:cs="Arial" w:eastAsia="Arial" w:hAnsi="Arial"/>
                <w:sz w:val="22"/>
                <w:szCs w:val="22"/>
                <w:color w:val="auto"/>
              </w:rPr>
              <w:t>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10.4</w:t>
            </w:r>
          </w:p>
        </w:tc>
        <w:tc>
          <w:tcPr>
            <w:tcW w:w="1420" w:type="dxa"/>
            <w:vAlign w:val="bottom"/>
          </w:tcPr>
          <w:p>
            <w:pPr>
              <w:ind w:left="40"/>
              <w:spacing w:after="0" w:line="216" w:lineRule="exact"/>
              <w:rPr>
                <w:sz w:val="20"/>
                <w:szCs w:val="20"/>
                <w:color w:val="auto"/>
              </w:rPr>
            </w:pPr>
            <w:r>
              <w:rPr>
                <w:rFonts w:ascii="Arial" w:cs="Arial" w:eastAsia="Arial" w:hAnsi="Arial"/>
                <w:sz w:val="22"/>
                <w:szCs w:val="22"/>
                <w:color w:val="auto"/>
              </w:rPr>
              <w:t>Notices  57</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w w:val="89"/>
              </w:rPr>
              <w:t>58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10.5</w:t>
            </w:r>
          </w:p>
        </w:tc>
        <w:tc>
          <w:tcPr>
            <w:tcW w:w="1420" w:type="dxa"/>
            <w:vAlign w:val="bottom"/>
          </w:tcPr>
          <w:p>
            <w:pPr>
              <w:ind w:left="40"/>
              <w:spacing w:after="0" w:line="216" w:lineRule="exact"/>
              <w:rPr>
                <w:sz w:val="20"/>
                <w:szCs w:val="20"/>
                <w:color w:val="auto"/>
              </w:rPr>
            </w:pPr>
            <w:r>
              <w:rPr>
                <w:rFonts w:ascii="Arial" w:cs="Arial" w:eastAsia="Arial" w:hAnsi="Arial"/>
                <w:sz w:val="22"/>
                <w:szCs w:val="22"/>
                <w:color w:val="auto"/>
              </w:rPr>
              <w:t>Interpretation</w:t>
            </w:r>
          </w:p>
        </w:tc>
        <w:tc>
          <w:tcPr>
            <w:tcW w:w="320" w:type="dxa"/>
            <w:vAlign w:val="bottom"/>
            <w:vMerge w:val="continue"/>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10.6</w:t>
            </w:r>
          </w:p>
        </w:tc>
        <w:tc>
          <w:tcPr>
            <w:tcW w:w="174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8"/>
              </w:rPr>
              <w:t>Entire Agreement</w:t>
            </w: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10.7</w:t>
            </w:r>
          </w:p>
        </w:tc>
        <w:tc>
          <w:tcPr>
            <w:tcW w:w="174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8"/>
              </w:rPr>
              <w:t>Parties in Interest</w:t>
            </w:r>
          </w:p>
        </w:tc>
        <w:tc>
          <w:tcPr>
            <w:tcW w:w="38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9"/>
              </w:rPr>
              <w:t>59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10.8</w:t>
            </w:r>
          </w:p>
        </w:tc>
        <w:tc>
          <w:tcPr>
            <w:tcW w:w="1420" w:type="dxa"/>
            <w:vAlign w:val="bottom"/>
          </w:tcPr>
          <w:p>
            <w:pPr>
              <w:ind w:left="40"/>
              <w:spacing w:after="0" w:line="216" w:lineRule="exact"/>
              <w:rPr>
                <w:sz w:val="20"/>
                <w:szCs w:val="20"/>
                <w:color w:val="auto"/>
              </w:rPr>
            </w:pPr>
            <w:r>
              <w:rPr>
                <w:rFonts w:ascii="Arial" w:cs="Arial" w:eastAsia="Arial" w:hAnsi="Arial"/>
                <w:sz w:val="22"/>
                <w:szCs w:val="22"/>
                <w:color w:val="auto"/>
                <w:w w:val="91"/>
              </w:rPr>
              <w:t>Governing Law</w:t>
            </w:r>
          </w:p>
        </w:tc>
        <w:tc>
          <w:tcPr>
            <w:tcW w:w="700" w:type="dxa"/>
            <w:vAlign w:val="bottom"/>
            <w:gridSpan w:val="2"/>
          </w:tcPr>
          <w:p>
            <w:pPr>
              <w:jc w:val="right"/>
              <w:ind w:right="172"/>
              <w:spacing w:after="0" w:line="216" w:lineRule="exact"/>
              <w:rPr>
                <w:sz w:val="20"/>
                <w:szCs w:val="20"/>
                <w:color w:val="auto"/>
              </w:rPr>
            </w:pPr>
            <w:r>
              <w:rPr>
                <w:rFonts w:ascii="Arial" w:cs="Arial" w:eastAsia="Arial" w:hAnsi="Arial"/>
                <w:sz w:val="22"/>
                <w:szCs w:val="22"/>
                <w:color w:val="auto"/>
              </w:rPr>
              <w:t>59</w:t>
            </w:r>
          </w:p>
        </w:tc>
        <w:tc>
          <w:tcPr>
            <w:tcW w:w="320" w:type="dxa"/>
            <w:vAlign w:val="bottom"/>
          </w:tcPr>
          <w:p>
            <w:pPr>
              <w:spacing w:after="0"/>
              <w:rPr>
                <w:sz w:val="18"/>
                <w:szCs w:val="18"/>
                <w:color w:val="auto"/>
              </w:rPr>
            </w:pPr>
          </w:p>
        </w:tc>
        <w:tc>
          <w:tcPr>
            <w:tcW w:w="1580" w:type="dxa"/>
            <w:vAlign w:val="bottom"/>
            <w:gridSpan w:val="2"/>
            <w:vMerge w:val="restart"/>
          </w:tcPr>
          <w:p>
            <w:pPr>
              <w:jc w:val="right"/>
              <w:ind w:right="1132"/>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9"/>
              </w:rPr>
              <w:t>Section 10.9</w:t>
            </w:r>
          </w:p>
        </w:tc>
        <w:tc>
          <w:tcPr>
            <w:tcW w:w="244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3"/>
              </w:rPr>
              <w:t>Submission to Jurisdiction</w:t>
            </w: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10.10</w:t>
            </w:r>
          </w:p>
        </w:tc>
        <w:tc>
          <w:tcPr>
            <w:tcW w:w="212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5"/>
              </w:rPr>
              <w:t>Disclosure Generally</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60</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10.11</w:t>
            </w:r>
          </w:p>
        </w:tc>
        <w:tc>
          <w:tcPr>
            <w:tcW w:w="174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4"/>
              </w:rPr>
              <w:t>Personal Liability</w:t>
            </w:r>
          </w:p>
        </w:tc>
        <w:tc>
          <w:tcPr>
            <w:tcW w:w="700" w:type="dxa"/>
            <w:vAlign w:val="bottom"/>
            <w:gridSpan w:val="2"/>
          </w:tcPr>
          <w:p>
            <w:pPr>
              <w:jc w:val="right"/>
              <w:ind w:right="212"/>
              <w:spacing w:after="0" w:line="216" w:lineRule="exact"/>
              <w:rPr>
                <w:sz w:val="20"/>
                <w:szCs w:val="20"/>
                <w:color w:val="auto"/>
              </w:rPr>
            </w:pPr>
            <w:r>
              <w:rPr>
                <w:rFonts w:ascii="Arial" w:cs="Arial" w:eastAsia="Arial" w:hAnsi="Arial"/>
                <w:sz w:val="22"/>
                <w:szCs w:val="22"/>
                <w:color w:val="auto"/>
              </w:rPr>
              <w:t>60</w:t>
            </w:r>
          </w:p>
        </w:tc>
        <w:tc>
          <w:tcPr>
            <w:tcW w:w="280" w:type="dxa"/>
            <w:vAlign w:val="bottom"/>
            <w:vMerge w:val="restart"/>
          </w:tcPr>
          <w:p>
            <w:pPr>
              <w:jc w:val="right"/>
              <w:spacing w:after="0"/>
              <w:rPr>
                <w:sz w:val="20"/>
                <w:szCs w:val="20"/>
                <w:color w:val="auto"/>
              </w:rPr>
            </w:pPr>
            <w:r>
              <w:rPr>
                <w:rFonts w:ascii="Arial" w:cs="Arial" w:eastAsia="Arial" w:hAnsi="Arial"/>
                <w:sz w:val="22"/>
                <w:szCs w:val="22"/>
                <w:color w:val="auto"/>
                <w:w w:val="89"/>
              </w:rPr>
              <w:t>60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10.12</w:t>
            </w:r>
          </w:p>
        </w:tc>
        <w:tc>
          <w:tcPr>
            <w:tcW w:w="2440" w:type="dxa"/>
            <w:vAlign w:val="bottom"/>
            <w:gridSpan w:val="4"/>
          </w:tcPr>
          <w:p>
            <w:pPr>
              <w:ind w:left="160"/>
              <w:spacing w:after="0" w:line="216" w:lineRule="exact"/>
              <w:rPr>
                <w:sz w:val="20"/>
                <w:szCs w:val="20"/>
                <w:color w:val="auto"/>
              </w:rPr>
            </w:pPr>
            <w:r>
              <w:rPr>
                <w:rFonts w:ascii="Arial" w:cs="Arial" w:eastAsia="Arial" w:hAnsi="Arial"/>
                <w:sz w:val="22"/>
                <w:szCs w:val="22"/>
                <w:color w:val="auto"/>
                <w:w w:val="93"/>
              </w:rPr>
              <w:t>Assignment; Successors</w:t>
            </w:r>
          </w:p>
        </w:tc>
        <w:tc>
          <w:tcPr>
            <w:tcW w:w="2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10.13</w:t>
            </w:r>
          </w:p>
        </w:tc>
        <w:tc>
          <w:tcPr>
            <w:tcW w:w="1420" w:type="dxa"/>
            <w:vAlign w:val="bottom"/>
          </w:tcPr>
          <w:p>
            <w:pPr>
              <w:ind w:left="160"/>
              <w:spacing w:after="0" w:line="216" w:lineRule="exact"/>
              <w:rPr>
                <w:sz w:val="20"/>
                <w:szCs w:val="20"/>
                <w:color w:val="auto"/>
              </w:rPr>
            </w:pPr>
            <w:r>
              <w:rPr>
                <w:rFonts w:ascii="Arial" w:cs="Arial" w:eastAsia="Arial" w:hAnsi="Arial"/>
                <w:sz w:val="22"/>
                <w:szCs w:val="22"/>
                <w:color w:val="auto"/>
                <w:w w:val="99"/>
              </w:rPr>
              <w:t>Enforcement</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10.14</w:t>
            </w:r>
          </w:p>
        </w:tc>
        <w:tc>
          <w:tcPr>
            <w:tcW w:w="1420" w:type="dxa"/>
            <w:vAlign w:val="bottom"/>
          </w:tcPr>
          <w:p>
            <w:pPr>
              <w:ind w:left="160"/>
              <w:spacing w:after="0" w:line="216" w:lineRule="exact"/>
              <w:rPr>
                <w:sz w:val="20"/>
                <w:szCs w:val="20"/>
                <w:color w:val="auto"/>
              </w:rPr>
            </w:pPr>
            <w:r>
              <w:rPr>
                <w:rFonts w:ascii="Arial" w:cs="Arial" w:eastAsia="Arial" w:hAnsi="Arial"/>
                <w:sz w:val="22"/>
                <w:szCs w:val="22"/>
                <w:color w:val="auto"/>
                <w:w w:val="98"/>
              </w:rPr>
              <w:t>Currency  61</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w w:val="81"/>
              </w:rPr>
              <w:t>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10.15</w:t>
            </w:r>
          </w:p>
        </w:tc>
        <w:tc>
          <w:tcPr>
            <w:tcW w:w="1420" w:type="dxa"/>
            <w:vAlign w:val="bottom"/>
          </w:tcPr>
          <w:p>
            <w:pPr>
              <w:ind w:left="160"/>
              <w:spacing w:after="0" w:line="216" w:lineRule="exact"/>
              <w:rPr>
                <w:sz w:val="20"/>
                <w:szCs w:val="20"/>
                <w:color w:val="auto"/>
              </w:rPr>
            </w:pPr>
            <w:r>
              <w:rPr>
                <w:rFonts w:ascii="Arial" w:cs="Arial" w:eastAsia="Arial" w:hAnsi="Arial"/>
                <w:sz w:val="22"/>
                <w:szCs w:val="22"/>
                <w:color w:val="auto"/>
              </w:rPr>
              <w:t>Severability</w:t>
            </w:r>
          </w:p>
        </w:tc>
        <w:tc>
          <w:tcPr>
            <w:tcW w:w="3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w w:val="81"/>
              </w:rPr>
              <w:t>61</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10.16</w:t>
            </w:r>
          </w:p>
        </w:tc>
        <w:tc>
          <w:tcPr>
            <w:tcW w:w="2120" w:type="dxa"/>
            <w:vAlign w:val="bottom"/>
            <w:gridSpan w:val="3"/>
          </w:tcPr>
          <w:p>
            <w:pPr>
              <w:ind w:left="160"/>
              <w:spacing w:after="0" w:line="216" w:lineRule="exact"/>
              <w:rPr>
                <w:sz w:val="20"/>
                <w:szCs w:val="20"/>
                <w:color w:val="auto"/>
              </w:rPr>
            </w:pPr>
            <w:r>
              <w:rPr>
                <w:rFonts w:ascii="Arial" w:cs="Arial" w:eastAsia="Arial" w:hAnsi="Arial"/>
                <w:sz w:val="22"/>
                <w:szCs w:val="22"/>
                <w:color w:val="auto"/>
              </w:rPr>
              <w:t>Waiver of Jury Trial</w:t>
            </w:r>
          </w:p>
        </w:tc>
        <w:tc>
          <w:tcPr>
            <w:tcW w:w="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10.17</w:t>
            </w:r>
          </w:p>
        </w:tc>
        <w:tc>
          <w:tcPr>
            <w:tcW w:w="1420" w:type="dxa"/>
            <w:vAlign w:val="bottom"/>
          </w:tcPr>
          <w:p>
            <w:pPr>
              <w:ind w:left="160"/>
              <w:spacing w:after="0" w:line="216" w:lineRule="exact"/>
              <w:rPr>
                <w:sz w:val="20"/>
                <w:szCs w:val="20"/>
                <w:color w:val="auto"/>
              </w:rPr>
            </w:pPr>
            <w:r>
              <w:rPr>
                <w:rFonts w:ascii="Arial" w:cs="Arial" w:eastAsia="Arial" w:hAnsi="Arial"/>
                <w:sz w:val="22"/>
                <w:szCs w:val="22"/>
                <w:color w:val="auto"/>
                <w:w w:val="97"/>
              </w:rPr>
              <w:t>Counterparts</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22"/>
                <w:szCs w:val="22"/>
                <w:color w:val="auto"/>
                <w:w w:val="81"/>
              </w:rPr>
              <w:t>61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10.18</w:t>
            </w:r>
          </w:p>
        </w:tc>
        <w:tc>
          <w:tcPr>
            <w:tcW w:w="2440" w:type="dxa"/>
            <w:vAlign w:val="bottom"/>
            <w:gridSpan w:val="4"/>
          </w:tcPr>
          <w:p>
            <w:pPr>
              <w:ind w:left="160"/>
              <w:spacing w:after="0" w:line="216" w:lineRule="exact"/>
              <w:rPr>
                <w:sz w:val="20"/>
                <w:szCs w:val="20"/>
                <w:color w:val="auto"/>
              </w:rPr>
            </w:pPr>
            <w:r>
              <w:rPr>
                <w:rFonts w:ascii="Arial" w:cs="Arial" w:eastAsia="Arial" w:hAnsi="Arial"/>
                <w:sz w:val="22"/>
                <w:szCs w:val="22"/>
                <w:color w:val="auto"/>
                <w:w w:val="99"/>
              </w:rPr>
              <w:t>Electronic, Facsimile or</w:t>
            </w:r>
          </w:p>
        </w:tc>
        <w:tc>
          <w:tcPr>
            <w:tcW w:w="2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10.19</w:t>
            </w:r>
          </w:p>
        </w:tc>
        <w:tc>
          <w:tcPr>
            <w:tcW w:w="212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2"/>
              </w:rPr>
              <w:t>Legal Representation</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61</w:t>
            </w:r>
          </w:p>
        </w:tc>
        <w:tc>
          <w:tcPr>
            <w:tcW w:w="280" w:type="dxa"/>
            <w:vAlign w:val="bottom"/>
          </w:tcPr>
          <w:p>
            <w:pPr>
              <w:spacing w:after="0"/>
              <w:rPr>
                <w:sz w:val="18"/>
                <w:szCs w:val="18"/>
                <w:color w:val="auto"/>
              </w:rPr>
            </w:pPr>
          </w:p>
        </w:tc>
        <w:tc>
          <w:tcPr>
            <w:tcW w:w="1300" w:type="dxa"/>
            <w:vAlign w:val="bottom"/>
            <w:vMerge w:val="restart"/>
          </w:tcPr>
          <w:p>
            <w:pPr>
              <w:jc w:val="right"/>
              <w:ind w:right="952"/>
              <w:spacing w:after="0"/>
              <w:rPr>
                <w:sz w:val="20"/>
                <w:szCs w:val="20"/>
                <w:color w:val="auto"/>
              </w:rPr>
            </w:pPr>
            <w:r>
              <w:rPr>
                <w:rFonts w:ascii="Arial" w:cs="Arial" w:eastAsia="Arial" w:hAnsi="Arial"/>
                <w:sz w:val="22"/>
                <w:szCs w:val="22"/>
                <w:color w:val="auto"/>
                <w:w w:val="89"/>
              </w:rPr>
              <w:t>63</w:t>
            </w:r>
          </w:p>
        </w:tc>
        <w:tc>
          <w:tcPr>
            <w:tcW w:w="0" w:type="dxa"/>
            <w:vAlign w:val="bottom"/>
          </w:tcPr>
          <w:p>
            <w:pPr>
              <w:spacing w:after="0"/>
              <w:rPr>
                <w:sz w:val="1"/>
                <w:szCs w:val="1"/>
                <w:color w:val="auto"/>
              </w:rPr>
            </w:pPr>
          </w:p>
        </w:tc>
      </w:tr>
      <w:tr>
        <w:trPr>
          <w:trHeight w:val="216"/>
        </w:trPr>
        <w:tc>
          <w:tcPr>
            <w:tcW w:w="1460" w:type="dxa"/>
            <w:vAlign w:val="bottom"/>
          </w:tcPr>
          <w:p>
            <w:pPr>
              <w:ind w:left="220"/>
              <w:spacing w:after="0" w:line="216" w:lineRule="exact"/>
              <w:rPr>
                <w:sz w:val="20"/>
                <w:szCs w:val="20"/>
                <w:color w:val="auto"/>
              </w:rPr>
            </w:pPr>
            <w:r>
              <w:rPr>
                <w:rFonts w:ascii="Arial" w:cs="Arial" w:eastAsia="Arial" w:hAnsi="Arial"/>
                <w:sz w:val="22"/>
                <w:szCs w:val="22"/>
                <w:color w:val="auto"/>
                <w:w w:val="90"/>
              </w:rPr>
              <w:t>Section 10.20</w:t>
            </w:r>
          </w:p>
        </w:tc>
        <w:tc>
          <w:tcPr>
            <w:tcW w:w="2720" w:type="dxa"/>
            <w:vAlign w:val="bottom"/>
            <w:gridSpan w:val="5"/>
          </w:tcPr>
          <w:p>
            <w:pPr>
              <w:ind w:left="160"/>
              <w:spacing w:after="0" w:line="216" w:lineRule="exact"/>
              <w:rPr>
                <w:sz w:val="20"/>
                <w:szCs w:val="20"/>
                <w:color w:val="auto"/>
              </w:rPr>
            </w:pPr>
            <w:r>
              <w:rPr>
                <w:rFonts w:ascii="Arial" w:cs="Arial" w:eastAsia="Arial" w:hAnsi="Arial"/>
                <w:sz w:val="22"/>
                <w:szCs w:val="22"/>
                <w:color w:val="auto"/>
                <w:w w:val="93"/>
              </w:rPr>
              <w:t>Stockholder Representative</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460" w:type="dxa"/>
            <w:vAlign w:val="bottom"/>
          </w:tcPr>
          <w:p>
            <w:pPr>
              <w:ind w:left="220"/>
              <w:spacing w:after="0"/>
              <w:rPr>
                <w:sz w:val="20"/>
                <w:szCs w:val="20"/>
                <w:color w:val="auto"/>
              </w:rPr>
            </w:pPr>
            <w:r>
              <w:rPr>
                <w:rFonts w:ascii="Arial" w:cs="Arial" w:eastAsia="Arial" w:hAnsi="Arial"/>
                <w:sz w:val="22"/>
                <w:szCs w:val="22"/>
                <w:color w:val="auto"/>
                <w:w w:val="90"/>
              </w:rPr>
              <w:t>Section 10.21</w:t>
            </w:r>
          </w:p>
        </w:tc>
        <w:tc>
          <w:tcPr>
            <w:tcW w:w="4020" w:type="dxa"/>
            <w:vAlign w:val="bottom"/>
            <w:gridSpan w:val="6"/>
          </w:tcPr>
          <w:p>
            <w:pPr>
              <w:ind w:left="160"/>
              <w:spacing w:after="0"/>
              <w:rPr>
                <w:sz w:val="20"/>
                <w:szCs w:val="20"/>
                <w:color w:val="auto"/>
              </w:rPr>
            </w:pPr>
            <w:r>
              <w:rPr>
                <w:rFonts w:ascii="Arial" w:cs="Arial" w:eastAsia="Arial" w:hAnsi="Arial"/>
                <w:sz w:val="22"/>
                <w:szCs w:val="22"/>
                <w:color w:val="auto"/>
                <w:w w:val="92"/>
              </w:rPr>
              <w:t>No Presumption Against Drafting Party  64</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Exhibit A – Escrow Agreement</w:t>
      </w:r>
    </w:p>
    <w:p>
      <w:pPr>
        <w:spacing w:after="0" w:line="204" w:lineRule="auto"/>
        <w:rPr>
          <w:sz w:val="20"/>
          <w:szCs w:val="20"/>
          <w:color w:val="auto"/>
        </w:rPr>
      </w:pPr>
      <w:r>
        <w:rPr>
          <w:rFonts w:ascii="Arial" w:cs="Arial" w:eastAsia="Arial" w:hAnsi="Arial"/>
          <w:sz w:val="22"/>
          <w:szCs w:val="22"/>
          <w:color w:val="auto"/>
        </w:rPr>
        <w:t>Exhibit B – R&amp;W Binder Agreement</w:t>
      </w:r>
    </w:p>
    <w:p>
      <w:pPr>
        <w:spacing w:after="0" w:line="205" w:lineRule="auto"/>
        <w:rPr>
          <w:sz w:val="20"/>
          <w:szCs w:val="20"/>
          <w:color w:val="auto"/>
        </w:rPr>
      </w:pPr>
      <w:r>
        <w:rPr>
          <w:rFonts w:ascii="Arial" w:cs="Arial" w:eastAsia="Arial" w:hAnsi="Arial"/>
          <w:sz w:val="22"/>
          <w:szCs w:val="22"/>
          <w:color w:val="auto"/>
        </w:rPr>
        <w:t>Exhibit C – R&amp;W Insurance Policy</w:t>
      </w:r>
    </w:p>
    <w:p>
      <w:pPr>
        <w:spacing w:after="0" w:line="205" w:lineRule="auto"/>
        <w:rPr>
          <w:sz w:val="20"/>
          <w:szCs w:val="20"/>
          <w:color w:val="auto"/>
        </w:rPr>
      </w:pPr>
      <w:r>
        <w:rPr>
          <w:rFonts w:ascii="Arial" w:cs="Arial" w:eastAsia="Arial" w:hAnsi="Arial"/>
          <w:sz w:val="22"/>
          <w:szCs w:val="22"/>
          <w:color w:val="auto"/>
        </w:rPr>
        <w:t>Exhibit D – Preliminary Closing Statement</w:t>
      </w:r>
    </w:p>
    <w:p>
      <w:pPr>
        <w:spacing w:after="0" w:line="205" w:lineRule="auto"/>
        <w:rPr>
          <w:sz w:val="20"/>
          <w:szCs w:val="20"/>
          <w:color w:val="auto"/>
        </w:rPr>
      </w:pPr>
      <w:r>
        <w:rPr>
          <w:rFonts w:ascii="Arial" w:cs="Arial" w:eastAsia="Arial" w:hAnsi="Arial"/>
          <w:sz w:val="22"/>
          <w:szCs w:val="22"/>
          <w:color w:val="auto"/>
        </w:rPr>
        <w:t>Exhibit E – Estimated Closing Balance Sheet</w:t>
      </w:r>
    </w:p>
    <w:p>
      <w:pPr>
        <w:spacing w:after="0" w:line="205" w:lineRule="auto"/>
        <w:rPr>
          <w:sz w:val="20"/>
          <w:szCs w:val="20"/>
          <w:color w:val="auto"/>
        </w:rPr>
      </w:pPr>
      <w:r>
        <w:rPr>
          <w:rFonts w:ascii="Arial" w:cs="Arial" w:eastAsia="Arial" w:hAnsi="Arial"/>
          <w:sz w:val="22"/>
          <w:szCs w:val="22"/>
          <w:color w:val="auto"/>
        </w:rPr>
        <w:t>Exhibit F – Form of Final Closing Statement</w:t>
      </w:r>
    </w:p>
    <w:p>
      <w:pPr>
        <w:spacing w:after="0" w:line="205" w:lineRule="auto"/>
        <w:rPr>
          <w:sz w:val="20"/>
          <w:szCs w:val="20"/>
          <w:color w:val="auto"/>
        </w:rPr>
      </w:pPr>
      <w:r>
        <w:rPr>
          <w:rFonts w:ascii="Arial" w:cs="Arial" w:eastAsia="Arial" w:hAnsi="Arial"/>
          <w:sz w:val="22"/>
          <w:szCs w:val="22"/>
          <w:color w:val="auto"/>
        </w:rPr>
        <w:t>Exhibit F-1 – Form of Closing Balance Sheet</w:t>
      </w:r>
    </w:p>
    <w:p>
      <w:pPr>
        <w:spacing w:after="0" w:line="205" w:lineRule="auto"/>
        <w:rPr>
          <w:sz w:val="20"/>
          <w:szCs w:val="20"/>
          <w:color w:val="auto"/>
        </w:rPr>
      </w:pPr>
      <w:r>
        <w:rPr>
          <w:rFonts w:ascii="Arial" w:cs="Arial" w:eastAsia="Arial" w:hAnsi="Arial"/>
          <w:sz w:val="22"/>
          <w:szCs w:val="22"/>
          <w:color w:val="auto"/>
        </w:rPr>
        <w:t>Exhibit G – Employment Agreements</w:t>
      </w:r>
    </w:p>
    <w:p>
      <w:pPr>
        <w:spacing w:after="0" w:line="205" w:lineRule="auto"/>
        <w:rPr>
          <w:sz w:val="20"/>
          <w:szCs w:val="20"/>
          <w:color w:val="auto"/>
        </w:rPr>
      </w:pPr>
      <w:r>
        <w:rPr>
          <w:rFonts w:ascii="Arial" w:cs="Arial" w:eastAsia="Arial" w:hAnsi="Arial"/>
          <w:sz w:val="22"/>
          <w:szCs w:val="22"/>
          <w:color w:val="auto"/>
        </w:rPr>
        <w:t>Exhibit H – Option Agreement</w:t>
      </w:r>
    </w:p>
    <w:p>
      <w:pPr>
        <w:spacing w:after="0" w:line="205" w:lineRule="auto"/>
        <w:rPr>
          <w:sz w:val="20"/>
          <w:szCs w:val="20"/>
          <w:color w:val="auto"/>
        </w:rPr>
      </w:pPr>
      <w:r>
        <w:rPr>
          <w:rFonts w:ascii="Arial" w:cs="Arial" w:eastAsia="Arial" w:hAnsi="Arial"/>
          <w:sz w:val="22"/>
          <w:szCs w:val="22"/>
          <w:color w:val="auto"/>
        </w:rPr>
        <w:t>Exhibit I – Form of RSU Award Agreement</w:t>
      </w:r>
    </w:p>
    <w:p>
      <w:pPr>
        <w:spacing w:after="0" w:line="205" w:lineRule="auto"/>
        <w:rPr>
          <w:sz w:val="20"/>
          <w:szCs w:val="20"/>
          <w:color w:val="auto"/>
        </w:rPr>
      </w:pPr>
      <w:r>
        <w:rPr>
          <w:rFonts w:ascii="Arial" w:cs="Arial" w:eastAsia="Arial" w:hAnsi="Arial"/>
          <w:sz w:val="22"/>
          <w:szCs w:val="22"/>
          <w:color w:val="auto"/>
        </w:rPr>
        <w:t>Exhibit J – Registration Rights Agreement</w:t>
      </w:r>
    </w:p>
    <w:p>
      <w:pPr>
        <w:spacing w:after="0"/>
        <w:rPr>
          <w:sz w:val="20"/>
          <w:szCs w:val="20"/>
          <w:color w:val="auto"/>
        </w:rPr>
      </w:pPr>
      <w:r>
        <w:rPr>
          <w:rFonts w:ascii="Arial" w:cs="Arial" w:eastAsia="Arial" w:hAnsi="Arial"/>
          <w:sz w:val="22"/>
          <w:szCs w:val="22"/>
          <w:color w:val="auto"/>
        </w:rPr>
        <w:t>Exhibit K –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40" w:right="1440" w:bottom="1440" w:gutter="0" w:footer="0" w:header="0"/>
        </w:sectPr>
      </w:pPr>
    </w:p>
    <w:bookmarkStart w:id="56" w:name="page57"/>
    <w:bookmarkEnd w:id="56"/>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 AND PLAN OF MERGER</w:t>
      </w:r>
    </w:p>
    <w:p>
      <w:pPr>
        <w:spacing w:after="0" w:line="179" w:lineRule="exact"/>
        <w:rPr>
          <w:sz w:val="20"/>
          <w:szCs w:val="20"/>
          <w:color w:val="auto"/>
        </w:rPr>
      </w:pPr>
    </w:p>
    <w:p>
      <w:pPr>
        <w:ind w:right="220" w:firstLine="648"/>
        <w:spacing w:after="0" w:line="250" w:lineRule="auto"/>
        <w:rPr>
          <w:sz w:val="20"/>
          <w:szCs w:val="20"/>
          <w:color w:val="auto"/>
        </w:rPr>
      </w:pPr>
      <w:r>
        <w:rPr>
          <w:rFonts w:ascii="Arial" w:cs="Arial" w:eastAsia="Arial" w:hAnsi="Arial"/>
          <w:sz w:val="19"/>
          <w:szCs w:val="19"/>
          <w:color w:val="auto"/>
        </w:rPr>
        <w:t>THIS AGREEMENT AND PLAN OF MERGER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August 15, 2022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is between Navitas Semiconductor Corporation, a Delaware corporation (the “</w:t>
      </w:r>
      <w:r>
        <w:rPr>
          <w:rFonts w:ascii="Arial" w:cs="Arial" w:eastAsia="Arial" w:hAnsi="Arial"/>
          <w:sz w:val="19"/>
          <w:szCs w:val="19"/>
          <w:b w:val="1"/>
          <w:bCs w:val="1"/>
          <w:color w:val="auto"/>
        </w:rPr>
        <w:t>Acquiror</w:t>
      </w:r>
      <w:r>
        <w:rPr>
          <w:rFonts w:ascii="Arial" w:cs="Arial" w:eastAsia="Arial" w:hAnsi="Arial"/>
          <w:sz w:val="19"/>
          <w:szCs w:val="19"/>
          <w:color w:val="auto"/>
        </w:rPr>
        <w:t>”), Gemini Acquisition LLC, a</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limited liability company and a wholly owned direct subsidiary classified for U.S. federal income tax purposes as a disregarded entity of Acquiror (“</w:t>
      </w:r>
      <w:r>
        <w:rPr>
          <w:rFonts w:ascii="Arial" w:cs="Arial" w:eastAsia="Arial" w:hAnsi="Arial"/>
          <w:sz w:val="19"/>
          <w:szCs w:val="19"/>
          <w:b w:val="1"/>
          <w:bCs w:val="1"/>
          <w:color w:val="auto"/>
        </w:rPr>
        <w:t>Merger Sub</w:t>
      </w:r>
      <w:r>
        <w:rPr>
          <w:rFonts w:ascii="Arial" w:cs="Arial" w:eastAsia="Arial" w:hAnsi="Arial"/>
          <w:sz w:val="19"/>
          <w:szCs w:val="19"/>
          <w:color w:val="auto"/>
        </w:rPr>
        <w:t>”), GeneSiC Semiconductor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Ranbir Singh (“</w:t>
      </w:r>
      <w:r>
        <w:rPr>
          <w:rFonts w:ascii="Arial" w:cs="Arial" w:eastAsia="Arial" w:hAnsi="Arial"/>
          <w:sz w:val="19"/>
          <w:szCs w:val="19"/>
          <w:b w:val="1"/>
          <w:bCs w:val="1"/>
          <w:color w:val="auto"/>
        </w:rPr>
        <w:t>Singh</w:t>
      </w:r>
      <w:r>
        <w:rPr>
          <w:rFonts w:ascii="Arial" w:cs="Arial" w:eastAsia="Arial" w:hAnsi="Arial"/>
          <w:sz w:val="19"/>
          <w:szCs w:val="19"/>
          <w:color w:val="auto"/>
        </w:rPr>
        <w:t>”), the Ranbir Singh Irrevocable Trust dated February 4, 2022 (together with Singh, the “</w:t>
      </w:r>
      <w:r>
        <w:rPr>
          <w:rFonts w:ascii="Arial" w:cs="Arial" w:eastAsia="Arial" w:hAnsi="Arial"/>
          <w:sz w:val="19"/>
          <w:szCs w:val="19"/>
          <w:b w:val="1"/>
          <w:bCs w:val="1"/>
          <w:color w:val="auto"/>
        </w:rPr>
        <w:t>Stockholders</w:t>
      </w:r>
      <w:r>
        <w:rPr>
          <w:rFonts w:ascii="Arial" w:cs="Arial" w:eastAsia="Arial" w:hAnsi="Arial"/>
          <w:sz w:val="19"/>
          <w:szCs w:val="19"/>
          <w:color w:val="auto"/>
        </w:rPr>
        <w:t>”), and Singh in his capacity as representative of the other Stockholder (in such capacity, the “</w:t>
      </w:r>
      <w:r>
        <w:rPr>
          <w:rFonts w:ascii="Arial" w:cs="Arial" w:eastAsia="Arial" w:hAnsi="Arial"/>
          <w:sz w:val="19"/>
          <w:szCs w:val="19"/>
          <w:b w:val="1"/>
          <w:bCs w:val="1"/>
          <w:color w:val="auto"/>
        </w:rPr>
        <w:t>Stockholder Representative</w:t>
      </w:r>
      <w:r>
        <w:rPr>
          <w:rFonts w:ascii="Arial" w:cs="Arial" w:eastAsia="Arial" w:hAnsi="Arial"/>
          <w:sz w:val="19"/>
          <w:szCs w:val="19"/>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178" w:lineRule="exact"/>
        <w:rPr>
          <w:sz w:val="20"/>
          <w:szCs w:val="20"/>
          <w:color w:val="auto"/>
        </w:rPr>
      </w:pPr>
    </w:p>
    <w:p>
      <w:pPr>
        <w:ind w:left="1080" w:hanging="424"/>
        <w:spacing w:after="0"/>
        <w:tabs>
          <w:tab w:leader="none" w:pos="1080"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Boards of Directors of each of Acquiror and the Company and the board of managers Merger Sub have</w:t>
      </w:r>
    </w:p>
    <w:p>
      <w:pPr>
        <w:ind w:right="220" w:firstLine="8"/>
        <w:spacing w:after="0" w:line="214" w:lineRule="auto"/>
        <w:tabs>
          <w:tab w:leader="none" w:pos="258" w:val="left"/>
        </w:tabs>
        <w:numPr>
          <w:ilvl w:val="0"/>
          <w:numId w:val="16"/>
        </w:numPr>
        <w:rPr>
          <w:rFonts w:ascii="Arial" w:cs="Arial" w:eastAsia="Arial" w:hAnsi="Arial"/>
          <w:sz w:val="22"/>
          <w:szCs w:val="22"/>
          <w:color w:val="auto"/>
        </w:rPr>
      </w:pPr>
      <w:r>
        <w:rPr>
          <w:rFonts w:ascii="Arial" w:cs="Arial" w:eastAsia="Arial" w:hAnsi="Arial"/>
          <w:sz w:val="22"/>
          <w:szCs w:val="22"/>
          <w:color w:val="auto"/>
        </w:rPr>
        <w:t>determined that the merger of Company with and into the Merger Sub (the “</w:t>
      </w:r>
      <w:r>
        <w:rPr>
          <w:rFonts w:ascii="Arial" w:cs="Arial" w:eastAsia="Arial" w:hAnsi="Arial"/>
          <w:sz w:val="22"/>
          <w:szCs w:val="22"/>
          <w:b w:val="1"/>
          <w:bCs w:val="1"/>
          <w:color w:val="auto"/>
        </w:rPr>
        <w:t>Merger</w:t>
      </w:r>
      <w:r>
        <w:rPr>
          <w:rFonts w:ascii="Arial" w:cs="Arial" w:eastAsia="Arial" w:hAnsi="Arial"/>
          <w:sz w:val="22"/>
          <w:szCs w:val="22"/>
          <w:color w:val="auto"/>
        </w:rPr>
        <w:t>”) would be advisable and fair to, and in the best interests of, their respective stockholders and members and (ii) approved the Merger upon the terms and subject to the conditions set forth in this Agreement pursuant to the Delaware General Corporation Law (the “</w:t>
      </w:r>
      <w:r>
        <w:rPr>
          <w:rFonts w:ascii="Arial" w:cs="Arial" w:eastAsia="Arial" w:hAnsi="Arial"/>
          <w:sz w:val="22"/>
          <w:szCs w:val="22"/>
          <w:b w:val="1"/>
          <w:bCs w:val="1"/>
          <w:color w:val="auto"/>
        </w:rPr>
        <w:t>DGCL</w:t>
      </w:r>
      <w:r>
        <w:rPr>
          <w:rFonts w:ascii="Arial" w:cs="Arial" w:eastAsia="Arial" w:hAnsi="Arial"/>
          <w:sz w:val="22"/>
          <w:szCs w:val="22"/>
          <w:color w:val="auto"/>
        </w:rPr>
        <w:t>”) and the Delaware Limited Liability Company Act as applicable.</w:t>
      </w:r>
    </w:p>
    <w:p>
      <w:pPr>
        <w:spacing w:after="0" w:line="159" w:lineRule="exact"/>
        <w:rPr>
          <w:rFonts w:ascii="Arial" w:cs="Arial" w:eastAsia="Arial" w:hAnsi="Arial"/>
          <w:sz w:val="22"/>
          <w:szCs w:val="22"/>
          <w:color w:val="auto"/>
        </w:rPr>
      </w:pPr>
    </w:p>
    <w:p>
      <w:pPr>
        <w:ind w:firstLine="656"/>
        <w:spacing w:after="0" w:line="232" w:lineRule="auto"/>
        <w:tabs>
          <w:tab w:leader="none" w:pos="105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Acquiror, Merger Sub and the Company desire to make certain representations, warranties, covenants and agreements in connection with the Merger and also to prescribe various conditions to the Merger.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185"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In consideration of the foregoing and the mutual covenants and agreements herein contained, and intending to be legally bound hereby, the parties agree as follows: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 For purposes of this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Acquiror Common Stock</w:t>
      </w:r>
      <w:r>
        <w:rPr>
          <w:rFonts w:ascii="Arial" w:cs="Arial" w:eastAsia="Arial" w:hAnsi="Arial"/>
          <w:sz w:val="19"/>
          <w:szCs w:val="19"/>
          <w:color w:val="auto"/>
        </w:rPr>
        <w:t>” means shares of the Acquiror’s Class A Common Stock, par value $0.0001 per share.</w:t>
      </w:r>
    </w:p>
    <w:p>
      <w:pPr>
        <w:spacing w:after="0" w:line="214"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Acquiror Fundamental Representations</w:t>
      </w:r>
      <w:r>
        <w:rPr>
          <w:rFonts w:ascii="Arial" w:cs="Arial" w:eastAsia="Arial" w:hAnsi="Arial"/>
          <w:sz w:val="22"/>
          <w:szCs w:val="22"/>
          <w:color w:val="auto"/>
        </w:rPr>
        <w:t>” the representations and warranties of Acquiror and Merger Sub contained in Sections 5.1 (Organization and Qualification), 5.2 (Authority), 5.4 (Capitalization) and 5.10 (Brokers).</w:t>
      </w:r>
    </w:p>
    <w:p>
      <w:pPr>
        <w:spacing w:after="0" w:line="153" w:lineRule="exact"/>
        <w:rPr>
          <w:sz w:val="20"/>
          <w:szCs w:val="20"/>
          <w:color w:val="auto"/>
        </w:rPr>
      </w:pPr>
    </w:p>
    <w:p>
      <w:pPr>
        <w:ind w:right="4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Acquiror Material Adverse Effect</w:t>
      </w:r>
      <w:r>
        <w:rPr>
          <w:rFonts w:ascii="Arial" w:cs="Arial" w:eastAsia="Arial" w:hAnsi="Arial"/>
          <w:sz w:val="19"/>
          <w:szCs w:val="19"/>
          <w:color w:val="auto"/>
        </w:rPr>
        <w:t xml:space="preserve">” means any event, change, occurrence or effect that (a) would prevent, materially delay or materially impede the performance by Acquiror of its material obligations under this Agreement or the consummation of the Merger or any of the other transactions contemplated hereby or (b) would have a material adverse effect on the business, financial condition or results of operations of the Acquiror;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with respect to clause (b) only, no event, change, occurrence or effect directly or indirectly arising out of, attributable to or resulting from any of the following, alone or in combination, shall be deemed to constitute, or be taken into account in determining whether there has been or would or could be, an Acquiror Material Adverse Effect: (1) any changes in general economic or business conditions or in the financial, debt, banking, capital, credit or securities markets, or in interest or exchange rates, in each case, in the United States or elsewhere in the world, (2) any changes or developments generally affecting any of the industries in which the Acquiror operates, (3) any actions required under this Agreement to obtain any approval or authorization under applicable</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antitrust or competition Laws for the consummation of the Merger or any of the other transactions contemplated hereby, (4) any adoption, implementation, modification, repeal or other changes in any applicable Laws (including actions taken by any Governmental Authorities in connection with any of the events set forth in clauses (7), (8), (9) or (10) of this definition, including adoption of or changes in any Public Health Measures) or any changes in applicable accounting regulations or principles, or in interpretations of any of the foregoing, in each case first enacted or publicly announced after the date hereof, (5) any failure by the Acquiror to meet internal or published projections, forecasts or revenue or earnings predictions, in and of itself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facts or occurrences giving rise to or contributing to such failure that are not otherwise excluded from the definition of “</w:t>
      </w:r>
      <w:r>
        <w:rPr>
          <w:rFonts w:ascii="Arial" w:cs="Arial" w:eastAsia="Arial" w:hAnsi="Arial"/>
          <w:sz w:val="19"/>
          <w:szCs w:val="19"/>
          <w:b w:val="1"/>
          <w:bCs w:val="1"/>
          <w:color w:val="auto"/>
        </w:rPr>
        <w:t>Acquiror Material Adverse Effect</w:t>
      </w:r>
      <w:r>
        <w:rPr>
          <w:rFonts w:ascii="Arial" w:cs="Arial" w:eastAsia="Arial" w:hAnsi="Arial"/>
          <w:sz w:val="19"/>
          <w:szCs w:val="19"/>
          <w:color w:val="auto"/>
        </w:rPr>
        <w:t xml:space="preserve">” may be taken into account in determining whether there has been a Material Adverse Effect), (6) political, geopolitical, social or regulatory conditions, including any outbreak, continuation or escalation of any military conflict, declared or undeclared war, armed hostilities, civil unrest, public demonstrations or acts of foreign or domestic terrorism or sabotage (including hacking, ransomware or any other electronic attack), or any escalation or worsening of any such conditions, (7) any natural or manmade disasters or calamities, weather conditions including hurricanes, floods, tornados, tsunamis, earthquakes and wild fires, cyber outages, or other force majeure events, or any escalation or worsening of such conditions, (8) any epidemic, pandemic or outbreak of disease (including, for the avoidance of doubt, COVID-19), or any escalation or worsening or improvement of such conditions, (9) any other regional, national or international calamity, crisis or emergency, whether or not caused by any Person, (10) the announcement of this Agreement and the transactions contemplated hereby, or (11) any action taken by the Acquiror, which is required or permitted by or resulting from or arising in connection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the case of clauses (1), (2), (4), (7), (8), (9) and (10), to the extent the impact of such event, change, occurrence or effect is not disproportionately adverse to the Acquiror, taken as a whole, as compared to other companies operating in similar industries and geographic regions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such event, only the incremental disproportionate adverse impact shall be taken into account when determining whether there has been a “</w:t>
      </w:r>
      <w:r>
        <w:rPr>
          <w:rFonts w:ascii="Arial" w:cs="Arial" w:eastAsia="Arial" w:hAnsi="Arial"/>
          <w:sz w:val="19"/>
          <w:szCs w:val="19"/>
          <w:b w:val="1"/>
          <w:bCs w:val="1"/>
          <w:color w:val="auto"/>
        </w:rPr>
        <w:t>Acquiror Material</w:t>
      </w:r>
      <w:r>
        <w:rPr>
          <w:rFonts w:ascii="Arial" w:cs="Arial" w:eastAsia="Arial" w:hAnsi="Arial"/>
          <w:sz w:val="19"/>
          <w:szCs w:val="19"/>
          <w:color w:val="auto"/>
        </w:rPr>
        <w:t xml:space="preserve"> </w:t>
      </w:r>
      <w:r>
        <w:rPr>
          <w:rFonts w:ascii="Arial" w:cs="Arial" w:eastAsia="Arial" w:hAnsi="Arial"/>
          <w:sz w:val="19"/>
          <w:szCs w:val="19"/>
          <w:b w:val="1"/>
          <w:bCs w:val="1"/>
          <w:color w:val="auto"/>
        </w:rPr>
        <w:t>Adverse Effect</w:t>
      </w:r>
      <w:r>
        <w:rPr>
          <w:rFonts w:ascii="Arial" w:cs="Arial" w:eastAsia="Arial" w:hAnsi="Arial"/>
          <w:sz w:val="19"/>
          <w:szCs w:val="19"/>
          <w:color w:val="auto"/>
        </w:rPr>
        <w:t>”).</w:t>
      </w:r>
    </w:p>
    <w:p>
      <w:pPr>
        <w:spacing w:after="0" w:line="37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claim, dispute, action, suit, investigation, arbitration or proceeding by or against any Person, whether or not before any Governmental Authority.</w:t>
      </w:r>
    </w:p>
    <w:p>
      <w:pPr>
        <w:spacing w:after="0" w:line="153"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Accrued Income Taxes</w:t>
      </w:r>
      <w:r>
        <w:rPr>
          <w:rFonts w:ascii="Arial" w:cs="Arial" w:eastAsia="Arial" w:hAnsi="Arial"/>
          <w:sz w:val="21"/>
          <w:szCs w:val="21"/>
          <w:color w:val="auto"/>
        </w:rPr>
        <w:t>” means the sum of any and all accrued and unpaid Taxes of the Company with respect to income, revenue, or gross receipts (however denominated) for any Pre-Closing Tax Period, which in the case of any Straddle Tax Period shall be calculated in accordance with Section 7.2, with such amount in all cases further calculated (i) on a jurisdiction-by-jurisdiction basis, with no amount for any jurisdiction being less than zero, (ii) by taking into account (A) the Transaction Tax Deductions and, to the extent not included elsewhere in this Agreement as an upward adjustment to the Merger Consideration, any estimated income Tax payments and overpayments of income Taxes paid to the applicable Governmental Authority with respect to any Pre-Closing Tax Period, and (B) any Tax basis, current period Tax deduction, and Tax credits of the Company attributable to a Pre-Closing Tax Period, in each case of (A) and (B), as reductions of the liability (but not below zero (0)) for income Tax for the Company’s Pre-Closing Tax Period to the extent permissible under applicable Law and to the extent such amounts, as lawfully applied, would actually reduce income Taxes that would otherwise be payable in such Pre-Closing Tax Period, and (iii) by excluding Taxes attributable to actions taken by Acquiror or its Affiliates (or caused to be taken by Acquiror or its Affiliates) outside of the Ordinary Course of Business after the Closing but on the Closing Date and not otherwise contemplated by this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Adjustment Escrow Amount</w:t>
      </w:r>
      <w:r>
        <w:rPr>
          <w:rFonts w:ascii="Arial" w:cs="Arial" w:eastAsia="Arial" w:hAnsi="Arial"/>
          <w:sz w:val="22"/>
          <w:szCs w:val="22"/>
          <w:color w:val="auto"/>
        </w:rPr>
        <w:t>” means $500,000.</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71" w:lineRule="exact"/>
        <w:rPr>
          <w:sz w:val="20"/>
          <w:szCs w:val="20"/>
          <w:color w:val="auto"/>
        </w:rPr>
      </w:pPr>
    </w:p>
    <w:p>
      <w:pPr>
        <w:jc w:val="both"/>
        <w:ind w:right="16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Adjustment Escrow Fund</w:t>
      </w:r>
      <w:r>
        <w:rPr>
          <w:rFonts w:ascii="Arial" w:cs="Arial" w:eastAsia="Arial" w:hAnsi="Arial"/>
          <w:sz w:val="22"/>
          <w:szCs w:val="22"/>
          <w:color w:val="auto"/>
        </w:rPr>
        <w:t>” means the Adjustment Escrow Amount deposited with the Escrow Agent, as such amount may be increased or decreased as provided in the Escrow Agreement, including any remaining interest or other amounts earned thereon.</w:t>
      </w:r>
    </w:p>
    <w:p>
      <w:pPr>
        <w:spacing w:after="0" w:line="153" w:lineRule="exact"/>
        <w:rPr>
          <w:sz w:val="20"/>
          <w:szCs w:val="20"/>
          <w:color w:val="auto"/>
        </w:rPr>
      </w:pPr>
    </w:p>
    <w:p>
      <w:pPr>
        <w:ind w:right="9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such first Person.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Balance Sheet</w:t>
      </w:r>
      <w:r>
        <w:rPr>
          <w:rFonts w:ascii="Arial" w:cs="Arial" w:eastAsia="Arial" w:hAnsi="Arial"/>
          <w:sz w:val="22"/>
          <w:szCs w:val="22"/>
          <w:color w:val="auto"/>
        </w:rPr>
        <w:t>” means the unaudited Balance Sheet of the Company as at December 31, 2021.</w:t>
      </w:r>
    </w:p>
    <w:p>
      <w:pPr>
        <w:spacing w:after="0" w:line="179" w:lineRule="exact"/>
        <w:rPr>
          <w:sz w:val="20"/>
          <w:szCs w:val="20"/>
          <w:color w:val="auto"/>
        </w:rPr>
      </w:pPr>
    </w:p>
    <w:p>
      <w:pPr>
        <w:ind w:right="6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w:t>
      </w:r>
      <w:r>
        <w:rPr>
          <w:rFonts w:ascii="Arial" w:cs="Arial" w:eastAsia="Arial" w:hAnsi="Arial"/>
          <w:sz w:val="22"/>
          <w:szCs w:val="22"/>
          <w:color w:val="auto"/>
        </w:rPr>
        <w:t>” means the business of designing, manufacturing, producing, and selling silicon carbide semiconductor technologies (including silicon rectifiers) and products.</w:t>
      </w:r>
    </w:p>
    <w:p>
      <w:pPr>
        <w:spacing w:after="0" w:line="153" w:lineRule="exact"/>
        <w:rPr>
          <w:sz w:val="20"/>
          <w:szCs w:val="20"/>
          <w:color w:val="auto"/>
        </w:rPr>
      </w:pPr>
    </w:p>
    <w:p>
      <w:pPr>
        <w:ind w:right="2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xml:space="preserve"> ” means any day that is not a Saturday, a Sunday or other day on which banks are required or authorized by Law to be closed in Washington, D.C.</w:t>
      </w:r>
    </w:p>
    <w:p>
      <w:pPr>
        <w:spacing w:after="0" w:line="153" w:lineRule="exact"/>
        <w:rPr>
          <w:sz w:val="20"/>
          <w:szCs w:val="20"/>
          <w:color w:val="auto"/>
        </w:rPr>
      </w:pPr>
    </w:p>
    <w:p>
      <w:pPr>
        <w:ind w:right="8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CARES Act</w:t>
      </w:r>
      <w:r>
        <w:rPr>
          <w:rFonts w:ascii="Arial" w:cs="Arial" w:eastAsia="Arial" w:hAnsi="Arial"/>
          <w:sz w:val="22"/>
          <w:szCs w:val="22"/>
          <w:color w:val="auto"/>
        </w:rPr>
        <w:t>” means the Coronavirus Aid, Relief, and Economic Security Act (Pub. L. 116-136), including any amendments thereto.</w:t>
      </w:r>
    </w:p>
    <w:p>
      <w:pPr>
        <w:spacing w:after="0" w:line="153"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means, as at a specified date, the aggregate amount of all cash, cash equivalents and marketable securities held by the Company, including all outstanding security, customer or other deposits, deposits in transit, any received and uncleared checks, wires or drafts and certificates of deposit.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Cash</w:t>
      </w:r>
      <w:r>
        <w:rPr>
          <w:rFonts w:ascii="Arial" w:cs="Arial" w:eastAsia="Arial" w:hAnsi="Arial"/>
          <w:sz w:val="22"/>
          <w:szCs w:val="22"/>
          <w:color w:val="auto"/>
        </w:rPr>
        <w:t>” means Cash of the Company as of immediately prior to the Closing.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Cash Merger Consideration</w:t>
      </w:r>
      <w:r>
        <w:rPr>
          <w:rFonts w:ascii="Arial" w:cs="Arial" w:eastAsia="Arial" w:hAnsi="Arial"/>
          <w:sz w:val="19"/>
          <w:szCs w:val="19"/>
          <w:color w:val="auto"/>
        </w:rPr>
        <w:t xml:space="preserve">” means the Merger Consideration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Stock Merger Consideration Value.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Indebtedness</w:t>
      </w:r>
      <w:r>
        <w:rPr>
          <w:rFonts w:ascii="Arial" w:cs="Arial" w:eastAsia="Arial" w:hAnsi="Arial"/>
          <w:sz w:val="22"/>
          <w:szCs w:val="22"/>
          <w:color w:val="auto"/>
        </w:rPr>
        <w:t>” means the Indebtedness of the Company as of immediately prior to the Closing.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Inventory</w:t>
      </w:r>
      <w:r>
        <w:rPr>
          <w:rFonts w:ascii="Arial" w:cs="Arial" w:eastAsia="Arial" w:hAnsi="Arial"/>
          <w:sz w:val="22"/>
          <w:szCs w:val="22"/>
          <w:color w:val="auto"/>
        </w:rPr>
        <w:t>” means the Inventory as of the Closing Date.</w:t>
      </w:r>
    </w:p>
    <w:p>
      <w:pPr>
        <w:spacing w:after="0" w:line="179" w:lineRule="exact"/>
        <w:rPr>
          <w:sz w:val="20"/>
          <w:szCs w:val="20"/>
          <w:color w:val="auto"/>
        </w:rPr>
      </w:pPr>
    </w:p>
    <w:p>
      <w:pPr>
        <w:ind w:right="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Stock Merger Consideration</w:t>
      </w:r>
      <w:r>
        <w:rPr>
          <w:rFonts w:ascii="Arial" w:cs="Arial" w:eastAsia="Arial" w:hAnsi="Arial"/>
          <w:sz w:val="22"/>
          <w:szCs w:val="22"/>
          <w:color w:val="auto"/>
        </w:rPr>
        <w:t xml:space="preserve">” means a number of shares of Acquiror Common Stock equal to the Stock Merger Consideration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the Stock Price; provided, that in no event shall the Closing Stock Merger Consideration exceed 24,883,161 shares of Acquiror Common Stock.</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Net Working Capital</w:t>
      </w:r>
      <w:r>
        <w:rPr>
          <w:rFonts w:ascii="Arial" w:cs="Arial" w:eastAsia="Arial" w:hAnsi="Arial"/>
          <w:sz w:val="19"/>
          <w:szCs w:val="19"/>
          <w:color w:val="auto"/>
        </w:rPr>
        <w:t>” means Net Working Capital of the Company as of immediately prior to the Closing.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Transaction Expenses</w:t>
      </w:r>
      <w:r>
        <w:rPr>
          <w:rFonts w:ascii="Arial" w:cs="Arial" w:eastAsia="Arial" w:hAnsi="Arial"/>
          <w:sz w:val="22"/>
          <w:szCs w:val="22"/>
          <w:color w:val="auto"/>
        </w:rPr>
        <w:t>” means the Transaction Expenses as of immediately prior to the Closing.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Common Stock</w:t>
      </w:r>
      <w:r>
        <w:rPr>
          <w:rFonts w:ascii="Arial" w:cs="Arial" w:eastAsia="Arial" w:hAnsi="Arial"/>
          <w:sz w:val="22"/>
          <w:szCs w:val="22"/>
          <w:color w:val="auto"/>
        </w:rPr>
        <w:t>” means (i) the Class A common stock, par value $0.0001 per share, of the Company and (ii) the Class B common stock, par value $0.0001 per share, of the Company.</w:t>
      </w:r>
    </w:p>
    <w:p>
      <w:pPr>
        <w:spacing w:after="0" w:line="153" w:lineRule="exact"/>
        <w:rPr>
          <w:sz w:val="20"/>
          <w:szCs w:val="20"/>
          <w:color w:val="auto"/>
        </w:rPr>
      </w:pPr>
    </w:p>
    <w:p>
      <w:pPr>
        <w:ind w:right="4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Fundamental Representations</w:t>
      </w:r>
      <w:r>
        <w:rPr>
          <w:rFonts w:ascii="Arial" w:cs="Arial" w:eastAsia="Arial" w:hAnsi="Arial"/>
          <w:sz w:val="22"/>
          <w:szCs w:val="22"/>
          <w:color w:val="auto"/>
        </w:rPr>
        <w:t xml:space="preserve">” means the representations and warranties of the Company contained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(Organization and Qualification), Section 2.2 3.2</w:t>
      </w:r>
    </w:p>
    <w:p>
      <w:pPr>
        <w:sectPr>
          <w:pgSz w:w="11900" w:h="16838" w:orient="portrait"/>
          <w:cols w:equalWidth="0" w:num="1">
            <w:col w:w="11200"/>
          </w:cols>
          <w:pgMar w:left="320" w:top="1440" w:right="379" w:bottom="1440" w:gutter="0" w:footer="0" w:header="0"/>
        </w:sectPr>
      </w:pPr>
    </w:p>
    <w:bookmarkStart w:id="59" w:name="page60"/>
    <w:bookmarkEnd w:id="59"/>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(Authority), Section 2.4 3.4 (Capitalization), Section 3.5 (Equity Interests) Section 3.15 (Taxes), and 3.19 (Brokers).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IP</w:t>
      </w:r>
      <w:r>
        <w:rPr>
          <w:rFonts w:ascii="Arial" w:cs="Arial" w:eastAsia="Arial" w:hAnsi="Arial"/>
          <w:sz w:val="19"/>
          <w:szCs w:val="19"/>
          <w:color w:val="auto"/>
        </w:rPr>
        <w:t>” means all (a) Company Owned IP and (b) all Intellectual Property licensed by Company from another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Person.</w:t>
      </w:r>
    </w:p>
    <w:p>
      <w:pPr>
        <w:spacing w:after="0" w:line="155" w:lineRule="exact"/>
        <w:rPr>
          <w:sz w:val="20"/>
          <w:szCs w:val="20"/>
          <w:color w:val="auto"/>
        </w:rPr>
      </w:pPr>
    </w:p>
    <w:p>
      <w:pPr>
        <w:ind w:right="20"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Material Adverse Effect</w:t>
      </w:r>
      <w:r>
        <w:rPr>
          <w:rFonts w:ascii="Arial" w:cs="Arial" w:eastAsia="Arial" w:hAnsi="Arial"/>
          <w:sz w:val="19"/>
          <w:szCs w:val="19"/>
          <w:color w:val="auto"/>
        </w:rPr>
        <w:t>” means any event, change, occurrence or effect that (a) would prevent, materially delay or materially impede the performance by Company of its material obligations under this Agreement or the consummation of the Merger or any of the other transactions contemplated hereby or (b) would have a material adverse effect on the business, financial condition or results of operations of the Company; provided however, that with respect to clause (b) only, no event, change, occurrence or effect directly or indirectly arising out of, attributable to or resulting from any of the following, alone or in combination, shall be deemed to constitute, or be taken into account in determining whether there has been or would or could be, a Company Material Adverse Effect: (1) any changes in general economic or business conditions or in the financial, debt, banking, capital, credit or securities markets, or in interest or exchange rates, in each case, in the United States or elsewhere in the world, (2) any changes or developments generally affecting any of the industries in which the Company operates, (3) any actions required under this Agreement to obtain any approval or authorization under applicable antitrust or competition Laws for the consummation of the Merger or any of the other transactions contemplated hereby, (4) any adoption, implementation, modification, repeal or other changes in any applicable Laws affecting the industry in which the Company operates (including actions taken by any Governmental Authorities in connection with any of the events set forth in clauses (7), (8), (9) or (10) of this definition, including adoption of or changes in any Public Health Measures) or any changes in applicable accounting regulations or principles, or in interpretations of any of the foregoing, in each case first enacted or publicly announced after the date hereof,</w:t>
      </w:r>
    </w:p>
    <w:p>
      <w:pPr>
        <w:ind w:firstLine="8"/>
        <w:spacing w:after="0"/>
        <w:tabs>
          <w:tab w:leader="none" w:pos="3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failure by the Company to meet internal or published projections, forecasts or revenue or earnings predictions, in and of itself (provided, that the facts or occurrences giving rise to or contributing to such failure that are not otherwise excluded from the definition of “</w:t>
      </w:r>
      <w:r>
        <w:rPr>
          <w:rFonts w:ascii="Arial" w:cs="Arial" w:eastAsia="Arial" w:hAnsi="Arial"/>
          <w:sz w:val="19"/>
          <w:szCs w:val="19"/>
          <w:b w:val="1"/>
          <w:bCs w:val="1"/>
          <w:color w:val="auto"/>
        </w:rPr>
        <w:t>Company Material Adverse Effect</w:t>
      </w:r>
      <w:r>
        <w:rPr>
          <w:rFonts w:ascii="Arial" w:cs="Arial" w:eastAsia="Arial" w:hAnsi="Arial"/>
          <w:sz w:val="19"/>
          <w:szCs w:val="19"/>
          <w:color w:val="auto"/>
        </w:rPr>
        <w:t>” may be taken into account in determining whether there has been a Material Adverse Effect), (6) political, geopolitical, social or regulatory conditions, including any outbreak, continuation or escalation of any military conflict, declared or undeclared war, armed hostilities, civil unrest, public demonstrations or acts of foreign or domestic terrorism or sabotage (including hacking, ransomware or any other electronic attack), or any escalation or worsening of any such conditions, (7) any natural or manmade disasters or calamities, weather conditions including hurricanes, floods, tornados, tsunamis, earthquakes and wild fires, cyber outages, or other force majeure events, or any escalation or worsening of such conditions, (8) any epidemic, pandemic or outbreak of disease (including, for the avoidance of doubt, COVID-19), or any escalation or worsening or improvement of such conditions, (9) any other regional, national or international calamity, crisis or emergency, whether or not caused by any Person, (10) the announcement of this Agreement and the transactions contemplated hereby, or (11) any action taken by the Company, which is required or permitted by or resulting from or arising in connection with this Agreement, provided, in the case of clauses (1), (2), (4), (7), (8), (9) and (10), to the extent the impact of such event, change, occurrence or effect is not disproportionately adverse to the Company, taken as a whole, as compared to other companies operating in similar industries and geographic regions (and provided further, that in such event, only the incremental disproportionate adverse impact shall be taken into account when determining whether there has been a “</w:t>
      </w:r>
      <w:r>
        <w:rPr>
          <w:rFonts w:ascii="Arial" w:cs="Arial" w:eastAsia="Arial" w:hAnsi="Arial"/>
          <w:sz w:val="19"/>
          <w:szCs w:val="19"/>
          <w:b w:val="1"/>
          <w:bCs w:val="1"/>
          <w:color w:val="auto"/>
        </w:rPr>
        <w:t>Company Material</w:t>
      </w:r>
      <w:r>
        <w:rPr>
          <w:rFonts w:ascii="Arial" w:cs="Arial" w:eastAsia="Arial" w:hAnsi="Arial"/>
          <w:sz w:val="19"/>
          <w:szCs w:val="19"/>
          <w:color w:val="auto"/>
        </w:rPr>
        <w:t xml:space="preserve"> </w:t>
      </w:r>
      <w:r>
        <w:rPr>
          <w:rFonts w:ascii="Arial" w:cs="Arial" w:eastAsia="Arial" w:hAnsi="Arial"/>
          <w:sz w:val="19"/>
          <w:szCs w:val="19"/>
          <w:b w:val="1"/>
          <w:bCs w:val="1"/>
          <w:color w:val="auto"/>
        </w:rPr>
        <w:t>Adverse Effect</w:t>
      </w:r>
      <w:r>
        <w:rPr>
          <w:rFonts w:ascii="Arial" w:cs="Arial" w:eastAsia="Arial" w:hAnsi="Arial"/>
          <w:sz w:val="19"/>
          <w:szCs w:val="19"/>
          <w:color w:val="auto"/>
        </w:rPr>
        <w:t>”).</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Owned IP</w:t>
      </w:r>
      <w:r>
        <w:rPr>
          <w:rFonts w:ascii="Arial" w:cs="Arial" w:eastAsia="Arial" w:hAnsi="Arial"/>
          <w:sz w:val="22"/>
          <w:szCs w:val="22"/>
          <w:color w:val="auto"/>
        </w:rPr>
        <w:t>” means all Intellectual Property owned by the Company.</w:t>
      </w:r>
    </w:p>
    <w:p>
      <w:pPr>
        <w:spacing w:after="0" w:line="179" w:lineRule="exact"/>
        <w:rPr>
          <w:sz w:val="20"/>
          <w:szCs w:val="20"/>
          <w:color w:val="auto"/>
        </w:rPr>
      </w:pPr>
    </w:p>
    <w:p>
      <w:pPr>
        <w:ind w:right="20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in each case in existence as of the Closing, (a) any technical and non-technical information related to a party’s business and current, future and proposed products and services of each of the parties, including for example and without</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limitation, each party’s respective information concerning research, development, design details and specifications, financial information, procurement requirements, engineering and manufacturing information, customer lists, business forecasts, sales information and marketing plans and (b) any information a party has received from others that may be made known to the other party and which a party is obligated to treat as confidential or proprietary, except that information disclosed by a party will be considered Confidential Information by the other party only if the information (i) is provided as information fixed in tangible form or in writing (e.g., paper, disk or electronic mail), is conspicuously designated as “Confidential” (or with some other similar legend), (ii) if provided orally or visually, is identified as confidential at the time of disclosure or (iii) would reasonably be understood by the recipient at the time of disclosure as confidential or proprietary.</w:t>
      </w:r>
    </w:p>
    <w:p>
      <w:pPr>
        <w:spacing w:after="0" w:line="146" w:lineRule="exact"/>
        <w:rPr>
          <w:sz w:val="20"/>
          <w:szCs w:val="20"/>
          <w:color w:val="auto"/>
        </w:rPr>
      </w:pPr>
    </w:p>
    <w:p>
      <w:pPr>
        <w:ind w:right="36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including the terms “</w:t>
      </w:r>
      <w:r>
        <w:rPr>
          <w:rFonts w:ascii="Arial" w:cs="Arial" w:eastAsia="Arial" w:hAnsi="Arial"/>
          <w:sz w:val="19"/>
          <w:szCs w:val="19"/>
          <w:b w:val="1"/>
          <w:bCs w:val="1"/>
          <w:color w:val="auto"/>
        </w:rPr>
        <w:t>controlled by</w:t>
      </w:r>
      <w:r>
        <w:rPr>
          <w:rFonts w:ascii="Arial" w:cs="Arial" w:eastAsia="Arial" w:hAnsi="Arial"/>
          <w:sz w:val="19"/>
          <w:szCs w:val="19"/>
          <w:color w:val="auto"/>
        </w:rPr>
        <w:t>” and “</w:t>
      </w:r>
      <w:r>
        <w:rPr>
          <w:rFonts w:ascii="Arial" w:cs="Arial" w:eastAsia="Arial" w:hAnsi="Arial"/>
          <w:sz w:val="19"/>
          <w:szCs w:val="19"/>
          <w:b w:val="1"/>
          <w:bCs w:val="1"/>
          <w:color w:val="auto"/>
        </w:rPr>
        <w:t>under common control with,</w:t>
      </w:r>
      <w:r>
        <w:rPr>
          <w:rFonts w:ascii="Arial" w:cs="Arial" w:eastAsia="Arial" w:hAnsi="Arial"/>
          <w:sz w:val="19"/>
          <w:szCs w:val="19"/>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w:t>
      </w:r>
    </w:p>
    <w:p>
      <w:pPr>
        <w:spacing w:after="0" w:line="124" w:lineRule="exact"/>
        <w:rPr>
          <w:sz w:val="20"/>
          <w:szCs w:val="20"/>
          <w:color w:val="auto"/>
        </w:rPr>
      </w:pPr>
    </w:p>
    <w:p>
      <w:pPr>
        <w:ind w:right="8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COVID-19</w:t>
      </w:r>
      <w:r>
        <w:rPr>
          <w:rFonts w:ascii="Arial" w:cs="Arial" w:eastAsia="Arial" w:hAnsi="Arial"/>
          <w:sz w:val="22"/>
          <w:szCs w:val="22"/>
          <w:color w:val="auto"/>
        </w:rPr>
        <w:t>” means SARS-CoV-2 or COVID-19, and any variants or evolutions thereof or related or associated epidemics, pandemics or disease outbreaks.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Deemed Deletion</w:t>
      </w:r>
      <w:r>
        <w:rPr>
          <w:rFonts w:ascii="Arial" w:cs="Arial" w:eastAsia="Arial" w:hAnsi="Arial"/>
          <w:sz w:val="22"/>
          <w:szCs w:val="22"/>
          <w:color w:val="auto"/>
        </w:rPr>
        <w:t>” is defined in Schedule 1.1(e).</w:t>
      </w:r>
    </w:p>
    <w:p>
      <w:pPr>
        <w:spacing w:after="0" w:line="179" w:lineRule="exact"/>
        <w:rPr>
          <w:sz w:val="20"/>
          <w:szCs w:val="20"/>
          <w:color w:val="auto"/>
        </w:rPr>
      </w:pPr>
    </w:p>
    <w:p>
      <w:pPr>
        <w:ind w:right="3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Employment Agreements</w:t>
      </w:r>
      <w:r>
        <w:rPr>
          <w:rFonts w:ascii="Arial" w:cs="Arial" w:eastAsia="Arial" w:hAnsi="Arial"/>
          <w:sz w:val="22"/>
          <w:szCs w:val="22"/>
          <w:color w:val="auto"/>
        </w:rPr>
        <w:t>” means the employment agreements between the Company and the Key Employees in the form attached as Exhibit G.</w:t>
      </w:r>
    </w:p>
    <w:p>
      <w:pPr>
        <w:spacing w:after="0" w:line="153" w:lineRule="exact"/>
        <w:rPr>
          <w:sz w:val="20"/>
          <w:szCs w:val="20"/>
          <w:color w:val="auto"/>
        </w:rPr>
      </w:pPr>
    </w:p>
    <w:p>
      <w:pPr>
        <w:ind w:right="2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Encumbrance</w:t>
      </w:r>
      <w:r>
        <w:rPr>
          <w:rFonts w:ascii="Arial" w:cs="Arial" w:eastAsia="Arial" w:hAnsi="Arial"/>
          <w:sz w:val="19"/>
          <w:szCs w:val="19"/>
          <w:color w:val="auto"/>
        </w:rPr>
        <w:t>” means any charge, claim, mortgage, lien, option, pledge, security interest or other restriction of any kind (other than those created under applicable securities laws, and not including any license of Intellectual Property).</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Enterprise Value</w:t>
      </w:r>
      <w:r>
        <w:rPr>
          <w:rFonts w:ascii="Arial" w:cs="Arial" w:eastAsia="Arial" w:hAnsi="Arial"/>
          <w:sz w:val="22"/>
          <w:szCs w:val="22"/>
          <w:color w:val="auto"/>
        </w:rPr>
        <w:t>” means $246,312,986.68.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 means Citibank, N.A., or its successor under the Escrow Agreement.</w:t>
      </w:r>
    </w:p>
    <w:p>
      <w:pPr>
        <w:spacing w:after="0" w:line="179"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 means the escrow agreement to be entered into by and among the Acquiror, the Escrow Agent, and the Stockholder Representative, substantially in the form attached hereto as Exhibit A.</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Merger Consideration</w:t>
      </w:r>
      <w:r>
        <w:rPr>
          <w:rFonts w:ascii="Arial" w:cs="Arial" w:eastAsia="Arial" w:hAnsi="Arial"/>
          <w:sz w:val="22"/>
          <w:szCs w:val="22"/>
          <w:color w:val="auto"/>
        </w:rPr>
        <w:t xml:space="preserve">” means (i) the Enterprise Value,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Estimated Closing Cash,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(iii) the Estimated Closing Indebtedness,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(iv) the Estimated Closing Transaction Expenses, and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minus</w:t>
      </w:r>
      <w:r>
        <w:rPr>
          <w:rFonts w:ascii="Arial" w:cs="Arial" w:eastAsia="Arial" w:hAnsi="Arial"/>
          <w:sz w:val="22"/>
          <w:szCs w:val="22"/>
          <w:color w:val="auto"/>
        </w:rPr>
        <w:t>, as applicable, (v) the Estimated Working Capital Adjustment.</w:t>
      </w:r>
    </w:p>
    <w:p>
      <w:pPr>
        <w:spacing w:after="0" w:line="153"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Fraud</w:t>
      </w:r>
      <w:r>
        <w:rPr>
          <w:rFonts w:ascii="Arial" w:cs="Arial" w:eastAsia="Arial" w:hAnsi="Arial"/>
          <w:sz w:val="21"/>
          <w:szCs w:val="21"/>
          <w:color w:val="auto"/>
        </w:rPr>
        <w:t>” means, with respect to a party, an actual and intentional common law fraud (as opposed to any fraud claim based on constructive knowledge, negligent misrepresentation or omission, recklessness or a similar theory) in respect of the making by such party of any representation or warranty expressly set forth in Article III or Article IV, as applicable, with intent to deceive another party, or to induce that party to enter into this Agreement and requires (a) a false representation of material fact set forth in Article III or Article IV of this Agreement; (b) knowledge by the party making such representation that such representation is false; (c) an intention by such party to induce the other party to whom such representation is made to act or refrain from acting in reliance upon it; (d) causing such other party, in justifiable reliance upon such false representation and with ignorance to the falsity of such representation, to take or refrain from taking action; and (e) causing such other party to suffer actual damage by reason of such reliance.</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ind w:right="9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Representations</w:t>
      </w:r>
      <w:r>
        <w:rPr>
          <w:rFonts w:ascii="Arial" w:cs="Arial" w:eastAsia="Arial" w:hAnsi="Arial"/>
          <w:sz w:val="22"/>
          <w:szCs w:val="22"/>
          <w:color w:val="auto"/>
        </w:rPr>
        <w:t>” means the Acquiror Fundamental Representations and the Stockholder Party Fundamental Representations.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as in effect on the date hereof.</w:t>
      </w:r>
    </w:p>
    <w:p>
      <w:pPr>
        <w:spacing w:after="0" w:line="179" w:lineRule="exact"/>
        <w:rPr>
          <w:sz w:val="20"/>
          <w:szCs w:val="20"/>
          <w:color w:val="auto"/>
        </w:rPr>
      </w:pPr>
    </w:p>
    <w:p>
      <w:pPr>
        <w:ind w:right="2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Contract</w:t>
      </w:r>
      <w:r>
        <w:rPr>
          <w:rFonts w:ascii="Arial" w:cs="Arial" w:eastAsia="Arial" w:hAnsi="Arial"/>
          <w:sz w:val="22"/>
          <w:szCs w:val="22"/>
          <w:color w:val="auto"/>
        </w:rPr>
        <w:t>” means any contract between the Company on the one hand, and (i) the U.S. Government, (ii) any prime contractor to the United States Government in its capacity as a prime contractor, or (iii) any subcontractor with respect to any contract described in clause (i) or clause (ii) above, on the other hand. A task, purchase or delivery order under a Government Contract shall not constitute a separate Government Contract, for purposes of this definition, but shall be part of the Government Contract to which it relates.</w:t>
      </w:r>
    </w:p>
    <w:p>
      <w:pPr>
        <w:spacing w:after="0" w:line="152" w:lineRule="exact"/>
        <w:rPr>
          <w:sz w:val="20"/>
          <w:szCs w:val="20"/>
          <w:color w:val="auto"/>
        </w:rPr>
      </w:pPr>
    </w:p>
    <w:p>
      <w:pPr>
        <w:jc w:val="both"/>
        <w:ind w:right="1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United States, federal, state or local governmental, regulatory or administrative authority, agency or commission or any judicial or arbitral body of any jurisdiction, including without limitation federal, state, and local jurisdictions in the United States and all non-United States jurisdictions.</w:t>
      </w:r>
    </w:p>
    <w:p>
      <w:pPr>
        <w:spacing w:after="0" w:line="15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53" w:lineRule="exact"/>
        <w:rPr>
          <w:sz w:val="20"/>
          <w:szCs w:val="20"/>
          <w:color w:val="auto"/>
        </w:rPr>
      </w:pPr>
    </w:p>
    <w:p>
      <w:pPr>
        <w:ind w:right="1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In-Licenses</w:t>
      </w:r>
      <w:r>
        <w:rPr>
          <w:rFonts w:ascii="Arial" w:cs="Arial" w:eastAsia="Arial" w:hAnsi="Arial"/>
          <w:sz w:val="22"/>
          <w:szCs w:val="22"/>
          <w:color w:val="auto"/>
        </w:rPr>
        <w:t>” means all material licenses, sublicenses, or other agreements under which the Company is granted Intellectual Property by another Person (excluding, for the avoidance of doubt, licenses of commercially available, unmodified, “off the shelf” software or software-as-a-service agreements).</w:t>
      </w:r>
    </w:p>
    <w:p>
      <w:pPr>
        <w:spacing w:after="0" w:line="153" w:lineRule="exact"/>
        <w:rPr>
          <w:sz w:val="20"/>
          <w:szCs w:val="20"/>
          <w:color w:val="auto"/>
        </w:rPr>
      </w:pPr>
    </w:p>
    <w:p>
      <w:pPr>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as at a specified date, without duplication, the principal amount, plus any related accrued and unpaid interest, fees and prepayment premiums or penalties, of (i) indebtedness for borrowed money of the Company (including obligations under leases required to be capitalized under GAAP), (ii) indebtedness of the Company evidenced by any note, bond, debenture or other debt security, (iii) obligations of the Company under any letters of credit, performance bonds or similar obligations, to the extent drawn, (iv) all Accrued Income Taxes and (v) any “applicable employment taxes” (as defined in Section 2302 of the CARES Act) of or with respect to the Company unpaid as of the Closing Date that would have been due on or before the Closing Date but for Section 2302(a)(1) of the CARES Act (including the Paycheck Protection Program), and any other Tax deferral, credit, or benefit pursuant to the CARES Act, the Families First Coronavirus Response Act, the American Rescue Plan Act, or any other change in applicable Law in connection with the COVID-19 Pandemic that has had the result of temporarily reducing (or temporarily delaying the due date of) a Tax payment obligations of or with respect to the Company to a Governmental Authority otherwise due on or before the Closing Date, and (vi) any interest rate swap, forward contract or other hedging arrangement of the Company. Notwithstanding the foregoing, “</w:t>
      </w:r>
      <w:r>
        <w:rPr>
          <w:rFonts w:ascii="Arial" w:cs="Arial" w:eastAsia="Arial" w:hAnsi="Arial"/>
          <w:sz w:val="19"/>
          <w:szCs w:val="19"/>
          <w:b w:val="1"/>
          <w:bCs w:val="1"/>
          <w:color w:val="auto"/>
        </w:rPr>
        <w:t>Indebtedness</w:t>
      </w:r>
      <w:r>
        <w:rPr>
          <w:rFonts w:ascii="Arial" w:cs="Arial" w:eastAsia="Arial" w:hAnsi="Arial"/>
          <w:sz w:val="19"/>
          <w:szCs w:val="19"/>
          <w:color w:val="auto"/>
        </w:rPr>
        <w:t>” does not include (A) any operating or lease obligations not otherwise required to be capitalized under GAAP, (B) any intercompany obligations between or among the Company, (C) obligations under any letters of credit, performance bonds or similar obligations, to the extent not drawn, or</w:t>
      </w:r>
    </w:p>
    <w:p>
      <w:pPr>
        <w:spacing w:after="0" w:line="2" w:lineRule="exact"/>
        <w:rPr>
          <w:sz w:val="20"/>
          <w:szCs w:val="20"/>
          <w:color w:val="auto"/>
        </w:rPr>
      </w:pPr>
    </w:p>
    <w:p>
      <w:pPr>
        <w:ind w:right="260" w:firstLine="8"/>
        <w:spacing w:after="0" w:line="217" w:lineRule="auto"/>
        <w:tabs>
          <w:tab w:leader="none" w:pos="35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trade payables and accrued expenses arising in the Ordinary Course of Business. For the avoidance of doubt, Indebtedness does not include any Indebtedness incurred by the Acquiror and/or any of its Affiliates (and subsequently assumed by the Company) on or after the Closing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means a Person entitled to indemnification under Article VIII.</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means a Person required to provide indemnification under Article X.</w:t>
      </w:r>
    </w:p>
    <w:p>
      <w:pPr>
        <w:sectPr>
          <w:pgSz w:w="11900" w:h="16838" w:orient="portrait"/>
          <w:cols w:equalWidth="0" w:num="1">
            <w:col w:w="11200"/>
          </w:cols>
          <w:pgMar w:left="320" w:top="1440" w:right="379" w:bottom="1440" w:gutter="0" w:footer="0" w:header="0"/>
        </w:sectPr>
      </w:pPr>
    </w:p>
    <w:bookmarkStart w:id="62" w:name="page63"/>
    <w:bookmarkEnd w:id="62"/>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Escrow Amount</w:t>
      </w:r>
      <w:r>
        <w:rPr>
          <w:rFonts w:ascii="Arial" w:cs="Arial" w:eastAsia="Arial" w:hAnsi="Arial"/>
          <w:sz w:val="22"/>
          <w:szCs w:val="22"/>
          <w:color w:val="auto"/>
        </w:rPr>
        <w:t>” means $923,673.70.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Escrow Expiration Date</w:t>
      </w:r>
      <w:r>
        <w:rPr>
          <w:rFonts w:ascii="Arial" w:cs="Arial" w:eastAsia="Arial" w:hAnsi="Arial"/>
          <w:sz w:val="22"/>
          <w:szCs w:val="22"/>
          <w:color w:val="auto"/>
        </w:rPr>
        <w:t>” means August 15, 2024.</w:t>
      </w:r>
    </w:p>
    <w:p>
      <w:pPr>
        <w:spacing w:after="0" w:line="179"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Escrow Fund</w:t>
      </w:r>
      <w:r>
        <w:rPr>
          <w:rFonts w:ascii="Arial" w:cs="Arial" w:eastAsia="Arial" w:hAnsi="Arial"/>
          <w:sz w:val="22"/>
          <w:szCs w:val="22"/>
          <w:color w:val="auto"/>
        </w:rPr>
        <w:t>” means the Indemnity Escrow Amount deposited with the Escrow Agent, as such amount may be increased or decreased as provided in the Escrow Agreement, including any remaining interest or other amounts earned thereon.</w:t>
      </w:r>
    </w:p>
    <w:p>
      <w:pPr>
        <w:spacing w:after="0" w:line="153" w:lineRule="exact"/>
        <w:rPr>
          <w:sz w:val="20"/>
          <w:szCs w:val="20"/>
          <w:color w:val="auto"/>
        </w:rPr>
      </w:pPr>
    </w:p>
    <w:p>
      <w:pPr>
        <w:ind w:right="220"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intellectual property rights arising under the laws of the United States or any other jurisdiction with respect to the following: (i) trade names, trademarks and service marks (registered and unregistered), domain names, trade dress and similar rights and applications to register any of the foregoing (collectively, “</w:t>
      </w:r>
      <w:r>
        <w:rPr>
          <w:rFonts w:ascii="Arial" w:cs="Arial" w:eastAsia="Arial" w:hAnsi="Arial"/>
          <w:sz w:val="19"/>
          <w:szCs w:val="19"/>
          <w:b w:val="1"/>
          <w:bCs w:val="1"/>
          <w:color w:val="auto"/>
        </w:rPr>
        <w:t>Marks</w:t>
      </w:r>
      <w:r>
        <w:rPr>
          <w:rFonts w:ascii="Arial" w:cs="Arial" w:eastAsia="Arial" w:hAnsi="Arial"/>
          <w:sz w:val="19"/>
          <w:szCs w:val="19"/>
          <w:color w:val="auto"/>
        </w:rPr>
        <w:t>”); (ii) patents and patent applications and rights in respect of utility models or industrial designs (collectively, “</w:t>
      </w:r>
      <w:r>
        <w:rPr>
          <w:rFonts w:ascii="Arial" w:cs="Arial" w:eastAsia="Arial" w:hAnsi="Arial"/>
          <w:sz w:val="19"/>
          <w:szCs w:val="19"/>
          <w:b w:val="1"/>
          <w:bCs w:val="1"/>
          <w:color w:val="auto"/>
        </w:rPr>
        <w:t>Patents</w:t>
      </w:r>
      <w:r>
        <w:rPr>
          <w:rFonts w:ascii="Arial" w:cs="Arial" w:eastAsia="Arial" w:hAnsi="Arial"/>
          <w:sz w:val="19"/>
          <w:szCs w:val="19"/>
          <w:color w:val="auto"/>
        </w:rPr>
        <w:t>”); (iii) copyrights and registrations and applications therefor (collectively, “</w:t>
      </w:r>
      <w:r>
        <w:rPr>
          <w:rFonts w:ascii="Arial" w:cs="Arial" w:eastAsia="Arial" w:hAnsi="Arial"/>
          <w:sz w:val="19"/>
          <w:szCs w:val="19"/>
          <w:b w:val="1"/>
          <w:bCs w:val="1"/>
          <w:color w:val="auto"/>
        </w:rPr>
        <w:t>Copyrights</w:t>
      </w:r>
      <w:r>
        <w:rPr>
          <w:rFonts w:ascii="Arial" w:cs="Arial" w:eastAsia="Arial" w:hAnsi="Arial"/>
          <w:sz w:val="19"/>
          <w:szCs w:val="19"/>
          <w:color w:val="auto"/>
        </w:rPr>
        <w:t>”); and (iv) know-how, inventions, discoveries, methods, processes, technical data, specifications, research and development information, technology, data bases and other proprietary or confidential information, including customer lists, in each case that derives economic value from not being generally known to other Persons who can obtain economic value from its disclosure, but excluding any Copyrights or Patents that cover or protect any of the foregoing (collectively, “</w:t>
      </w:r>
      <w:r>
        <w:rPr>
          <w:rFonts w:ascii="Arial" w:cs="Arial" w:eastAsia="Arial" w:hAnsi="Arial"/>
          <w:sz w:val="19"/>
          <w:szCs w:val="19"/>
          <w:b w:val="1"/>
          <w:bCs w:val="1"/>
          <w:color w:val="auto"/>
        </w:rPr>
        <w:t>Trade Secrets</w:t>
      </w:r>
      <w:r>
        <w:rPr>
          <w:rFonts w:ascii="Arial" w:cs="Arial" w:eastAsia="Arial" w:hAnsi="Arial"/>
          <w:sz w:val="19"/>
          <w:szCs w:val="19"/>
          <w:color w:val="auto"/>
        </w:rPr>
        <w:t>”).</w:t>
      </w:r>
    </w:p>
    <w:p>
      <w:pPr>
        <w:spacing w:after="0" w:line="159"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"Invention Assignment Agreement” means the IP Assignment and Confidentiality Agreement between Company and Singh dated August 12, 2022 and attached as Exhibit K.</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Inventory</w:t>
      </w:r>
      <w:r>
        <w:rPr>
          <w:rFonts w:ascii="Arial" w:cs="Arial" w:eastAsia="Arial" w:hAnsi="Arial"/>
          <w:sz w:val="21"/>
          <w:szCs w:val="21"/>
          <w:color w:val="auto"/>
        </w:rPr>
        <w:t>” means all inventory of the Company, including raw materials, work-in-process, and finished goods.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Internal Revenue Service of the United States.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Employees</w:t>
      </w:r>
      <w:r>
        <w:rPr>
          <w:rFonts w:ascii="Arial" w:cs="Arial" w:eastAsia="Arial" w:hAnsi="Arial"/>
          <w:sz w:val="22"/>
          <w:szCs w:val="22"/>
          <w:color w:val="auto"/>
        </w:rPr>
        <w:t>” means Ranbir Singh, Siddarth Sundaresan, Sumit Jadav, and Vamsi Mulpuri.</w:t>
      </w:r>
    </w:p>
    <w:p>
      <w:pPr>
        <w:spacing w:after="0" w:line="179" w:lineRule="exact"/>
        <w:rPr>
          <w:sz w:val="20"/>
          <w:szCs w:val="20"/>
          <w:color w:val="auto"/>
        </w:rPr>
      </w:pPr>
    </w:p>
    <w:p>
      <w:pPr>
        <w:ind w:right="34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with respect to the Company means the actual (but not constructive or imputed) knowledge, after reasonably inquiry, of Ranbir Singh as of the date of this Agreement (or, with respect to a certificate delivered pursuant to this Agreement, as of the date of delivery of such certificate).</w:t>
      </w:r>
    </w:p>
    <w:p>
      <w:pPr>
        <w:spacing w:after="0" w:line="153" w:lineRule="exact"/>
        <w:rPr>
          <w:sz w:val="20"/>
          <w:szCs w:val="20"/>
          <w:color w:val="auto"/>
        </w:rPr>
      </w:pPr>
    </w:p>
    <w:p>
      <w:pPr>
        <w:ind w:right="4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statute, law, ordinance, regulation, rule, code, injunction, judgment, decree or order in force in any legal jurisdiction or promulgated by any Governmental Authority.</w:t>
      </w:r>
    </w:p>
    <w:p>
      <w:pPr>
        <w:spacing w:after="0" w:line="153" w:lineRule="exact"/>
        <w:rPr>
          <w:sz w:val="20"/>
          <w:szCs w:val="20"/>
          <w:color w:val="auto"/>
        </w:rPr>
      </w:pPr>
    </w:p>
    <w:p>
      <w:pPr>
        <w:jc w:val="both"/>
        <w:ind w:right="320"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Leased Real Property</w:t>
      </w:r>
      <w:r>
        <w:rPr>
          <w:rFonts w:ascii="Arial" w:cs="Arial" w:eastAsia="Arial" w:hAnsi="Arial"/>
          <w:sz w:val="21"/>
          <w:szCs w:val="21"/>
          <w:color w:val="auto"/>
        </w:rPr>
        <w:t>” means the real property leased by the Company, in each case, as tenant, together with, to the extent leased by the Company, all buildings and other structures, facilities or improvements located thereon and all easements, licenses, rights and appurtenances of the Company relating to the foregoing.</w:t>
      </w:r>
    </w:p>
    <w:p>
      <w:pPr>
        <w:spacing w:after="0" w:line="152" w:lineRule="exact"/>
        <w:rPr>
          <w:sz w:val="20"/>
          <w:szCs w:val="20"/>
          <w:color w:val="auto"/>
        </w:rPr>
      </w:pPr>
    </w:p>
    <w:p>
      <w:pPr>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Loss</w:t>
      </w:r>
      <w:r>
        <w:rPr>
          <w:rFonts w:ascii="Arial" w:cs="Arial" w:eastAsia="Arial" w:hAnsi="Arial"/>
          <w:sz w:val="19"/>
          <w:szCs w:val="19"/>
          <w:color w:val="auto"/>
        </w:rPr>
        <w:t>” means any and all losses, costs, expenses, assessments, judgments, liabilities, or other damages of any nature whatsoever, including interest, penalties and reasonable attorneys’ fees and disbursements; provided, that “</w:t>
      </w:r>
      <w:r>
        <w:rPr>
          <w:rFonts w:ascii="Arial" w:cs="Arial" w:eastAsia="Arial" w:hAnsi="Arial"/>
          <w:sz w:val="19"/>
          <w:szCs w:val="19"/>
          <w:b w:val="1"/>
          <w:bCs w:val="1"/>
          <w:color w:val="auto"/>
        </w:rPr>
        <w:t>Loss</w:t>
      </w:r>
      <w:r>
        <w:rPr>
          <w:rFonts w:ascii="Arial" w:cs="Arial" w:eastAsia="Arial" w:hAnsi="Arial"/>
          <w:sz w:val="19"/>
          <w:szCs w:val="19"/>
          <w:color w:val="auto"/>
        </w:rPr>
        <w:t>” shall not include any consequential, indirect, special (including business interruption, diminution of value, loss of future revenue, profits or income, or loss of business reputation or opportunity relating to the breach or alleged breach of this Agreement) exemplary or punitive damages (except to the extent paid or payable by an Indemnified Party to a third party in connection with a Third Party Claim) or, with respect to consequential loss, to the extent resulting from a Stockholder’s breach of its non-competition and</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non-solicitation covenants in Section 6.12 or its confidentiality covenants in Section 6.13 of this Agreement.</w:t>
      </w:r>
    </w:p>
    <w:p>
      <w:pPr>
        <w:spacing w:after="0" w:line="173" w:lineRule="exact"/>
        <w:rPr>
          <w:sz w:val="20"/>
          <w:szCs w:val="20"/>
          <w:color w:val="auto"/>
        </w:rPr>
      </w:pPr>
    </w:p>
    <w:p>
      <w:pPr>
        <w:ind w:right="2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Non-Registered IP</w:t>
      </w:r>
      <w:r>
        <w:rPr>
          <w:rFonts w:ascii="Arial" w:cs="Arial" w:eastAsia="Arial" w:hAnsi="Arial"/>
          <w:sz w:val="22"/>
          <w:szCs w:val="22"/>
          <w:color w:val="auto"/>
        </w:rPr>
        <w:t>” means Company Intellectual Property that (1) is not Company Registered IP and (2) is material to the Company’s business or operations.</w:t>
      </w:r>
    </w:p>
    <w:p>
      <w:pPr>
        <w:spacing w:after="0" w:line="153" w:lineRule="exact"/>
        <w:rPr>
          <w:sz w:val="20"/>
          <w:szCs w:val="20"/>
          <w:color w:val="auto"/>
        </w:rPr>
      </w:pPr>
    </w:p>
    <w:p>
      <w:pPr>
        <w:jc w:val="both"/>
        <w:ind w:right="3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Consideration</w:t>
      </w:r>
      <w:r>
        <w:rPr>
          <w:rFonts w:ascii="Arial" w:cs="Arial" w:eastAsia="Arial" w:hAnsi="Arial"/>
          <w:sz w:val="19"/>
          <w:szCs w:val="19"/>
          <w:color w:val="auto"/>
        </w:rPr>
        <w:t xml:space="preserve">” means (i) the Enterprise Value,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Closing Cash,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the Closing Indebtedness,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(iv) the unpaid Closing Transaction Expenses, if any, plus or minus, as applicable, (v) the Working Capital Adjustment.</w:t>
      </w:r>
    </w:p>
    <w:p>
      <w:pPr>
        <w:spacing w:after="0" w:line="93" w:lineRule="exact"/>
        <w:rPr>
          <w:sz w:val="20"/>
          <w:szCs w:val="20"/>
          <w:color w:val="auto"/>
        </w:rPr>
      </w:pPr>
    </w:p>
    <w:p>
      <w:pPr>
        <w:ind w:right="6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Working Capital</w:t>
      </w:r>
      <w:r>
        <w:rPr>
          <w:rFonts w:ascii="Arial" w:cs="Arial" w:eastAsia="Arial" w:hAnsi="Arial"/>
          <w:sz w:val="22"/>
          <w:szCs w:val="22"/>
          <w:color w:val="auto"/>
        </w:rPr>
        <w:t xml:space="preserve">” means, as at a specified date and without duplication, an amount (which may be positive or negative) equal to (i) the current assets of the Company,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current liabilities of the Company, in each case, calculated in accordance with the Applicable Accounting Principles. Notwithstanding anything to the contrary herein, “</w:t>
      </w:r>
      <w:r>
        <w:rPr>
          <w:rFonts w:ascii="Arial" w:cs="Arial" w:eastAsia="Arial" w:hAnsi="Arial"/>
          <w:sz w:val="22"/>
          <w:szCs w:val="22"/>
          <w:b w:val="1"/>
          <w:bCs w:val="1"/>
          <w:color w:val="auto"/>
        </w:rPr>
        <w:t>Net Working</w:t>
      </w:r>
      <w:r>
        <w:rPr>
          <w:rFonts w:ascii="Arial" w:cs="Arial" w:eastAsia="Arial" w:hAnsi="Arial"/>
          <w:sz w:val="22"/>
          <w:szCs w:val="22"/>
          <w:color w:val="auto"/>
        </w:rPr>
        <w:t xml:space="preserve"> </w:t>
      </w:r>
      <w:r>
        <w:rPr>
          <w:rFonts w:ascii="Arial" w:cs="Arial" w:eastAsia="Arial" w:hAnsi="Arial"/>
          <w:sz w:val="22"/>
          <w:szCs w:val="22"/>
          <w:b w:val="1"/>
          <w:bCs w:val="1"/>
          <w:color w:val="auto"/>
        </w:rPr>
        <w:t>Capital</w:t>
      </w:r>
      <w:r>
        <w:rPr>
          <w:rFonts w:ascii="Arial" w:cs="Arial" w:eastAsia="Arial" w:hAnsi="Arial"/>
          <w:sz w:val="22"/>
          <w:szCs w:val="22"/>
          <w:color w:val="auto"/>
        </w:rPr>
        <w:t>” shall include Tax assets and Tax liabilities but, in no event shall “</w:t>
      </w:r>
      <w:r>
        <w:rPr>
          <w:rFonts w:ascii="Arial" w:cs="Arial" w:eastAsia="Arial" w:hAnsi="Arial"/>
          <w:sz w:val="22"/>
          <w:szCs w:val="22"/>
          <w:b w:val="1"/>
          <w:bCs w:val="1"/>
          <w:color w:val="auto"/>
        </w:rPr>
        <w:t>Net Working Capital</w:t>
      </w:r>
      <w:r>
        <w:rPr>
          <w:rFonts w:ascii="Arial" w:cs="Arial" w:eastAsia="Arial" w:hAnsi="Arial"/>
          <w:sz w:val="22"/>
          <w:szCs w:val="22"/>
          <w:color w:val="auto"/>
        </w:rPr>
        <w:t>” include any amounts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Cash, Indebtedness, or Transaction Expenses.</w:t>
      </w:r>
    </w:p>
    <w:p>
      <w:pPr>
        <w:spacing w:after="0" w:line="152"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Non-Fundamental Representations</w:t>
      </w:r>
      <w:r>
        <w:rPr>
          <w:rFonts w:ascii="Arial" w:cs="Arial" w:eastAsia="Arial" w:hAnsi="Arial"/>
          <w:sz w:val="22"/>
          <w:szCs w:val="22"/>
          <w:color w:val="auto"/>
        </w:rPr>
        <w:t>” means the representations and warranties in Articles III, IV, and V, other than the Fundamental Representations.</w:t>
      </w:r>
    </w:p>
    <w:p>
      <w:pPr>
        <w:spacing w:after="0" w:line="153" w:lineRule="exact"/>
        <w:rPr>
          <w:sz w:val="20"/>
          <w:szCs w:val="20"/>
          <w:color w:val="auto"/>
        </w:rPr>
      </w:pPr>
    </w:p>
    <w:p>
      <w:pPr>
        <w:jc w:val="both"/>
        <w:ind w:right="1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Agreements</w:t>
      </w:r>
      <w:r>
        <w:rPr>
          <w:rFonts w:ascii="Arial" w:cs="Arial" w:eastAsia="Arial" w:hAnsi="Arial"/>
          <w:sz w:val="22"/>
          <w:szCs w:val="22"/>
          <w:color w:val="auto"/>
        </w:rPr>
        <w:t>” means the Long-Term Incentive Program Option Agreement between Singh and the Acquiror in the form attached as Exhibit H, pursuant to which the Acquiror will issue the number of options to purchase Acquiror Common Stock listed in Exhibit H to the Optionees.</w:t>
      </w:r>
    </w:p>
    <w:p>
      <w:pPr>
        <w:spacing w:after="0" w:line="153" w:lineRule="exact"/>
        <w:rPr>
          <w:sz w:val="20"/>
          <w:szCs w:val="20"/>
          <w:color w:val="auto"/>
        </w:rPr>
      </w:pPr>
    </w:p>
    <w:p>
      <w:pPr>
        <w:ind w:right="10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Course of Business</w:t>
      </w:r>
      <w:r>
        <w:rPr>
          <w:rFonts w:ascii="Arial" w:cs="Arial" w:eastAsia="Arial" w:hAnsi="Arial"/>
          <w:sz w:val="22"/>
          <w:szCs w:val="22"/>
          <w:color w:val="auto"/>
        </w:rPr>
        <w:t xml:space="preserve">” means, with respect to any Person, the ordinary course of business of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actions taken (or omitted to be taken) in response to the COVID-19 pandemic or any Public Health Measures shall be deemed to be in the Ordinary Course of Business.</w:t>
      </w:r>
    </w:p>
    <w:p>
      <w:pPr>
        <w:spacing w:after="0" w:line="153" w:lineRule="exact"/>
        <w:rPr>
          <w:sz w:val="20"/>
          <w:szCs w:val="20"/>
          <w:color w:val="auto"/>
        </w:rPr>
      </w:pPr>
    </w:p>
    <w:p>
      <w:pPr>
        <w:ind w:right="2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Out-Licenses</w:t>
      </w:r>
      <w:r>
        <w:rPr>
          <w:rFonts w:ascii="Arial" w:cs="Arial" w:eastAsia="Arial" w:hAnsi="Arial"/>
          <w:sz w:val="19"/>
          <w:szCs w:val="19"/>
          <w:color w:val="auto"/>
        </w:rPr>
        <w:t>” means all licenses, sublicenses, or other agreements under which the Company has granted Intellectual Property to another Person, other than (i) agreements with customers, partners and potential customers and partners for the evaluation, sale, license, support or service of Products in the ordinary course of business consistent with past practice, (ii) agreements with consultants, contractors or vendors where a non-exclusive license is provided in order for the consultant, contractor or vendor to perform its agreed services, (iii) agreements with suppliers and manufacturers entered into in the ordinary course of business consistent with past practice, and (iv) agreements under which a non-exclusive license is incidental to the primary purpose of the agreement and does not involve material Intellectual Property of the Company.</w:t>
      </w:r>
    </w:p>
    <w:p>
      <w:pPr>
        <w:spacing w:after="0" w:line="148" w:lineRule="exact"/>
        <w:rPr>
          <w:sz w:val="20"/>
          <w:szCs w:val="20"/>
          <w:color w:val="auto"/>
        </w:rPr>
      </w:pPr>
    </w:p>
    <w:p>
      <w:pPr>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Pass-Through Income Tax Return</w:t>
      </w:r>
      <w:r>
        <w:rPr>
          <w:rFonts w:ascii="Arial" w:cs="Arial" w:eastAsia="Arial" w:hAnsi="Arial"/>
          <w:sz w:val="22"/>
          <w:szCs w:val="22"/>
          <w:color w:val="auto"/>
        </w:rPr>
        <w:t>” means, for any Tax period ending on or before the Closing Date, any Return of the Company for income Taxes in respect of which items of income, deduction, credit, gain or loss are passed through to the direct or indirect beneficial owners of the Company under applicable Law as a result of the Company being treated as an S corporation within the meaning of Section 1361(a)(1) of the Code.</w:t>
      </w:r>
    </w:p>
    <w:p>
      <w:pPr>
        <w:spacing w:after="0" w:line="152" w:lineRule="exact"/>
        <w:rPr>
          <w:sz w:val="20"/>
          <w:szCs w:val="20"/>
          <w:color w:val="auto"/>
        </w:rPr>
      </w:pPr>
    </w:p>
    <w:p>
      <w:pPr>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w:t>
      </w:r>
      <w:r>
        <w:rPr>
          <w:rFonts w:ascii="Arial" w:cs="Arial" w:eastAsia="Arial" w:hAnsi="Arial"/>
          <w:sz w:val="19"/>
          <w:szCs w:val="19"/>
          <w:color w:val="auto"/>
        </w:rPr>
        <w:t>” means (i) statutory liens for current Taxes not yet due or delinquent or the validity or amount of which is being contested in good faith by appropriate proceedings to the extent reserved for in Company’s Financial Statements, (ii) mechanics’, carriers’, workers’, repairers’ and other similar liens arising or incurred in the ordinary course of business relating to obligations as to which there is no default on the part of the Company, or the validity or amount of which is being contested in good faith by appropriate proceedings, or pledges, deposits or other liens securing the performance of bids, trade contracts, leases or statutory obligations (including workers’ compensation, unemployment insurance or other social</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77" w:lineRule="exact"/>
        <w:rPr>
          <w:sz w:val="20"/>
          <w:szCs w:val="20"/>
          <w:color w:val="auto"/>
        </w:rPr>
      </w:pPr>
    </w:p>
    <w:p>
      <w:pPr>
        <w:ind w:right="120"/>
        <w:spacing w:after="0" w:line="221" w:lineRule="auto"/>
        <w:rPr>
          <w:sz w:val="20"/>
          <w:szCs w:val="20"/>
          <w:color w:val="auto"/>
        </w:rPr>
      </w:pPr>
      <w:r>
        <w:rPr>
          <w:rFonts w:ascii="Arial" w:cs="Arial" w:eastAsia="Arial" w:hAnsi="Arial"/>
          <w:sz w:val="21"/>
          <w:szCs w:val="21"/>
          <w:color w:val="auto"/>
        </w:rPr>
        <w:t>security legislation) to the extent reserved for in Company’s Financial Statements, (iii) zoning, entitlement, conservation restriction and other land use and environmental regulations promulgated by Governmental Authorities, (iv) liens granted to any lender at the Closing in connection with any financing by Acquiror of the transactions contemplated hereby, (v) any right, interest, lien, title or other Encumbrance of a lessor or sublessor under any lease or other similar agreement or in the property being leased, (vi) all exceptions, restrictions, easements, imperfections of title, charges, rights-of-way and other similar Encumbrances that do not materially interfere with the present use of the assets of the Company taken as a whole, and (vii) any restriction on transfer applicable to Shares under state, local or federal securities Laws or the organizational documents of the Company.</w:t>
      </w:r>
    </w:p>
    <w:p>
      <w:pPr>
        <w:spacing w:after="0" w:line="159"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53"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Post-Closing Covenants</w:t>
      </w:r>
      <w:r>
        <w:rPr>
          <w:rFonts w:ascii="Arial" w:cs="Arial" w:eastAsia="Arial" w:hAnsi="Arial"/>
          <w:sz w:val="22"/>
          <w:szCs w:val="22"/>
          <w:color w:val="auto"/>
        </w:rPr>
        <w:t>” means the post-closing covenants, obligations, and other agreements of the Stockholders and the Acquiror under this Agreement.</w:t>
      </w:r>
    </w:p>
    <w:p>
      <w:pPr>
        <w:spacing w:after="0" w:line="153" w:lineRule="exact"/>
        <w:rPr>
          <w:sz w:val="20"/>
          <w:szCs w:val="20"/>
          <w:color w:val="auto"/>
        </w:rPr>
      </w:pPr>
    </w:p>
    <w:p>
      <w:pPr>
        <w:ind w:right="2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 Period</w:t>
      </w:r>
      <w:r>
        <w:rPr>
          <w:rFonts w:ascii="Arial" w:cs="Arial" w:eastAsia="Arial" w:hAnsi="Arial"/>
          <w:sz w:val="22"/>
          <w:szCs w:val="22"/>
          <w:color w:val="auto"/>
        </w:rPr>
        <w:t>” means any Tax period ending on or before the Closing Date and the portion of any Straddle Tax period ending on the Closing Date.</w:t>
      </w:r>
    </w:p>
    <w:p>
      <w:pPr>
        <w:spacing w:after="0" w:line="153" w:lineRule="exact"/>
        <w:rPr>
          <w:sz w:val="20"/>
          <w:szCs w:val="20"/>
          <w:color w:val="auto"/>
        </w:rPr>
      </w:pPr>
    </w:p>
    <w:p>
      <w:pPr>
        <w:ind w:right="4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Rata Percentages</w:t>
      </w:r>
      <w:r>
        <w:rPr>
          <w:rFonts w:ascii="Arial" w:cs="Arial" w:eastAsia="Arial" w:hAnsi="Arial"/>
          <w:sz w:val="22"/>
          <w:szCs w:val="22"/>
          <w:color w:val="auto"/>
        </w:rPr>
        <w:t>” means the percentages set forth on Schedule 3.4I, which represent each Stockholders’ fully diluted percentage of the Company Common Stock.</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w:t>
      </w:r>
      <w:r>
        <w:rPr>
          <w:rFonts w:ascii="Arial" w:cs="Arial" w:eastAsia="Arial" w:hAnsi="Arial"/>
          <w:sz w:val="22"/>
          <w:szCs w:val="22"/>
          <w:color w:val="auto"/>
        </w:rPr>
        <w:t>” means products and services of the Company, both current and historical.</w:t>
      </w:r>
    </w:p>
    <w:p>
      <w:pPr>
        <w:spacing w:after="0" w:line="179" w:lineRule="exact"/>
        <w:rPr>
          <w:sz w:val="20"/>
          <w:szCs w:val="20"/>
          <w:color w:val="auto"/>
        </w:rPr>
      </w:pPr>
    </w:p>
    <w:p>
      <w:pPr>
        <w:ind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Public Health Measures</w:t>
      </w:r>
      <w:r>
        <w:rPr>
          <w:rFonts w:ascii="Arial" w:cs="Arial" w:eastAsia="Arial" w:hAnsi="Arial"/>
          <w:sz w:val="22"/>
          <w:szCs w:val="22"/>
          <w:color w:val="auto"/>
        </w:rPr>
        <w:t>” means any quarantine, “shelter in place,” “stay at home,” furlough, workforce reduction, social distancing, shut down, closure, sequester or any other Law, order, directive, guideline or recommendation by any Governmental Authority, the World Health Organization or any industry group in connection with or in response to COVID-19 or any other epidemic, pandemic or outbreak of disease, or in connection with or in response to any other public health conditions, in each case, whether such Law, order, directive, guideline or recommendation, or such measures, are in place currently or adopted or modified hereafter.</w:t>
      </w:r>
    </w:p>
    <w:p>
      <w:pPr>
        <w:spacing w:after="0" w:line="152" w:lineRule="exact"/>
        <w:rPr>
          <w:sz w:val="20"/>
          <w:szCs w:val="20"/>
          <w:color w:val="auto"/>
        </w:rPr>
      </w:pPr>
    </w:p>
    <w:p>
      <w:pPr>
        <w:ind w:right="5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R&amp;W Insurance Fees</w:t>
      </w:r>
      <w:r>
        <w:rPr>
          <w:rFonts w:ascii="Arial" w:cs="Arial" w:eastAsia="Arial" w:hAnsi="Arial"/>
          <w:sz w:val="22"/>
          <w:szCs w:val="22"/>
          <w:color w:val="auto"/>
        </w:rPr>
        <w:t>” means all fees, commissions, expenses, premiums, and other underwriting costs relating to obtaining the R&amp;W Insurance Policy.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R&amp;W Insurer</w:t>
      </w:r>
      <w:r>
        <w:rPr>
          <w:rFonts w:ascii="Arial" w:cs="Arial" w:eastAsia="Arial" w:hAnsi="Arial"/>
          <w:sz w:val="22"/>
          <w:szCs w:val="22"/>
          <w:color w:val="auto"/>
        </w:rPr>
        <w:t>” means AIG Specialty Insurance Company.</w:t>
      </w:r>
    </w:p>
    <w:p>
      <w:pPr>
        <w:spacing w:after="0" w:line="179" w:lineRule="exact"/>
        <w:rPr>
          <w:sz w:val="20"/>
          <w:szCs w:val="20"/>
          <w:color w:val="auto"/>
        </w:rPr>
      </w:pPr>
    </w:p>
    <w:p>
      <w:pPr>
        <w:ind w:right="44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R&amp;W Insurance Policy</w:t>
      </w:r>
      <w:r>
        <w:rPr>
          <w:rFonts w:ascii="Arial" w:cs="Arial" w:eastAsia="Arial" w:hAnsi="Arial"/>
          <w:sz w:val="19"/>
          <w:szCs w:val="19"/>
          <w:color w:val="auto"/>
        </w:rPr>
        <w:t>” means the buyer-side representations and warranties insurance policy issued by the R&amp;W Insurer to the Acquiror, at the Acquiror’s and Stockholders’ expense, and to be attached hereto at Closing as Exhibit C.</w:t>
      </w:r>
    </w:p>
    <w:p>
      <w:pPr>
        <w:spacing w:after="0" w:line="93" w:lineRule="exact"/>
        <w:rPr>
          <w:sz w:val="20"/>
          <w:szCs w:val="20"/>
          <w:color w:val="auto"/>
        </w:rPr>
      </w:pPr>
    </w:p>
    <w:p>
      <w:pPr>
        <w:ind w:right="4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with respect to any Person, the officers, directors, principals, employees, agents, auditors, advisors, bankers and other representatives of such Person.</w:t>
      </w:r>
    </w:p>
    <w:p>
      <w:pPr>
        <w:spacing w:after="0" w:line="153" w:lineRule="exact"/>
        <w:rPr>
          <w:sz w:val="20"/>
          <w:szCs w:val="20"/>
          <w:color w:val="auto"/>
        </w:rPr>
      </w:pPr>
    </w:p>
    <w:p>
      <w:pPr>
        <w:ind w:right="36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Return</w:t>
      </w:r>
      <w:r>
        <w:rPr>
          <w:rFonts w:ascii="Arial" w:cs="Arial" w:eastAsia="Arial" w:hAnsi="Arial"/>
          <w:sz w:val="19"/>
          <w:szCs w:val="19"/>
          <w:color w:val="auto"/>
        </w:rPr>
        <w:t>” means any return, declaration, report, statement, information statement, estimate, form, and other document required to be filed with respect to Taxes, including any schedules or other attachment thereto and any amendments thereof.</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RSU</w:t>
      </w:r>
      <w:r>
        <w:rPr>
          <w:rFonts w:ascii="Arial" w:cs="Arial" w:eastAsia="Arial" w:hAnsi="Arial"/>
          <w:sz w:val="22"/>
          <w:szCs w:val="22"/>
          <w:color w:val="auto"/>
        </w:rPr>
        <w:t>” means a restricted stock unit of the Acquiror.</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RSU Award Agreement</w:t>
      </w:r>
      <w:r>
        <w:rPr>
          <w:rFonts w:ascii="Arial" w:cs="Arial" w:eastAsia="Arial" w:hAnsi="Arial"/>
          <w:sz w:val="22"/>
          <w:szCs w:val="22"/>
          <w:color w:val="auto"/>
        </w:rPr>
        <w:t>” means those certain RSU Award Agreements, in the form of Exhibit I hereto.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RWI Exclusions</w:t>
      </w:r>
      <w:r>
        <w:rPr>
          <w:rFonts w:ascii="Arial" w:cs="Arial" w:eastAsia="Arial" w:hAnsi="Arial"/>
          <w:sz w:val="22"/>
          <w:szCs w:val="22"/>
          <w:color w:val="auto"/>
        </w:rPr>
        <w:t>” is defined in Schedule 1.1(e).</w:t>
      </w:r>
    </w:p>
    <w:p>
      <w:pPr>
        <w:spacing w:after="0" w:line="179" w:lineRule="exact"/>
        <w:rPr>
          <w:sz w:val="20"/>
          <w:szCs w:val="20"/>
          <w:color w:val="auto"/>
        </w:rPr>
      </w:pPr>
    </w:p>
    <w:p>
      <w:pPr>
        <w:ind w:right="58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Stockholder Fundamental Representations</w:t>
      </w:r>
      <w:r>
        <w:rPr>
          <w:rFonts w:ascii="Arial" w:cs="Arial" w:eastAsia="Arial" w:hAnsi="Arial"/>
          <w:sz w:val="19"/>
          <w:szCs w:val="19"/>
          <w:color w:val="auto"/>
        </w:rPr>
        <w:t>” means the representations and warranties contained in Sections 4.1 (Authority; Enforceability), 4.2 (Title to Shares), 4.4 (Brokers), and 4.6 (Ultimate Parent Entity and Size of Person).</w:t>
      </w:r>
    </w:p>
    <w:p>
      <w:pPr>
        <w:spacing w:after="0" w:line="93" w:lineRule="exact"/>
        <w:rPr>
          <w:sz w:val="20"/>
          <w:szCs w:val="20"/>
          <w:color w:val="auto"/>
        </w:rPr>
      </w:pPr>
    </w:p>
    <w:p>
      <w:pPr>
        <w:ind w:right="7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Party Fundamental Representations</w:t>
      </w:r>
      <w:r>
        <w:rPr>
          <w:rFonts w:ascii="Arial" w:cs="Arial" w:eastAsia="Arial" w:hAnsi="Arial"/>
          <w:sz w:val="22"/>
          <w:szCs w:val="22"/>
          <w:color w:val="auto"/>
        </w:rPr>
        <w:t>” means the Company Fundamental Representations and the Stockholder Fundamental Representations.</w:t>
      </w:r>
    </w:p>
    <w:p>
      <w:pPr>
        <w:spacing w:after="0" w:line="153" w:lineRule="exact"/>
        <w:rPr>
          <w:sz w:val="20"/>
          <w:szCs w:val="20"/>
          <w:color w:val="auto"/>
        </w:rPr>
      </w:pPr>
    </w:p>
    <w:p>
      <w:pPr>
        <w:ind w:right="42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Party Non-Fundamental Representations</w:t>
      </w:r>
      <w:r>
        <w:rPr>
          <w:rFonts w:ascii="Arial" w:cs="Arial" w:eastAsia="Arial" w:hAnsi="Arial"/>
          <w:sz w:val="22"/>
          <w:szCs w:val="22"/>
          <w:color w:val="auto"/>
        </w:rPr>
        <w:t>” means the representations and warranties of Company in Article III and of Stockholders in Article IV, other than the Company Fundamental Representations and the Stockholder Fundamental Representations.</w:t>
      </w:r>
    </w:p>
    <w:p>
      <w:pPr>
        <w:spacing w:after="0" w:line="153" w:lineRule="exact"/>
        <w:rPr>
          <w:sz w:val="20"/>
          <w:szCs w:val="20"/>
          <w:color w:val="auto"/>
        </w:rPr>
      </w:pPr>
    </w:p>
    <w:p>
      <w:pPr>
        <w:ind w:right="8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 Party Representations</w:t>
      </w:r>
      <w:r>
        <w:rPr>
          <w:rFonts w:ascii="Arial" w:cs="Arial" w:eastAsia="Arial" w:hAnsi="Arial"/>
          <w:sz w:val="22"/>
          <w:szCs w:val="22"/>
          <w:color w:val="auto"/>
        </w:rPr>
        <w:t>” means the Stockholder Party Non-Fundamental Representations and the Stockholder Party Fundamental Representations.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shares of Company Common Stock.</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Price</w:t>
      </w:r>
      <w:r>
        <w:rPr>
          <w:rFonts w:ascii="Arial" w:cs="Arial" w:eastAsia="Arial" w:hAnsi="Arial"/>
          <w:sz w:val="22"/>
          <w:szCs w:val="22"/>
          <w:color w:val="auto"/>
        </w:rPr>
        <w:t>” means $5.88.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Merger Consideration Value</w:t>
      </w:r>
      <w:r>
        <w:rPr>
          <w:rFonts w:ascii="Arial" w:cs="Arial" w:eastAsia="Arial" w:hAnsi="Arial"/>
          <w:sz w:val="22"/>
          <w:szCs w:val="22"/>
          <w:color w:val="auto"/>
        </w:rPr>
        <w:t>” means $146,312,986.68.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Straddle Tax Period</w:t>
      </w:r>
      <w:r>
        <w:rPr>
          <w:rFonts w:ascii="Arial" w:cs="Arial" w:eastAsia="Arial" w:hAnsi="Arial"/>
          <w:sz w:val="19"/>
          <w:szCs w:val="19"/>
          <w:color w:val="auto"/>
        </w:rPr>
        <w:t>” means a Tax period that begins on or before the Closing Date and ends after the Closing Date.</w:t>
      </w:r>
    </w:p>
    <w:p>
      <w:pPr>
        <w:spacing w:after="0" w:line="214" w:lineRule="exact"/>
        <w:rPr>
          <w:sz w:val="20"/>
          <w:szCs w:val="20"/>
          <w:color w:val="auto"/>
        </w:rPr>
      </w:pPr>
    </w:p>
    <w:p>
      <w:pPr>
        <w:ind w:right="66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any Person, any other Person of which at least 50% of the outstanding voting securities or other voting equity interests are owned, directly or indirectly, by such first Person.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Net Working Capital</w:t>
      </w:r>
      <w:r>
        <w:rPr>
          <w:rFonts w:ascii="Arial" w:cs="Arial" w:eastAsia="Arial" w:hAnsi="Arial"/>
          <w:sz w:val="22"/>
          <w:szCs w:val="22"/>
          <w:color w:val="auto"/>
        </w:rPr>
        <w:t>” means $2,600,000.</w:t>
      </w:r>
    </w:p>
    <w:p>
      <w:pPr>
        <w:spacing w:after="0" w:line="179" w:lineRule="exact"/>
        <w:rPr>
          <w:sz w:val="20"/>
          <w:szCs w:val="20"/>
          <w:color w:val="auto"/>
        </w:rPr>
      </w:pPr>
    </w:p>
    <w:p>
      <w:pPr>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means any and all taxes of any kind (together with any and all interest, penalties, additions to tax and additional amounts imposed with respect thereto) imposed by any Governmental Authority including but not limited to any and all U.S. federal, state, local and non-U.S. taxes, rates, levies, assessments and other charges, duties, impositions and liabilities, including taxes based upon or measured by gross receipts, gross or net income, profits, property, sales, use and occupation, and value added, ad valorem, transfer, franchise, withholding, payroll, recapture, escheat, abandoned or unclaimed property, employment or unemployment, excise and property taxes as well as public imposts, fees, capital or capital stock tax, customs and import duties, stamp tax, franchise tax, goods and services tax and social security charges (including health, unemployment, workers’ compensation and pension insurance), together with all interest, penalties, fines and additions imposed with respect to such amounts.</w:t>
      </w:r>
    </w:p>
    <w:p>
      <w:pPr>
        <w:spacing w:after="0" w:line="158" w:lineRule="exact"/>
        <w:rPr>
          <w:sz w:val="20"/>
          <w:szCs w:val="20"/>
          <w:color w:val="auto"/>
        </w:rPr>
      </w:pPr>
    </w:p>
    <w:p>
      <w:pPr>
        <w:ind w:right="60"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means, to the extent not paid by or on behalf of the Company or the Stockholders or otherwise prior to the Closing Date, the fees, costs and expenses incurred by the Company on or prior to the Closing Date in connection with the transactions contemplated by this Agreement, including (i) all fees and expenses of counsel, advisors, consultants, investment bankers, accountants, auditors and any other experts in connection with the transactions contemplated hereby (ii) any change of control payments, bonuses, retention obligations or similar amounts payable by the Company that become due solely as a result of the consummation of the transactions contemplated hereby (but, for the avoidance of doubt, not</w:t>
      </w:r>
    </w:p>
    <w:p>
      <w:pPr>
        <w:sectPr>
          <w:pgSz w:w="11900" w:h="16838" w:orient="portrait"/>
          <w:cols w:equalWidth="0" w:num="1">
            <w:col w:w="11200"/>
          </w:cols>
          <w:pgMar w:left="320" w:top="1440" w:right="379" w:bottom="1440" w:gutter="0" w:footer="0" w:header="0"/>
        </w:sectPr>
      </w:pPr>
    </w:p>
    <w:bookmarkStart w:id="66" w:name="page67"/>
    <w:bookmarkEnd w:id="66"/>
    <w:p>
      <w:pPr>
        <w:spacing w:after="0" w:line="177" w:lineRule="exact"/>
        <w:rPr>
          <w:sz w:val="20"/>
          <w:szCs w:val="20"/>
          <w:color w:val="auto"/>
        </w:rPr>
      </w:pPr>
    </w:p>
    <w:p>
      <w:pPr>
        <w:ind w:right="40"/>
        <w:spacing w:after="0" w:line="229" w:lineRule="auto"/>
        <w:rPr>
          <w:sz w:val="20"/>
          <w:szCs w:val="20"/>
          <w:color w:val="auto"/>
        </w:rPr>
      </w:pPr>
      <w:r>
        <w:rPr>
          <w:rFonts w:ascii="Arial" w:cs="Arial" w:eastAsia="Arial" w:hAnsi="Arial"/>
          <w:sz w:val="21"/>
          <w:szCs w:val="21"/>
          <w:color w:val="auto"/>
        </w:rPr>
        <w:t>regular performance bonuses or any “double trigger,” contingent or similar payments to any employee in connection with a subsequent termination of employment with the Company of such employee after the Closing), and (iii) the employer portion of any payroll, social security, workmen’s compensation premiums or unemployment Taxes that are required to be paid by the Company in connection with the payments and bonuses enumerated in this definition.</w:t>
      </w:r>
    </w:p>
    <w:p>
      <w:pPr>
        <w:spacing w:after="0" w:line="152"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Tax Deductions</w:t>
      </w:r>
      <w:r>
        <w:rPr>
          <w:rFonts w:ascii="Arial" w:cs="Arial" w:eastAsia="Arial" w:hAnsi="Arial"/>
          <w:sz w:val="19"/>
          <w:szCs w:val="19"/>
          <w:color w:val="auto"/>
        </w:rPr>
        <w:t>” means, without duplication and regardless of by whom paid, the aggregate amount of (i) any and all stay bonuses, sale bonuses, change in control payments, retention payments, synthetic equity payments, or similar payments made or to be made by the Company in connection with or resulting from the Closing (or included as a liability in the Closing Net Working Capital), (ii) all fees, expenses and interest (including amounts treated as interest for U.S. federal income Tax purposes), original issue discount, unamortized debt financing costs, breakage fees, tender premiums, consent fees, redemption, retirement or make-whole payments, defeasance in excess of par or similar payments incurred in respect of the Indebtedness in connection with the Closing or included as a liability in the Closing Net Working Capital, (iii) all fees, costs and expenses incurred by the Company in connection with or incident to this Agreement and the transactions contemplated hereby, including, to the extent “more likely than not” deductible, any such legal, accounting and investment banking fees, costs and expenses, (iv) any employment Taxes with respect to the amounts set forth in the foregoing clauses (i) and (iii), and (v) any applicable expenses or other amounts not otherwise described in clauses (i)-(iv) of this definition that are paid by or on behalf of the Company or any of its Subsidiaries in connection with the transactions contemplated by this Agreement to the extent that such expenses or amounts reduce the Merger Consideration. The parties shall apply the safe harbor election set forth in IRS Revenue Procedure 2011-29 to determine the amount of any success based fees for purposes of clause (iii) above.</w:t>
      </w:r>
    </w:p>
    <w:p>
      <w:pPr>
        <w:spacing w:after="0" w:line="156" w:lineRule="exact"/>
        <w:rPr>
          <w:sz w:val="20"/>
          <w:szCs w:val="20"/>
          <w:color w:val="auto"/>
        </w:rPr>
      </w:pPr>
    </w:p>
    <w:p>
      <w:pPr>
        <w:ind w:right="2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Agreements</w:t>
      </w:r>
      <w:r>
        <w:rPr>
          <w:rFonts w:ascii="Arial" w:cs="Arial" w:eastAsia="Arial" w:hAnsi="Arial"/>
          <w:sz w:val="22"/>
          <w:szCs w:val="22"/>
          <w:color w:val="auto"/>
        </w:rPr>
        <w:t>” means this Agreement, the Escrow Agreement, the Employment Agreements, the Option Agreements, the RSU Award Agreements and the Registration Rights Agreement.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Transactions</w:t>
      </w:r>
      <w:r>
        <w:rPr>
          <w:rFonts w:ascii="Arial" w:cs="Arial" w:eastAsia="Arial" w:hAnsi="Arial"/>
          <w:sz w:val="22"/>
          <w:szCs w:val="22"/>
          <w:color w:val="auto"/>
        </w:rPr>
        <w:t>” means the transactions contemplated by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means to sell, hypothecate, transfer, or otherwise dispose 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Working Capital Adjustment</w:t>
      </w:r>
      <w:r>
        <w:rPr>
          <w:rFonts w:ascii="Arial" w:cs="Arial" w:eastAsia="Arial" w:hAnsi="Arial"/>
          <w:sz w:val="19"/>
          <w:szCs w:val="19"/>
          <w:color w:val="auto"/>
        </w:rPr>
        <w:t>” means the Working Capital Overage or the Working Capital Underage, as applicable.</w:t>
      </w:r>
    </w:p>
    <w:p>
      <w:pPr>
        <w:spacing w:after="0" w:line="214"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Overage</w:t>
      </w:r>
      <w:r>
        <w:rPr>
          <w:rFonts w:ascii="Arial" w:cs="Arial" w:eastAsia="Arial" w:hAnsi="Arial"/>
          <w:sz w:val="22"/>
          <w:szCs w:val="22"/>
          <w:color w:val="auto"/>
        </w:rPr>
        <w:t>” shall exist when (and shall be equal to the amount by which) the Estimated Net Working Capital exceeds the Target Net Working Capital.</w:t>
      </w:r>
    </w:p>
    <w:p>
      <w:pPr>
        <w:spacing w:after="0" w:line="153" w:lineRule="exact"/>
        <w:rPr>
          <w:sz w:val="20"/>
          <w:szCs w:val="20"/>
          <w:color w:val="auto"/>
        </w:rPr>
      </w:pPr>
    </w:p>
    <w:p>
      <w:pPr>
        <w:ind w:right="3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Working Capital Underage</w:t>
      </w:r>
      <w:r>
        <w:rPr>
          <w:rFonts w:ascii="Arial" w:cs="Arial" w:eastAsia="Arial" w:hAnsi="Arial"/>
          <w:sz w:val="22"/>
          <w:szCs w:val="22"/>
          <w:color w:val="auto"/>
        </w:rPr>
        <w:t>” shall exist when (and shall be equal to the amount by which) the Target Net Working Capital exceeds the Estimated Net Working Capital.</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Table of Definitions</w:t>
      </w:r>
      <w:r>
        <w:rPr>
          <w:rFonts w:ascii="Arial" w:cs="Arial" w:eastAsia="Arial" w:hAnsi="Arial"/>
          <w:sz w:val="19"/>
          <w:szCs w:val="19"/>
          <w:color w:val="auto"/>
        </w:rPr>
        <w:t>. The following terms have the meanings set forth in the Sections referenced below:</w:t>
      </w:r>
    </w:p>
    <w:p>
      <w:pPr>
        <w:sectPr>
          <w:pgSz w:w="11900" w:h="16838" w:orient="portrait"/>
          <w:cols w:equalWidth="0" w:num="1">
            <w:col w:w="11120"/>
          </w:cols>
          <w:pgMar w:left="320" w:top="1440" w:right="45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w:t>
      </w:r>
    </w:p>
    <w:p>
      <w:pPr>
        <w:spacing w:after="0" w:line="237" w:lineRule="auto"/>
        <w:tabs>
          <w:tab w:leader="none" w:pos="2620" w:val="left"/>
        </w:tabs>
        <w:rPr>
          <w:sz w:val="20"/>
          <w:szCs w:val="20"/>
          <w:color w:val="auto"/>
        </w:rPr>
      </w:pPr>
      <w:r>
        <w:rPr>
          <w:rFonts w:ascii="Arial" w:cs="Arial" w:eastAsia="Arial" w:hAnsi="Arial"/>
          <w:sz w:val="22"/>
          <w:szCs w:val="22"/>
          <w:color w:val="auto"/>
        </w:rPr>
        <w:t>Acquiror Public Documents</w:t>
      </w:r>
      <w:r>
        <w:rPr>
          <w:sz w:val="20"/>
          <w:szCs w:val="20"/>
          <w:color w:val="auto"/>
        </w:rPr>
        <w:tab/>
      </w:r>
      <w:r>
        <w:rPr>
          <w:rFonts w:ascii="Arial" w:cs="Arial" w:eastAsia="Arial" w:hAnsi="Arial"/>
          <w:sz w:val="19"/>
          <w:szCs w:val="19"/>
          <w:color w:val="auto"/>
        </w:rPr>
        <w:t>4.5(a)</w:t>
      </w:r>
    </w:p>
    <w:p>
      <w:pPr>
        <w:spacing w:after="0" w:line="237" w:lineRule="auto"/>
        <w:tabs>
          <w:tab w:leader="none" w:pos="2340" w:val="left"/>
        </w:tabs>
        <w:rPr>
          <w:sz w:val="20"/>
          <w:szCs w:val="20"/>
          <w:color w:val="auto"/>
        </w:rPr>
      </w:pPr>
      <w:r>
        <w:rPr>
          <w:rFonts w:ascii="Arial" w:cs="Arial" w:eastAsia="Arial" w:hAnsi="Arial"/>
          <w:sz w:val="22"/>
          <w:szCs w:val="22"/>
          <w:color w:val="auto"/>
        </w:rPr>
        <w:t>Acquisition Engagement</w:t>
      </w:r>
      <w:r>
        <w:rPr>
          <w:sz w:val="20"/>
          <w:szCs w:val="20"/>
          <w:color w:val="auto"/>
        </w:rPr>
        <w:tab/>
      </w:r>
      <w:r>
        <w:rPr>
          <w:rFonts w:ascii="Arial" w:cs="Arial" w:eastAsia="Arial" w:hAnsi="Arial"/>
          <w:sz w:val="19"/>
          <w:szCs w:val="19"/>
          <w:color w:val="auto"/>
        </w:rPr>
        <w:t>9.21(a)</w:t>
      </w:r>
    </w:p>
    <w:p>
      <w:pPr>
        <w:spacing w:after="0" w:line="237" w:lineRule="auto"/>
        <w:tabs>
          <w:tab w:leader="none" w:pos="960" w:val="left"/>
        </w:tabs>
        <w:rPr>
          <w:sz w:val="20"/>
          <w:szCs w:val="20"/>
          <w:color w:val="auto"/>
        </w:rPr>
      </w:pPr>
      <w:r>
        <w:rPr>
          <w:rFonts w:ascii="Arial" w:cs="Arial" w:eastAsia="Arial" w:hAnsi="Arial"/>
          <w:sz w:val="22"/>
          <w:szCs w:val="22"/>
          <w:color w:val="auto"/>
        </w:rPr>
        <w:t>Affected</w:t>
      </w:r>
      <w:r>
        <w:rPr>
          <w:sz w:val="20"/>
          <w:szCs w:val="20"/>
          <w:color w:val="auto"/>
        </w:rPr>
        <w:tab/>
      </w:r>
      <w:r>
        <w:rPr>
          <w:rFonts w:ascii="Arial" w:cs="Arial" w:eastAsia="Arial" w:hAnsi="Arial"/>
          <w:sz w:val="19"/>
          <w:szCs w:val="19"/>
          <w:color w:val="auto"/>
        </w:rPr>
        <w:t>45</w:t>
      </w:r>
    </w:p>
    <w:p>
      <w:pPr>
        <w:spacing w:after="0" w:line="237" w:lineRule="auto"/>
        <w:tabs>
          <w:tab w:leader="none" w:pos="1160" w:val="left"/>
        </w:tabs>
        <w:rPr>
          <w:sz w:val="20"/>
          <w:szCs w:val="20"/>
          <w:color w:val="auto"/>
        </w:rPr>
      </w:pPr>
      <w:r>
        <w:rPr>
          <w:rFonts w:ascii="Arial" w:cs="Arial" w:eastAsia="Arial" w:hAnsi="Arial"/>
          <w:sz w:val="22"/>
          <w:szCs w:val="22"/>
          <w:color w:val="auto"/>
        </w:rPr>
        <w:t>Agreement</w:t>
      </w:r>
      <w:r>
        <w:rPr>
          <w:sz w:val="20"/>
          <w:szCs w:val="20"/>
          <w:color w:val="auto"/>
        </w:rPr>
        <w:tab/>
      </w:r>
      <w:r>
        <w:rPr>
          <w:rFonts w:ascii="Arial" w:cs="Arial" w:eastAsia="Arial" w:hAnsi="Arial"/>
          <w:sz w:val="19"/>
          <w:szCs w:val="19"/>
          <w:color w:val="auto"/>
        </w:rPr>
        <w:t>Preamble</w:t>
      </w:r>
    </w:p>
    <w:p>
      <w:pPr>
        <w:spacing w:after="0" w:line="237" w:lineRule="auto"/>
        <w:tabs>
          <w:tab w:leader="none" w:pos="104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19"/>
          <w:szCs w:val="19"/>
          <w:color w:val="auto"/>
        </w:rPr>
        <w:t>Preamble</w:t>
      </w:r>
    </w:p>
    <w:p>
      <w:pPr>
        <w:spacing w:after="0"/>
        <w:tabs>
          <w:tab w:leader="none" w:pos="1160" w:val="left"/>
        </w:tabs>
        <w:rPr>
          <w:sz w:val="20"/>
          <w:szCs w:val="20"/>
          <w:color w:val="auto"/>
        </w:rPr>
      </w:pPr>
      <w:r>
        <w:rPr>
          <w:rFonts w:ascii="Arial" w:cs="Arial" w:eastAsia="Arial" w:hAnsi="Arial"/>
          <w:sz w:val="22"/>
          <w:szCs w:val="22"/>
          <w:color w:val="auto"/>
        </w:rPr>
        <w:t>Copyrights</w:t>
      </w:r>
      <w:r>
        <w:rPr>
          <w:sz w:val="20"/>
          <w:szCs w:val="20"/>
          <w:color w:val="auto"/>
        </w:rPr>
        <w:tab/>
      </w: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Location</w:t>
      </w:r>
    </w:p>
    <w:p>
      <w:pPr>
        <w:spacing w:after="0" w:line="1355" w:lineRule="exact"/>
        <w:rPr>
          <w:sz w:val="20"/>
          <w:szCs w:val="20"/>
          <w:color w:val="auto"/>
        </w:rPr>
      </w:pPr>
    </w:p>
    <w:p>
      <w:pPr>
        <w:sectPr>
          <w:pgSz w:w="11900" w:h="16838" w:orient="portrait"/>
          <w:cols w:equalWidth="0" w:num="2">
            <w:col w:w="3160" w:space="40"/>
            <w:col w:w="7920"/>
          </w:cols>
          <w:pgMar w:left="320" w:top="1440" w:right="459" w:bottom="144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color w:val="auto"/>
        </w:rPr>
        <w:t>Gibson Dunn</w:t>
      </w:r>
      <w:r>
        <w:rPr>
          <w:sz w:val="20"/>
          <w:szCs w:val="20"/>
          <w:color w:val="auto"/>
        </w:rPr>
        <w:tab/>
      </w:r>
      <w:r>
        <w:rPr>
          <w:rFonts w:ascii="Arial" w:cs="Arial" w:eastAsia="Arial" w:hAnsi="Arial"/>
          <w:sz w:val="19"/>
          <w:szCs w:val="19"/>
          <w:color w:val="auto"/>
        </w:rPr>
        <w:t>9.21(a)</w:t>
      </w:r>
    </w:p>
    <w:p>
      <w:pPr>
        <w:sectPr>
          <w:pgSz w:w="11900" w:h="16838" w:orient="portrait"/>
          <w:cols w:equalWidth="0" w:num="1">
            <w:col w:w="11120"/>
          </w:cols>
          <w:pgMar w:left="320" w:top="1440" w:right="459" w:bottom="1440" w:gutter="0" w:footer="0" w:header="0"/>
          <w:type w:val="continuous"/>
        </w:sectPr>
      </w:pPr>
    </w:p>
    <w:bookmarkStart w:id="67" w:name="page68"/>
    <w:bookmarkEnd w:id="67"/>
    <w:p>
      <w:pPr>
        <w:spacing w:after="0"/>
        <w:tabs>
          <w:tab w:leader="none" w:pos="1140" w:val="left"/>
        </w:tabs>
        <w:rPr>
          <w:sz w:val="20"/>
          <w:szCs w:val="20"/>
          <w:color w:val="auto"/>
        </w:rPr>
      </w:pPr>
      <w:r>
        <w:rPr>
          <w:rFonts w:ascii="Arial" w:cs="Arial" w:eastAsia="Arial" w:hAnsi="Arial"/>
          <w:sz w:val="22"/>
          <w:szCs w:val="22"/>
          <w:color w:val="auto"/>
        </w:rPr>
        <w:t>Intended T</w:t>
      </w:r>
      <w:r>
        <w:rPr>
          <w:sz w:val="20"/>
          <w:szCs w:val="20"/>
          <w:color w:val="auto"/>
        </w:rPr>
        <w:tab/>
      </w:r>
      <w:r>
        <w:rPr>
          <w:rFonts w:ascii="Arial" w:cs="Arial" w:eastAsia="Arial" w:hAnsi="Arial"/>
          <w:sz w:val="19"/>
          <w:szCs w:val="19"/>
          <w:color w:val="auto"/>
        </w:rPr>
        <w:t>49</w:t>
      </w:r>
    </w:p>
    <w:p>
      <w:pPr>
        <w:spacing w:after="0"/>
        <w:tabs>
          <w:tab w:leader="none" w:pos="760" w:val="left"/>
        </w:tabs>
        <w:rPr>
          <w:sz w:val="20"/>
          <w:szCs w:val="20"/>
          <w:color w:val="auto"/>
        </w:rPr>
      </w:pPr>
      <w:r>
        <w:rPr>
          <w:rFonts w:ascii="Arial" w:cs="Arial" w:eastAsia="Arial" w:hAnsi="Arial"/>
          <w:sz w:val="22"/>
          <w:szCs w:val="22"/>
          <w:color w:val="auto"/>
        </w:rPr>
        <w:t>Marks</w:t>
      </w:r>
      <w:r>
        <w:rPr>
          <w:sz w:val="20"/>
          <w:szCs w:val="20"/>
          <w:color w:val="auto"/>
        </w:rPr>
        <w:tab/>
      </w:r>
      <w:r>
        <w:rPr>
          <w:rFonts w:ascii="Arial" w:cs="Arial" w:eastAsia="Arial" w:hAnsi="Arial"/>
          <w:sz w:val="18"/>
          <w:szCs w:val="18"/>
          <w:color w:val="auto"/>
        </w:rPr>
        <w:t>1.1</w:t>
      </w:r>
    </w:p>
    <w:p>
      <w:pPr>
        <w:spacing w:after="0" w:line="238" w:lineRule="auto"/>
        <w:tabs>
          <w:tab w:leader="none" w:pos="820" w:val="left"/>
        </w:tabs>
        <w:rPr>
          <w:sz w:val="20"/>
          <w:szCs w:val="20"/>
          <w:color w:val="auto"/>
        </w:rPr>
      </w:pPr>
      <w:r>
        <w:rPr>
          <w:rFonts w:ascii="Arial" w:cs="Arial" w:eastAsia="Arial" w:hAnsi="Arial"/>
          <w:sz w:val="22"/>
          <w:szCs w:val="22"/>
          <w:color w:val="auto"/>
        </w:rPr>
        <w:t>Patents</w:t>
      </w:r>
      <w:r>
        <w:rPr>
          <w:sz w:val="20"/>
          <w:szCs w:val="20"/>
          <w:color w:val="auto"/>
        </w:rPr>
        <w:tab/>
      </w:r>
      <w:r>
        <w:rPr>
          <w:rFonts w:ascii="Arial" w:cs="Arial" w:eastAsia="Arial" w:hAnsi="Arial"/>
          <w:sz w:val="19"/>
          <w:szCs w:val="19"/>
          <w:color w:val="auto"/>
        </w:rPr>
        <w:t>1.1</w:t>
      </w:r>
    </w:p>
    <w:p>
      <w:pPr>
        <w:spacing w:after="0" w:line="237" w:lineRule="auto"/>
        <w:tabs>
          <w:tab w:leader="none" w:pos="600" w:val="left"/>
        </w:tabs>
        <w:rPr>
          <w:sz w:val="20"/>
          <w:szCs w:val="20"/>
          <w:color w:val="auto"/>
        </w:rPr>
      </w:pPr>
      <w:r>
        <w:rPr>
          <w:rFonts w:ascii="Arial" w:cs="Arial" w:eastAsia="Arial" w:hAnsi="Arial"/>
          <w:sz w:val="22"/>
          <w:szCs w:val="22"/>
          <w:color w:val="auto"/>
        </w:rPr>
        <w:t>SEC</w:t>
      </w:r>
      <w:r>
        <w:rPr>
          <w:sz w:val="20"/>
          <w:szCs w:val="20"/>
          <w:color w:val="auto"/>
        </w:rPr>
        <w:tab/>
      </w:r>
      <w:r>
        <w:rPr>
          <w:rFonts w:ascii="Arial" w:cs="Arial" w:eastAsia="Arial" w:hAnsi="Arial"/>
          <w:sz w:val="19"/>
          <w:szCs w:val="19"/>
          <w:color w:val="auto"/>
        </w:rPr>
        <w:t>4.5(a)</w:t>
      </w:r>
    </w:p>
    <w:p>
      <w:pPr>
        <w:spacing w:after="0"/>
        <w:tabs>
          <w:tab w:leader="none" w:pos="1380" w:val="left"/>
        </w:tabs>
        <w:rPr>
          <w:sz w:val="20"/>
          <w:szCs w:val="20"/>
          <w:color w:val="auto"/>
        </w:rPr>
      </w:pPr>
      <w:r>
        <w:rPr>
          <w:rFonts w:ascii="Arial" w:cs="Arial" w:eastAsia="Arial" w:hAnsi="Arial"/>
          <w:sz w:val="22"/>
          <w:szCs w:val="22"/>
          <w:color w:val="auto"/>
        </w:rPr>
        <w:t>Trade Secrets</w:t>
      </w:r>
      <w:r>
        <w:rPr>
          <w:sz w:val="20"/>
          <w:szCs w:val="20"/>
          <w:color w:val="auto"/>
        </w:rPr>
        <w:tab/>
      </w:r>
      <w:r>
        <w:rPr>
          <w:rFonts w:ascii="Arial" w:cs="Arial" w:eastAsia="Arial" w:hAnsi="Arial"/>
          <w:sz w:val="18"/>
          <w:szCs w:val="18"/>
          <w:color w:val="auto"/>
        </w:rPr>
        <w:t>1.1</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w:t>
      </w:r>
    </w:p>
    <w:p>
      <w:pPr>
        <w:jc w:val="center"/>
        <w:ind w:right="-39"/>
        <w:spacing w:after="0"/>
        <w:rPr>
          <w:sz w:val="20"/>
          <w:szCs w:val="20"/>
          <w:color w:val="auto"/>
        </w:rPr>
      </w:pPr>
      <w:r>
        <w:rPr>
          <w:rFonts w:ascii="Arial" w:cs="Arial" w:eastAsia="Arial" w:hAnsi="Arial"/>
          <w:sz w:val="22"/>
          <w:szCs w:val="22"/>
          <w:b w:val="1"/>
          <w:bCs w:val="1"/>
          <w:color w:val="auto"/>
        </w:rPr>
        <w:t>THE MERGER</w:t>
      </w:r>
    </w:p>
    <w:p>
      <w:pPr>
        <w:spacing w:after="0" w:line="161"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The Merger</w:t>
      </w:r>
      <w:r>
        <w:rPr>
          <w:rFonts w:ascii="Arial" w:cs="Arial" w:eastAsia="Arial" w:hAnsi="Arial"/>
          <w:sz w:val="21"/>
          <w:szCs w:val="21"/>
          <w:color w:val="auto"/>
        </w:rPr>
        <w:t>. Upon the terms and subject to the conditions of this Agreement, at the Effective Time and in accordance with the DGCL, the Company shall be merged with and into Merger Sub pursuant to which (a) the separate corporate existence of the Company shall cease, (b) Merger Sub shall be the surviving entity in the Merger (the “</w:t>
      </w:r>
      <w:r>
        <w:rPr>
          <w:rFonts w:ascii="Arial" w:cs="Arial" w:eastAsia="Arial" w:hAnsi="Arial"/>
          <w:sz w:val="21"/>
          <w:szCs w:val="21"/>
          <w:b w:val="1"/>
          <w:bCs w:val="1"/>
          <w:color w:val="auto"/>
        </w:rPr>
        <w:t>Surviving Entity</w:t>
      </w:r>
      <w:r>
        <w:rPr>
          <w:rFonts w:ascii="Arial" w:cs="Arial" w:eastAsia="Arial" w:hAnsi="Arial"/>
          <w:sz w:val="21"/>
          <w:szCs w:val="21"/>
          <w:color w:val="auto"/>
        </w:rPr>
        <w:t>”) and shall continue its existence as a limited liability company under the laws of the State of Delaware as a wholly owned Subsidiary of Acquiror and (c) all of the properties, rights, privileges, powers and franchises of the Company will vest in the Surviving Entity, and all of the debts, liabilities, obligations and duties of the Company will become the debts, liabilities, obligations and duties of the Surviving Entity.</w:t>
      </w:r>
    </w:p>
    <w:p>
      <w:pPr>
        <w:spacing w:after="0" w:line="16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Closing; Effective Time</w:t>
      </w:r>
      <w:r>
        <w:rPr>
          <w:rFonts w:ascii="Arial" w:cs="Arial" w:eastAsia="Arial" w:hAnsi="Arial"/>
          <w:sz w:val="19"/>
          <w:szCs w:val="19"/>
          <w:color w:val="auto"/>
        </w:rPr>
        <w:t>.</w:t>
      </w:r>
    </w:p>
    <w:p>
      <w:pPr>
        <w:spacing w:after="0" w:line="173" w:lineRule="exact"/>
        <w:rPr>
          <w:sz w:val="20"/>
          <w:szCs w:val="20"/>
          <w:color w:val="auto"/>
        </w:rPr>
      </w:pPr>
    </w:p>
    <w:p>
      <w:pPr>
        <w:ind w:right="260" w:firstLine="1304"/>
        <w:spacing w:after="0" w:line="254" w:lineRule="auto"/>
        <w:tabs>
          <w:tab w:leader="none" w:pos="1748"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closing of the Merger (the “</w:t>
      </w:r>
      <w:r>
        <w:rPr>
          <w:rFonts w:ascii="Arial" w:cs="Arial" w:eastAsia="Arial" w:hAnsi="Arial"/>
          <w:sz w:val="19"/>
          <w:szCs w:val="19"/>
          <w:b w:val="1"/>
          <w:bCs w:val="1"/>
          <w:color w:val="auto"/>
        </w:rPr>
        <w:t>Closing</w:t>
      </w:r>
      <w:r>
        <w:rPr>
          <w:rFonts w:ascii="Arial" w:cs="Arial" w:eastAsia="Arial" w:hAnsi="Arial"/>
          <w:sz w:val="19"/>
          <w:szCs w:val="19"/>
          <w:color w:val="auto"/>
        </w:rPr>
        <w:t xml:space="preserve">”) shall take place on the Effective Date or such other date as the parties mutually agree (the “Closing Date”) at the offices of Gibson, Dunn &amp; Crutcher LLP, 200 Park Avenue, New York, NY, 10166-0193 or at such other place as the parties mutually may agree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that the Closing may occur remotely via electronic exchange of required Closing documentation in lieu of an in-person Closing, and the parties shall cooperate in connection therewith. The Closing shall occur effective as of the Effective Time.</w:t>
      </w:r>
    </w:p>
    <w:p>
      <w:pPr>
        <w:spacing w:after="0" w:line="145" w:lineRule="exact"/>
        <w:rPr>
          <w:rFonts w:ascii="Arial" w:cs="Arial" w:eastAsia="Arial" w:hAnsi="Arial"/>
          <w:sz w:val="19"/>
          <w:szCs w:val="19"/>
          <w:color w:val="auto"/>
        </w:rPr>
      </w:pPr>
    </w:p>
    <w:p>
      <w:pPr>
        <w:ind w:right="120" w:firstLine="1304"/>
        <w:spacing w:after="0" w:line="214" w:lineRule="auto"/>
        <w:tabs>
          <w:tab w:leader="none" w:pos="1752" w:val="left"/>
        </w:tabs>
        <w:numPr>
          <w:ilvl w:val="0"/>
          <w:numId w:val="19"/>
        </w:numPr>
        <w:rPr>
          <w:rFonts w:ascii="Arial" w:cs="Arial" w:eastAsia="Arial" w:hAnsi="Arial"/>
          <w:sz w:val="22"/>
          <w:szCs w:val="22"/>
          <w:color w:val="auto"/>
        </w:rPr>
      </w:pPr>
      <w:r>
        <w:rPr>
          <w:rFonts w:ascii="Arial" w:cs="Arial" w:eastAsia="Arial" w:hAnsi="Arial"/>
          <w:sz w:val="22"/>
          <w:szCs w:val="22"/>
          <w:color w:val="auto"/>
        </w:rPr>
        <w:t>As soon as practicable on the Closing Date, the parties shall cause a certificate of merger in customary form to be executed and filed with the Secretary of State of the State of Delaware (the “</w:t>
      </w:r>
      <w:r>
        <w:rPr>
          <w:rFonts w:ascii="Arial" w:cs="Arial" w:eastAsia="Arial" w:hAnsi="Arial"/>
          <w:sz w:val="22"/>
          <w:szCs w:val="22"/>
          <w:b w:val="1"/>
          <w:bCs w:val="1"/>
          <w:color w:val="auto"/>
        </w:rPr>
        <w:t>Certificate of Merger</w:t>
      </w:r>
      <w:r>
        <w:rPr>
          <w:rFonts w:ascii="Arial" w:cs="Arial" w:eastAsia="Arial" w:hAnsi="Arial"/>
          <w:sz w:val="22"/>
          <w:szCs w:val="22"/>
          <w:color w:val="auto"/>
        </w:rPr>
        <w:t>”), executed in accordance with the relevant provisions of the DGCL. The Merger shall become effective upon the filing of the Certificate of Merger with the Secretary of State of the State of Delaware or at such other time as the parties shall agree and as shall be specified in the Certificate of Merger. The date and time when the Merger shall become effective is herein referred to as the “</w:t>
      </w:r>
      <w:r>
        <w:rPr>
          <w:rFonts w:ascii="Arial" w:cs="Arial" w:eastAsia="Arial" w:hAnsi="Arial"/>
          <w:sz w:val="22"/>
          <w:szCs w:val="22"/>
          <w:b w:val="1"/>
          <w:bCs w:val="1"/>
          <w:color w:val="auto"/>
        </w:rPr>
        <w:t>Effective Time</w:t>
      </w:r>
      <w:r>
        <w:rPr>
          <w:rFonts w:ascii="Arial" w:cs="Arial" w:eastAsia="Arial" w:hAnsi="Arial"/>
          <w:sz w:val="22"/>
          <w:szCs w:val="22"/>
          <w:color w:val="auto"/>
        </w:rPr>
        <w:t>.”</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Effects of the Merger</w:t>
      </w:r>
      <w:r>
        <w:rPr>
          <w:rFonts w:ascii="Arial" w:cs="Arial" w:eastAsia="Arial" w:hAnsi="Arial"/>
          <w:sz w:val="22"/>
          <w:szCs w:val="22"/>
          <w:color w:val="auto"/>
        </w:rPr>
        <w:t>. The Merger shall have the effects provided for herein and in the applicable provisions of the DGCL.</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Limited Liability Company Agreement of Surviving Entity.</w:t>
      </w:r>
    </w:p>
    <w:p>
      <w:pPr>
        <w:spacing w:after="0" w:line="179" w:lineRule="exact"/>
        <w:rPr>
          <w:sz w:val="20"/>
          <w:szCs w:val="20"/>
          <w:color w:val="auto"/>
        </w:rPr>
      </w:pPr>
    </w:p>
    <w:p>
      <w:pPr>
        <w:ind w:firstLine="1304"/>
        <w:spacing w:after="0" w:line="223" w:lineRule="auto"/>
        <w:tabs>
          <w:tab w:leader="none" w:pos="17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At the Effective Time, the limited liability company agreement of Merger Sub as existing immediately before the Effective Time shall continue to be the limited liability agreement of the Surviving Entity until thereafter amended in accordance with its terms and as provided by applicable Law.</w:t>
      </w:r>
    </w:p>
    <w:p>
      <w:pPr>
        <w:spacing w:after="0" w:line="159" w:lineRule="exact"/>
        <w:rPr>
          <w:sz w:val="20"/>
          <w:szCs w:val="20"/>
          <w:color w:val="auto"/>
        </w:rPr>
      </w:pPr>
    </w:p>
    <w:p>
      <w:pPr>
        <w:ind w:right="420" w:firstLine="648"/>
        <w:spacing w:after="0" w:line="234"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Directors; Officers</w:t>
      </w:r>
      <w:r>
        <w:rPr>
          <w:rFonts w:ascii="Arial" w:cs="Arial" w:eastAsia="Arial" w:hAnsi="Arial"/>
          <w:sz w:val="21"/>
          <w:szCs w:val="21"/>
          <w:color w:val="auto"/>
        </w:rPr>
        <w:t>. From and after the Effective Time, the directors and officers of Merger Sub serving immediately prior to the Effective Time shall be the directors and officers of the Surviving Entity until the earlier of their resignation or removal or until their respective successors are duly elected and qualified.</w:t>
      </w:r>
    </w:p>
    <w:p>
      <w:pPr>
        <w:spacing w:after="0" w:line="158"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Subsequent Actions</w:t>
      </w:r>
      <w:r>
        <w:rPr>
          <w:rFonts w:ascii="Arial" w:cs="Arial" w:eastAsia="Arial" w:hAnsi="Arial"/>
          <w:sz w:val="22"/>
          <w:szCs w:val="22"/>
          <w:color w:val="auto"/>
        </w:rPr>
        <w:t>. If, at any time after the Effective Time, the Surviving Entity shall consider or be advised that any deeds, bills of sale, assignments,</w:t>
      </w:r>
    </w:p>
    <w:p>
      <w:pPr>
        <w:sectPr>
          <w:pgSz w:w="11900" w:h="16838" w:orient="portrait"/>
          <w:cols w:equalWidth="0" w:num="1">
            <w:col w:w="11200"/>
          </w:cols>
          <w:pgMar w:left="320" w:top="1382" w:right="379" w:bottom="1440" w:gutter="0" w:footer="0" w:header="0"/>
        </w:sectPr>
      </w:pPr>
    </w:p>
    <w:bookmarkStart w:id="68" w:name="page69"/>
    <w:bookmarkEnd w:id="68"/>
    <w:p>
      <w:pPr>
        <w:spacing w:after="0" w:line="177" w:lineRule="exact"/>
        <w:rPr>
          <w:sz w:val="20"/>
          <w:szCs w:val="20"/>
          <w:color w:val="auto"/>
        </w:rPr>
      </w:pPr>
    </w:p>
    <w:p>
      <w:pPr>
        <w:ind w:right="260"/>
        <w:spacing w:after="0" w:line="246" w:lineRule="auto"/>
        <w:rPr>
          <w:sz w:val="20"/>
          <w:szCs w:val="20"/>
          <w:color w:val="auto"/>
        </w:rPr>
      </w:pPr>
      <w:r>
        <w:rPr>
          <w:rFonts w:ascii="Arial" w:cs="Arial" w:eastAsia="Arial" w:hAnsi="Arial"/>
          <w:sz w:val="19"/>
          <w:szCs w:val="19"/>
          <w:color w:val="auto"/>
        </w:rPr>
        <w:t>assurances or any other actions or things are necessary or desirable to vest, perfect or confirm of record or otherwise in the Surviving Entity its right, title or interest in, to or under any of the rights, properties or assets of either the Company or Merger Sub acquired or to be acquired by the Surviving Entity as a result of or in connection with the Merger or otherwise to carry out this Agreement, the officers and directors of the Surviving Entity shall be authorized to execute and deliver, in the name of and on behalf of either the Company or Merger Sub, all such deeds, bills of sale, assignments and assurances and to take and do, in the name and on behalf of each of such corporations or otherwise, all such other actions and things as may be necessary or desirable to vest, perfect or confirm any and all right, title and interest in, to and under such rights, properties or assets in the Surviving Entity or otherwise to carry out this Agreement.</w:t>
      </w:r>
    </w:p>
    <w:p>
      <w:pPr>
        <w:spacing w:after="0" w:line="152" w:lineRule="exact"/>
        <w:rPr>
          <w:sz w:val="20"/>
          <w:szCs w:val="20"/>
          <w:color w:val="auto"/>
        </w:rPr>
      </w:pPr>
    </w:p>
    <w:p>
      <w:pPr>
        <w:ind w:right="260" w:firstLine="648"/>
        <w:spacing w:after="0" w:line="298"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Conversion of Stock</w:t>
      </w:r>
      <w:r>
        <w:rPr>
          <w:rFonts w:ascii="Arial" w:cs="Arial" w:eastAsia="Arial" w:hAnsi="Arial"/>
          <w:sz w:val="19"/>
          <w:szCs w:val="19"/>
          <w:color w:val="auto"/>
        </w:rPr>
        <w:t>. At the Effective Time, by virtue of the Merger and without any further action on the part of Acquiror, Merger Sub, the Company or any holder of any Shares or any shares of capital stock of Merger Sub:</w:t>
      </w:r>
    </w:p>
    <w:p>
      <w:pPr>
        <w:spacing w:after="0" w:line="105" w:lineRule="exact"/>
        <w:rPr>
          <w:sz w:val="20"/>
          <w:szCs w:val="20"/>
          <w:color w:val="auto"/>
        </w:rPr>
      </w:pPr>
    </w:p>
    <w:p>
      <w:pPr>
        <w:ind w:right="20" w:firstLine="1304"/>
        <w:spacing w:after="0" w:line="218" w:lineRule="auto"/>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of the Shares issued and outstanding immediately prior to the Effective Time (other than Cancelled Shares) shall be converted into the right of the Stockholders to receive the Closing Cash Merger Consideration, the Closing Stock Merger Consideration and the cash portion of the Contingent Payment, if any, in accordance with their Pro Rata Percentages, without interest;</w:t>
      </w:r>
    </w:p>
    <w:p>
      <w:pPr>
        <w:spacing w:after="0" w:line="160" w:lineRule="exact"/>
        <w:rPr>
          <w:rFonts w:ascii="Arial" w:cs="Arial" w:eastAsia="Arial" w:hAnsi="Arial"/>
          <w:sz w:val="22"/>
          <w:szCs w:val="22"/>
          <w:color w:val="auto"/>
        </w:rPr>
      </w:pPr>
    </w:p>
    <w:p>
      <w:pPr>
        <w:ind w:firstLine="1304"/>
        <w:spacing w:after="0" w:line="223" w:lineRule="auto"/>
        <w:tabs>
          <w:tab w:leader="none" w:pos="1764"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Share that is owned by Acquiror or Merger Sub immediately prior to the Effective Time shall automatically be cancelled and retired and shall cease to exist, and no cash or other consideration shall be delivered or deliverable in exchange therefor;</w:t>
      </w:r>
    </w:p>
    <w:p>
      <w:pPr>
        <w:spacing w:after="0" w:line="158" w:lineRule="exact"/>
        <w:rPr>
          <w:rFonts w:ascii="Arial" w:cs="Arial" w:eastAsia="Arial" w:hAnsi="Arial"/>
          <w:sz w:val="22"/>
          <w:szCs w:val="22"/>
          <w:color w:val="auto"/>
        </w:rPr>
      </w:pPr>
    </w:p>
    <w:p>
      <w:pPr>
        <w:ind w:firstLine="1304"/>
        <w:spacing w:after="0" w:line="268" w:lineRule="auto"/>
        <w:tabs>
          <w:tab w:leader="none" w:pos="1968" w:val="left"/>
        </w:tabs>
        <w:numPr>
          <w:ilvl w:val="0"/>
          <w:numId w:val="21"/>
        </w:numPr>
        <w:rPr>
          <w:rFonts w:ascii="Arial" w:cs="Arial" w:eastAsia="Arial" w:hAnsi="Arial"/>
          <w:sz w:val="19"/>
          <w:szCs w:val="19"/>
          <w:color w:val="auto"/>
        </w:rPr>
      </w:pPr>
      <w:r>
        <w:rPr>
          <w:rFonts w:ascii="Arial" w:cs="Arial" w:eastAsia="Arial" w:hAnsi="Arial"/>
          <w:sz w:val="19"/>
          <w:szCs w:val="19"/>
          <w:color w:val="auto"/>
        </w:rPr>
        <w:t>Each Share that is held in the treasury of the Company immediately prior to the Effective Time shall automatically be cancelled and retired and shall cease to exist, and no cash or other consideration shall be delivered or deliverable in exchange therefor (the Shares described in Section 2.7(b) and this Section 2.7(c), “</w:t>
      </w:r>
      <w:r>
        <w:rPr>
          <w:rFonts w:ascii="Arial" w:cs="Arial" w:eastAsia="Arial" w:hAnsi="Arial"/>
          <w:sz w:val="19"/>
          <w:szCs w:val="19"/>
          <w:b w:val="1"/>
          <w:bCs w:val="1"/>
          <w:color w:val="auto"/>
        </w:rPr>
        <w:t>Cancelled Shares</w:t>
      </w:r>
      <w:r>
        <w:rPr>
          <w:rFonts w:ascii="Arial" w:cs="Arial" w:eastAsia="Arial" w:hAnsi="Arial"/>
          <w:sz w:val="19"/>
          <w:szCs w:val="19"/>
          <w:color w:val="auto"/>
        </w:rPr>
        <w:t>”); and</w:t>
      </w:r>
    </w:p>
    <w:p>
      <w:pPr>
        <w:spacing w:after="0" w:line="132" w:lineRule="exact"/>
        <w:rPr>
          <w:rFonts w:ascii="Arial" w:cs="Arial" w:eastAsia="Arial" w:hAnsi="Arial"/>
          <w:sz w:val="19"/>
          <w:szCs w:val="19"/>
          <w:color w:val="auto"/>
        </w:rPr>
      </w:pPr>
    </w:p>
    <w:p>
      <w:pPr>
        <w:ind w:right="440" w:firstLine="1304"/>
        <w:spacing w:after="0" w:line="247" w:lineRule="auto"/>
        <w:tabs>
          <w:tab w:leader="none" w:pos="1764" w:val="left"/>
        </w:tabs>
        <w:numPr>
          <w:ilvl w:val="0"/>
          <w:numId w:val="21"/>
        </w:numPr>
        <w:rPr>
          <w:rFonts w:ascii="Arial" w:cs="Arial" w:eastAsia="Arial" w:hAnsi="Arial"/>
          <w:sz w:val="21"/>
          <w:szCs w:val="21"/>
          <w:color w:val="auto"/>
        </w:rPr>
      </w:pPr>
      <w:r>
        <w:rPr>
          <w:rFonts w:ascii="Arial" w:cs="Arial" w:eastAsia="Arial" w:hAnsi="Arial"/>
          <w:sz w:val="21"/>
          <w:szCs w:val="21"/>
          <w:color w:val="auto"/>
        </w:rPr>
        <w:t>Each limited liability company interest of the Merger Sub outstanding immediately prior to the Effective Time shall be converted into one fully paid limited liability company interest of the Surviving Corporation.</w:t>
      </w:r>
    </w:p>
    <w:p>
      <w:pPr>
        <w:spacing w:after="0" w:line="15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Payment for Shares</w:t>
      </w:r>
      <w:r>
        <w:rPr>
          <w:rFonts w:ascii="Arial" w:cs="Arial" w:eastAsia="Arial" w:hAnsi="Arial"/>
          <w:sz w:val="19"/>
          <w:szCs w:val="19"/>
          <w:color w:val="auto"/>
        </w:rPr>
        <w:t>. Subject to the terms and conditions of this Agreement:</w:t>
      </w:r>
    </w:p>
    <w:p>
      <w:pPr>
        <w:spacing w:after="0" w:line="179" w:lineRule="exact"/>
        <w:rPr>
          <w:sz w:val="20"/>
          <w:szCs w:val="20"/>
          <w:color w:val="auto"/>
        </w:rPr>
      </w:pPr>
    </w:p>
    <w:p>
      <w:pPr>
        <w:ind w:right="40" w:firstLine="1304"/>
        <w:spacing w:after="0" w:line="232" w:lineRule="auto"/>
        <w:tabs>
          <w:tab w:leader="none" w:pos="1752" w:val="left"/>
        </w:tabs>
        <w:numPr>
          <w:ilvl w:val="0"/>
          <w:numId w:val="22"/>
        </w:numPr>
        <w:rPr>
          <w:rFonts w:ascii="Arial" w:cs="Arial" w:eastAsia="Arial" w:hAnsi="Arial"/>
          <w:sz w:val="22"/>
          <w:szCs w:val="22"/>
          <w:color w:val="auto"/>
        </w:rPr>
      </w:pPr>
      <w:r>
        <w:rPr>
          <w:rFonts w:ascii="Arial" w:cs="Arial" w:eastAsia="Arial" w:hAnsi="Arial"/>
          <w:sz w:val="22"/>
          <w:szCs w:val="22"/>
          <w:color w:val="auto"/>
        </w:rPr>
        <w:t>at the Effective Time, Acquiror or its designee will pay the Estimated Closing Cash Merger Consideration by wire transfer of immediately available funds as follows:</w:t>
      </w:r>
    </w:p>
    <w:p>
      <w:pPr>
        <w:spacing w:after="0" w:line="158" w:lineRule="exact"/>
        <w:rPr>
          <w:rFonts w:ascii="Arial" w:cs="Arial" w:eastAsia="Arial" w:hAnsi="Arial"/>
          <w:sz w:val="22"/>
          <w:szCs w:val="22"/>
          <w:color w:val="auto"/>
        </w:rPr>
      </w:pPr>
    </w:p>
    <w:p>
      <w:pPr>
        <w:ind w:left="660" w:right="880" w:firstLine="1292"/>
        <w:spacing w:after="0" w:line="232" w:lineRule="auto"/>
        <w:tabs>
          <w:tab w:leader="none" w:pos="2376" w:val="left"/>
        </w:tabs>
        <w:numPr>
          <w:ilvl w:val="1"/>
          <w:numId w:val="22"/>
        </w:numPr>
        <w:rPr>
          <w:rFonts w:ascii="Arial" w:cs="Arial" w:eastAsia="Arial" w:hAnsi="Arial"/>
          <w:sz w:val="22"/>
          <w:szCs w:val="22"/>
          <w:color w:val="010000"/>
        </w:rPr>
      </w:pPr>
      <w:r>
        <w:rPr>
          <w:rFonts w:ascii="Arial" w:cs="Arial" w:eastAsia="Arial" w:hAnsi="Arial"/>
          <w:sz w:val="22"/>
          <w:szCs w:val="22"/>
          <w:color w:val="auto"/>
        </w:rPr>
        <w:t>to the Escrow Agent, the Adjustment Escrow Amount and the Indemnity Escrow Amount in accordance with the wire transfer instructions contained in the Escrow Agreement;</w:t>
      </w:r>
    </w:p>
    <w:p>
      <w:pPr>
        <w:spacing w:after="0" w:line="158" w:lineRule="exact"/>
        <w:rPr>
          <w:rFonts w:ascii="Arial" w:cs="Arial" w:eastAsia="Arial" w:hAnsi="Arial"/>
          <w:sz w:val="22"/>
          <w:szCs w:val="22"/>
          <w:color w:val="010000"/>
        </w:rPr>
      </w:pPr>
    </w:p>
    <w:p>
      <w:pPr>
        <w:ind w:left="660" w:right="520" w:firstLine="1292"/>
        <w:spacing w:after="0" w:line="298" w:lineRule="auto"/>
        <w:tabs>
          <w:tab w:leader="none" w:pos="2436" w:val="left"/>
        </w:tabs>
        <w:numPr>
          <w:ilvl w:val="1"/>
          <w:numId w:val="22"/>
        </w:numPr>
        <w:rPr>
          <w:rFonts w:ascii="Arial" w:cs="Arial" w:eastAsia="Arial" w:hAnsi="Arial"/>
          <w:sz w:val="19"/>
          <w:szCs w:val="19"/>
          <w:color w:val="010000"/>
        </w:rPr>
      </w:pPr>
      <w:r>
        <w:rPr>
          <w:rFonts w:ascii="Arial" w:cs="Arial" w:eastAsia="Arial" w:hAnsi="Arial"/>
          <w:sz w:val="19"/>
          <w:szCs w:val="19"/>
          <w:color w:val="auto"/>
        </w:rPr>
        <w:t>to the payees of all Transaction Expenses in accordance with the amounts, account detail, and instructions set forth in the Preliminary Closing Statement (collectively, the “</w:t>
      </w:r>
      <w:r>
        <w:rPr>
          <w:rFonts w:ascii="Arial" w:cs="Arial" w:eastAsia="Arial" w:hAnsi="Arial"/>
          <w:sz w:val="19"/>
          <w:szCs w:val="19"/>
          <w:b w:val="1"/>
          <w:bCs w:val="1"/>
          <w:color w:val="auto"/>
        </w:rPr>
        <w:t>Transaction Expenses Pay-Off</w:t>
      </w:r>
      <w:r>
        <w:rPr>
          <w:rFonts w:ascii="Arial" w:cs="Arial" w:eastAsia="Arial" w:hAnsi="Arial"/>
          <w:sz w:val="19"/>
          <w:szCs w:val="19"/>
          <w:color w:val="auto"/>
        </w:rPr>
        <w:t>”); and</w:t>
      </w:r>
    </w:p>
    <w:p>
      <w:pPr>
        <w:spacing w:after="0" w:line="105" w:lineRule="exact"/>
        <w:rPr>
          <w:rFonts w:ascii="Arial" w:cs="Arial" w:eastAsia="Arial" w:hAnsi="Arial"/>
          <w:sz w:val="19"/>
          <w:szCs w:val="19"/>
          <w:color w:val="010000"/>
        </w:rPr>
      </w:pPr>
    </w:p>
    <w:p>
      <w:pPr>
        <w:ind w:left="660" w:right="720" w:firstLine="1292"/>
        <w:spacing w:after="0" w:line="298" w:lineRule="auto"/>
        <w:tabs>
          <w:tab w:leader="none" w:pos="2496" w:val="left"/>
        </w:tabs>
        <w:numPr>
          <w:ilvl w:val="1"/>
          <w:numId w:val="22"/>
        </w:numPr>
        <w:rPr>
          <w:rFonts w:ascii="Arial" w:cs="Arial" w:eastAsia="Arial" w:hAnsi="Arial"/>
          <w:sz w:val="19"/>
          <w:szCs w:val="19"/>
          <w:color w:val="010000"/>
        </w:rPr>
      </w:pPr>
      <w:r>
        <w:rPr>
          <w:rFonts w:ascii="Arial" w:cs="Arial" w:eastAsia="Arial" w:hAnsi="Arial"/>
          <w:sz w:val="19"/>
          <w:szCs w:val="19"/>
          <w:color w:val="auto"/>
        </w:rPr>
        <w:t>to the accounts of the Stockholders specified in the Preliminary Statement, the balance of the Estimated Closing Cash Merger Consideration, in accordance with the allocation in Schedule 3.4.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7" w:lineRule="exact"/>
        <w:rPr>
          <w:sz w:val="20"/>
          <w:szCs w:val="20"/>
          <w:color w:val="auto"/>
        </w:rPr>
      </w:pPr>
    </w:p>
    <w:p>
      <w:pPr>
        <w:jc w:val="both"/>
        <w:ind w:right="340" w:firstLine="1304"/>
        <w:spacing w:after="0" w:line="223" w:lineRule="auto"/>
        <w:tabs>
          <w:tab w:leader="none" w:pos="1752" w:val="left"/>
        </w:tabs>
        <w:numPr>
          <w:ilvl w:val="0"/>
          <w:numId w:val="23"/>
        </w:numPr>
        <w:rPr>
          <w:rFonts w:ascii="Arial" w:cs="Arial" w:eastAsia="Arial" w:hAnsi="Arial"/>
          <w:sz w:val="22"/>
          <w:szCs w:val="22"/>
          <w:color w:val="auto"/>
        </w:rPr>
      </w:pPr>
      <w:r>
        <w:rPr>
          <w:rFonts w:ascii="Arial" w:cs="Arial" w:eastAsia="Arial" w:hAnsi="Arial"/>
          <w:sz w:val="22"/>
          <w:szCs w:val="22"/>
          <w:color w:val="auto"/>
        </w:rPr>
        <w:t>At the Effective Time, Acquiror shall issue or cause to be issued to the Stockholders book-entry shares of Acquiror Common Stock representing the Closing Stock Merger Consideration, in accordance with the allocation in Schedule 3.4.</w:t>
      </w:r>
    </w:p>
    <w:p>
      <w:pPr>
        <w:spacing w:after="0" w:line="158" w:lineRule="exact"/>
        <w:rPr>
          <w:rFonts w:ascii="Arial" w:cs="Arial" w:eastAsia="Arial" w:hAnsi="Arial"/>
          <w:sz w:val="22"/>
          <w:szCs w:val="22"/>
          <w:color w:val="auto"/>
        </w:rPr>
      </w:pPr>
    </w:p>
    <w:p>
      <w:pPr>
        <w:ind w:right="180" w:firstLine="1304"/>
        <w:spacing w:after="0" w:line="232" w:lineRule="auto"/>
        <w:tabs>
          <w:tab w:leader="none" w:pos="1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At the Effective Time, the stock transfer books of the Company shall be closed and there shall be no further registration of transfers of any shares of capital stock thereafter on the records of the Company.</w:t>
      </w:r>
    </w:p>
    <w:p>
      <w:pPr>
        <w:spacing w:after="0" w:line="158" w:lineRule="exact"/>
        <w:rPr>
          <w:rFonts w:ascii="Arial" w:cs="Arial" w:eastAsia="Arial" w:hAnsi="Arial"/>
          <w:sz w:val="22"/>
          <w:szCs w:val="22"/>
          <w:color w:val="auto"/>
        </w:rPr>
      </w:pPr>
    </w:p>
    <w:p>
      <w:pPr>
        <w:ind w:right="60" w:firstLine="1304"/>
        <w:spacing w:after="0" w:line="218" w:lineRule="auto"/>
        <w:tabs>
          <w:tab w:leader="none" w:pos="1752" w:val="left"/>
        </w:tabs>
        <w:numPr>
          <w:ilvl w:val="0"/>
          <w:numId w:val="23"/>
        </w:numPr>
        <w:rPr>
          <w:rFonts w:ascii="Arial" w:cs="Arial" w:eastAsia="Arial" w:hAnsi="Arial"/>
          <w:sz w:val="22"/>
          <w:szCs w:val="22"/>
          <w:color w:val="auto"/>
        </w:rPr>
      </w:pPr>
      <w:r>
        <w:rPr>
          <w:rFonts w:ascii="Arial" w:cs="Arial" w:eastAsia="Arial" w:hAnsi="Arial"/>
          <w:sz w:val="22"/>
          <w:szCs w:val="22"/>
          <w:color w:val="auto"/>
        </w:rPr>
        <w:t>All cash paid upon, or shares of Acquiror Common Stock issued upon, conversion of the Shares in accordance with the terms of this Article II shall be deemed to have been paid or issued in full satisfaction of all rights pertaining to such Shares. From and after the Effective Time, the Stockholders shall cease to have any rights with respect to Shares represented thereby, except as otherwise provided herein or by applicable Law.</w:t>
      </w:r>
    </w:p>
    <w:p>
      <w:pPr>
        <w:spacing w:after="0" w:line="161"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Withholding Rights</w:t>
      </w:r>
      <w:r>
        <w:rPr>
          <w:rFonts w:ascii="Arial" w:cs="Arial" w:eastAsia="Arial" w:hAnsi="Arial"/>
          <w:sz w:val="21"/>
          <w:szCs w:val="21"/>
          <w:color w:val="auto"/>
        </w:rPr>
        <w:t>. Each of Acquiror and the Surviving Entity are entitled to deduct and withhold from any consideration otherwise payable to any Person pursuant to this Agreement such amounts as it is required to deduct and withhold with respect to the making of such payment under the Code, or any provision of applicable tax Law. To the extent that such amounts are so withheld or paid over to or deposited with the relevant Governmental Authority by Acquiror or the Surviving Entity, such withheld amounts shall be treated for all purposes of this Agreement as having been paid to the applicable Person in respect to which such deduction and withholding was made.</w:t>
      </w:r>
    </w:p>
    <w:p>
      <w:pPr>
        <w:spacing w:after="0" w:line="160" w:lineRule="exact"/>
        <w:rPr>
          <w:sz w:val="20"/>
          <w:szCs w:val="20"/>
          <w:color w:val="auto"/>
        </w:rPr>
      </w:pPr>
    </w:p>
    <w:p>
      <w:pPr>
        <w:ind w:right="240" w:firstLine="648"/>
        <w:spacing w:after="0" w:line="218"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Transaction Expenses Pay-Off</w:t>
      </w:r>
      <w:r>
        <w:rPr>
          <w:rFonts w:ascii="Arial" w:cs="Arial" w:eastAsia="Arial" w:hAnsi="Arial"/>
          <w:sz w:val="22"/>
          <w:szCs w:val="22"/>
          <w:color w:val="auto"/>
        </w:rPr>
        <w:t>. The Transaction Expenses Pay-Off is intended to fully discharge all Transaction Expenses and to terminate all applicable obligations and liabilities of the Company and any of its Affiliates related thereto. Stockholders shall remain exclusively responsible for paying any Transaction Expenses that remain outstanding at Closing.</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Merger Consideration Adjustments</w:t>
      </w:r>
      <w:r>
        <w:rPr>
          <w:rFonts w:ascii="Arial" w:cs="Arial" w:eastAsia="Arial" w:hAnsi="Arial"/>
          <w:sz w:val="19"/>
          <w:szCs w:val="19"/>
          <w:color w:val="auto"/>
        </w:rPr>
        <w:t>.</w:t>
      </w:r>
    </w:p>
    <w:p>
      <w:pPr>
        <w:spacing w:after="0" w:line="179" w:lineRule="exact"/>
        <w:rPr>
          <w:sz w:val="20"/>
          <w:szCs w:val="20"/>
          <w:color w:val="auto"/>
        </w:rPr>
      </w:pPr>
    </w:p>
    <w:p>
      <w:pPr>
        <w:ind w:right="60" w:firstLine="1304"/>
        <w:spacing w:after="0" w:line="241" w:lineRule="auto"/>
        <w:tabs>
          <w:tab w:leader="none" w:pos="1752"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Prior to the Closing the Company delivered to Acquiror a statement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Preliminary Closing Statement</w:t>
      </w:r>
      <w:r>
        <w:rPr>
          <w:rFonts w:ascii="Arial" w:cs="Arial" w:eastAsia="Arial" w:hAnsi="Arial"/>
          <w:sz w:val="19"/>
          <w:szCs w:val="19"/>
          <w:color w:val="auto"/>
        </w:rPr>
        <w:t>”) setting forth a good-faith estimate of the Closing Cash Merger Consideration (the “</w:t>
      </w:r>
      <w:r>
        <w:rPr>
          <w:rFonts w:ascii="Arial" w:cs="Arial" w:eastAsia="Arial" w:hAnsi="Arial"/>
          <w:sz w:val="19"/>
          <w:szCs w:val="19"/>
          <w:b w:val="1"/>
          <w:bCs w:val="1"/>
          <w:color w:val="auto"/>
        </w:rPr>
        <w:t>Estimated Closing Cash Merger Consideration</w:t>
      </w:r>
      <w:r>
        <w:rPr>
          <w:rFonts w:ascii="Arial" w:cs="Arial" w:eastAsia="Arial" w:hAnsi="Arial"/>
          <w:sz w:val="19"/>
          <w:szCs w:val="19"/>
          <w:color w:val="auto"/>
        </w:rPr>
        <w:t>”) and each component thereof, including a good-faith estimate of the Company’s (i) Closing Net Working Capital (the “</w:t>
      </w:r>
      <w:r>
        <w:rPr>
          <w:rFonts w:ascii="Arial" w:cs="Arial" w:eastAsia="Arial" w:hAnsi="Arial"/>
          <w:sz w:val="19"/>
          <w:szCs w:val="19"/>
          <w:b w:val="1"/>
          <w:bCs w:val="1"/>
          <w:color w:val="auto"/>
        </w:rPr>
        <w:t>Estimated Closing Net Working Capital</w:t>
      </w:r>
      <w:r>
        <w:rPr>
          <w:rFonts w:ascii="Arial" w:cs="Arial" w:eastAsia="Arial" w:hAnsi="Arial"/>
          <w:sz w:val="19"/>
          <w:szCs w:val="19"/>
          <w:color w:val="auto"/>
        </w:rPr>
        <w:t>”), (ii) Working Capital Adjustment (the “</w:t>
      </w:r>
      <w:r>
        <w:rPr>
          <w:rFonts w:ascii="Arial" w:cs="Arial" w:eastAsia="Arial" w:hAnsi="Arial"/>
          <w:sz w:val="19"/>
          <w:szCs w:val="19"/>
          <w:b w:val="1"/>
          <w:bCs w:val="1"/>
          <w:color w:val="auto"/>
        </w:rPr>
        <w:t>Estimated Working Capital Adjustment</w:t>
      </w:r>
      <w:r>
        <w:rPr>
          <w:rFonts w:ascii="Arial" w:cs="Arial" w:eastAsia="Arial" w:hAnsi="Arial"/>
          <w:sz w:val="19"/>
          <w:szCs w:val="19"/>
          <w:color w:val="auto"/>
        </w:rPr>
        <w:t>”) (iii) Closing Indebtedness (the “</w:t>
      </w:r>
      <w:r>
        <w:rPr>
          <w:rFonts w:ascii="Arial" w:cs="Arial" w:eastAsia="Arial" w:hAnsi="Arial"/>
          <w:sz w:val="19"/>
          <w:szCs w:val="19"/>
          <w:b w:val="1"/>
          <w:bCs w:val="1"/>
          <w:color w:val="auto"/>
        </w:rPr>
        <w:t>Estimated Closing</w:t>
      </w:r>
      <w:r>
        <w:rPr>
          <w:rFonts w:ascii="Arial" w:cs="Arial" w:eastAsia="Arial" w:hAnsi="Arial"/>
          <w:sz w:val="19"/>
          <w:szCs w:val="19"/>
          <w:color w:val="auto"/>
        </w:rPr>
        <w:t xml:space="preserve"> </w:t>
      </w:r>
      <w:r>
        <w:rPr>
          <w:rFonts w:ascii="Arial" w:cs="Arial" w:eastAsia="Arial" w:hAnsi="Arial"/>
          <w:sz w:val="19"/>
          <w:szCs w:val="19"/>
          <w:b w:val="1"/>
          <w:bCs w:val="1"/>
          <w:color w:val="auto"/>
        </w:rPr>
        <w:t>Indebtedness</w:t>
      </w:r>
      <w:r>
        <w:rPr>
          <w:rFonts w:ascii="Arial" w:cs="Arial" w:eastAsia="Arial" w:hAnsi="Arial"/>
          <w:sz w:val="19"/>
          <w:szCs w:val="19"/>
          <w:color w:val="auto"/>
        </w:rPr>
        <w:t>”) (iv) Closing Cash (the “</w:t>
      </w:r>
      <w:r>
        <w:rPr>
          <w:rFonts w:ascii="Arial" w:cs="Arial" w:eastAsia="Arial" w:hAnsi="Arial"/>
          <w:sz w:val="19"/>
          <w:szCs w:val="19"/>
          <w:b w:val="1"/>
          <w:bCs w:val="1"/>
          <w:color w:val="auto"/>
        </w:rPr>
        <w:t>Estimated Closing Cash</w:t>
      </w:r>
      <w:r>
        <w:rPr>
          <w:rFonts w:ascii="Arial" w:cs="Arial" w:eastAsia="Arial" w:hAnsi="Arial"/>
          <w:sz w:val="19"/>
          <w:szCs w:val="19"/>
          <w:color w:val="auto"/>
        </w:rPr>
        <w:t>”) and (iv) Closing Transaction Expenses (the “</w:t>
      </w:r>
      <w:r>
        <w:rPr>
          <w:rFonts w:ascii="Arial" w:cs="Arial" w:eastAsia="Arial" w:hAnsi="Arial"/>
          <w:sz w:val="19"/>
          <w:szCs w:val="19"/>
          <w:b w:val="1"/>
          <w:bCs w:val="1"/>
          <w:color w:val="auto"/>
        </w:rPr>
        <w:t>Estimated Closing Transaction Expenses</w:t>
      </w:r>
      <w:r>
        <w:rPr>
          <w:rFonts w:ascii="Arial" w:cs="Arial" w:eastAsia="Arial" w:hAnsi="Arial"/>
          <w:sz w:val="19"/>
          <w:szCs w:val="19"/>
          <w:color w:val="auto"/>
        </w:rPr>
        <w:t>”), each determined as of immediately prior to the Closing (and, except for Estimated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Expenses, without giving effect to the transactions contemplated hereby) based on the Company’s books and records and other information available at the time the Preliminary Closing Statement is delivered, and calculated on a basis consistent with the accounting principles, past practice, assumptions, conventions and policies used in the preparation of the Balance Sheet (including, for the avoidance of doubt, GAAP; provided, that to the extent the accounting principles, past practice, assumptions, conventions and policies used in the preparation of the Balance Sheet deviate from GAAP, GAAP shall control, except to the extent a specific deviation is identified on Schedule 3.6 of the Disclosure Schedule (the “</w:t>
      </w:r>
      <w:r>
        <w:rPr>
          <w:rFonts w:ascii="Arial" w:cs="Arial" w:eastAsia="Arial" w:hAnsi="Arial"/>
          <w:sz w:val="19"/>
          <w:szCs w:val="19"/>
          <w:b w:val="1"/>
          <w:bCs w:val="1"/>
          <w:color w:val="auto"/>
        </w:rPr>
        <w:t>Applicable Accounting Principles</w:t>
      </w:r>
      <w:r>
        <w:rPr>
          <w:rFonts w:ascii="Arial" w:cs="Arial" w:eastAsia="Arial" w:hAnsi="Arial"/>
          <w:sz w:val="19"/>
          <w:szCs w:val="19"/>
          <w:color w:val="auto"/>
        </w:rPr>
        <w:t>”). Company shall submit with the Preliminary Closing Statement its good faith estimated unaudited balance sheet as of Closing from which the Company derived the Estimated Closing Cash Merger Consideration and each component thereof (the “</w:t>
      </w:r>
      <w:r>
        <w:rPr>
          <w:rFonts w:ascii="Arial" w:cs="Arial" w:eastAsia="Arial" w:hAnsi="Arial"/>
          <w:sz w:val="19"/>
          <w:szCs w:val="19"/>
          <w:b w:val="1"/>
          <w:bCs w:val="1"/>
          <w:color w:val="auto"/>
        </w:rPr>
        <w:t>Estimated Closing Balance Sheet</w:t>
      </w:r>
      <w:r>
        <w:rPr>
          <w:rFonts w:ascii="Arial" w:cs="Arial" w:eastAsia="Arial" w:hAnsi="Arial"/>
          <w:sz w:val="19"/>
          <w:szCs w:val="19"/>
          <w:color w:val="auto"/>
        </w:rPr>
        <w:t xml:space="preserve">”). The Estimated Closing Balance Sheet shall be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and prepared from the books of account of Company in accordance with the Applicable Accounting Principles.</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77" w:lineRule="exact"/>
        <w:rPr>
          <w:sz w:val="20"/>
          <w:szCs w:val="20"/>
          <w:color w:val="auto"/>
        </w:rPr>
      </w:pPr>
    </w:p>
    <w:p>
      <w:pPr>
        <w:ind w:left="-1120" w:firstLine="1304"/>
        <w:spacing w:after="0" w:line="242" w:lineRule="auto"/>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Within 60 days after the Closing Date, Acquiror shall cause to be prepared and delivered to the Stockholder Representative a written statement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Final Closing Statement</w:t>
      </w:r>
      <w:r>
        <w:rPr>
          <w:rFonts w:ascii="Arial" w:cs="Arial" w:eastAsia="Arial" w:hAnsi="Arial"/>
          <w:sz w:val="19"/>
          <w:szCs w:val="19"/>
          <w:color w:val="auto"/>
        </w:rPr>
        <w:t>”) that shall include and set forth a calculation in reasonable detail of (i) the actual Closing Cash Merger Consideration and each component thereof, including the actual Closing Net Working Capital, Working Capital Adjustment, Closing Indebtedness, Closing Cash and Closing Transaction Expenses, each determined as of the immediately prior to the Closing and, except for Closing Transaction Expenses, without giving effect to the transactions contemplated hereby and (ii) the Net Adjustment Amount in accordance with Section 2.11(g). Acquiror shall submit with the Final Closing Statement a balance sheet of the Company as of the Closing Date, substantially in the form provided in Exhibit F-1, from which the Acquiror derived the Closing Cash Merger Consideration and each component thereof (the “</w:t>
      </w:r>
      <w:r>
        <w:rPr>
          <w:rFonts w:ascii="Arial" w:cs="Arial" w:eastAsia="Arial" w:hAnsi="Arial"/>
          <w:sz w:val="19"/>
          <w:szCs w:val="19"/>
          <w:b w:val="1"/>
          <w:bCs w:val="1"/>
          <w:color w:val="auto"/>
        </w:rPr>
        <w:t>Closing Balance Sheet</w:t>
      </w:r>
      <w:r>
        <w:rPr>
          <w:rFonts w:ascii="Arial" w:cs="Arial" w:eastAsia="Arial" w:hAnsi="Arial"/>
          <w:sz w:val="19"/>
          <w:szCs w:val="19"/>
          <w:color w:val="auto"/>
        </w:rPr>
        <w:t>”). The Final Closing Statement and the Closing Balance Sheet shall be prepared from the books of account of Company in accordance with the Applicable Accounting Principles. Acquiror will furnish to the Stockholders’ Representative such work papers and other documents and information relating to the Closing Statement as the Stockholder’s Representative may reasonably request.</w:t>
      </w:r>
    </w:p>
    <w:p>
      <w:pPr>
        <w:spacing w:after="0" w:line="156" w:lineRule="exact"/>
        <w:rPr>
          <w:rFonts w:ascii="Arial" w:cs="Arial" w:eastAsia="Arial" w:hAnsi="Arial"/>
          <w:sz w:val="19"/>
          <w:szCs w:val="19"/>
          <w:color w:val="auto"/>
        </w:rPr>
      </w:pPr>
    </w:p>
    <w:p>
      <w:pPr>
        <w:ind w:left="-1120" w:right="100" w:firstLine="1304"/>
        <w:spacing w:after="0" w:line="225" w:lineRule="auto"/>
        <w:tabs>
          <w:tab w:leader="none" w:pos="628"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Final Closing Statement shall become final and binding on the </w:t>
      </w:r>
      <w:r>
        <w:rPr>
          <w:rFonts w:ascii="Arial" w:cs="Arial" w:eastAsia="Arial" w:hAnsi="Arial"/>
          <w:sz w:val="26"/>
          <w:szCs w:val="26"/>
          <w:color w:val="auto"/>
          <w:vertAlign w:val="superscript"/>
        </w:rPr>
        <w:t>4</w:t>
      </w:r>
      <w:r>
        <w:rPr>
          <w:rFonts w:ascii="Arial" w:cs="Arial" w:eastAsia="Arial" w:hAnsi="Arial"/>
          <w:sz w:val="20"/>
          <w:szCs w:val="20"/>
          <w:color w:val="auto"/>
        </w:rPr>
        <w:t>5th day following delivery thereof, unless prior to the end of such period, the Stockholder Representative delivers to Acquiror written notice of its disagreement (a “</w:t>
      </w:r>
      <w:r>
        <w:rPr>
          <w:rFonts w:ascii="Arial" w:cs="Arial" w:eastAsia="Arial" w:hAnsi="Arial"/>
          <w:sz w:val="20"/>
          <w:szCs w:val="20"/>
          <w:b w:val="1"/>
          <w:bCs w:val="1"/>
          <w:color w:val="auto"/>
        </w:rPr>
        <w:t>Notice of Disagreement</w:t>
      </w:r>
      <w:r>
        <w:rPr>
          <w:rFonts w:ascii="Arial" w:cs="Arial" w:eastAsia="Arial" w:hAnsi="Arial"/>
          <w:sz w:val="20"/>
          <w:szCs w:val="20"/>
          <w:color w:val="auto"/>
        </w:rPr>
        <w:t>”) specifying the nature and amount of any dispute as to the Net Adjustment Amount, including with respect to the calculation of Closing Net Working Capital, Working Capital Adjustment, Closing Indebtedness, Closing Cash and/or Closing Transaction Expenses, as set forth in the Final Closing Statement. The Stockholder Representative shall be deemed to have agreed with all items and amounts of Closing Net Working Capital, Working Capital Adjustment, Closing Indebtedness, Closing Cash and/or Closing Transaction Expenses not specifically referenced in the Notice of Disagreement, and such items and amounts shall not be subject to review in accordance with Section 2.11(d).</w:t>
      </w:r>
    </w:p>
    <w:p>
      <w:pPr>
        <w:spacing w:after="0" w:line="162" w:lineRule="exact"/>
        <w:rPr>
          <w:rFonts w:ascii="Arial" w:cs="Arial" w:eastAsia="Arial" w:hAnsi="Arial"/>
          <w:sz w:val="20"/>
          <w:szCs w:val="20"/>
          <w:color w:val="auto"/>
        </w:rPr>
      </w:pPr>
    </w:p>
    <w:p>
      <w:pPr>
        <w:ind w:left="-1120" w:firstLine="1304"/>
        <w:spacing w:after="0"/>
        <w:tabs>
          <w:tab w:leader="none" w:pos="644" w:val="left"/>
        </w:tabs>
        <w:numPr>
          <w:ilvl w:val="0"/>
          <w:numId w:val="25"/>
        </w:numPr>
        <w:rPr>
          <w:rFonts w:ascii="Arial" w:cs="Arial" w:eastAsia="Arial" w:hAnsi="Arial"/>
          <w:sz w:val="19"/>
          <w:szCs w:val="19"/>
          <w:color w:val="auto"/>
        </w:rPr>
      </w:pPr>
      <w:r>
        <w:rPr>
          <w:rFonts w:ascii="Arial" w:cs="Arial" w:eastAsia="Arial" w:hAnsi="Arial"/>
          <w:sz w:val="19"/>
          <w:szCs w:val="19"/>
          <w:color w:val="auto"/>
        </w:rPr>
        <w:t>During the 30-day period following delivery of a Notice of Disagreement by the Stockholder Representative to Acquiror, the parties in good faith shall seek to resolve in writing any differences that they may have with respect to the calculation of the Net Adjustment Amount, including with respect to the calculation of Closing Net Working Capital, Working Capital Adjustment, Closing Indebtedness, Closing Cash and/or Closing Transaction Expenses as specified therein. Any disputed items resolved in writing between Acquiror and the Stockholder Representative within such 30-day period shall be final and binding with respect to such items, and if the Stockholder Representative and Acquiror agree in writing on the resolution of each disputed item specified by the Stockholder Representative in the Notice of Disagreement and the amount of the Closing Net Working Capital, Working Capital Adjustment, Closing Indebtedness, Closing Cash and Closing Transaction Expenses, the amounts so determined shall be final and binding on the parties for all purposes hereunder. If Acquiror and the Stockholder Representative have not resolved all such differences by the end of such 30-day period, Acquiror and the Stockholder Representative shall submit, in writing, to an independent public accounting firm (the “</w:t>
      </w:r>
      <w:r>
        <w:rPr>
          <w:rFonts w:ascii="Arial" w:cs="Arial" w:eastAsia="Arial" w:hAnsi="Arial"/>
          <w:sz w:val="19"/>
          <w:szCs w:val="19"/>
          <w:b w:val="1"/>
          <w:bCs w:val="1"/>
          <w:color w:val="auto"/>
        </w:rPr>
        <w:t>Independent Accounting Firm</w:t>
      </w:r>
      <w:r>
        <w:rPr>
          <w:rFonts w:ascii="Arial" w:cs="Arial" w:eastAsia="Arial" w:hAnsi="Arial"/>
          <w:sz w:val="19"/>
          <w:szCs w:val="19"/>
          <w:color w:val="auto"/>
        </w:rPr>
        <w:t>”), the Final Closing Statement, the Closing Balance Sheet, the Notice of Disagreement, and their briefs detailing their views as to the correct nature and amount of each item remaining in dispute and the amounts of the Net Adjustment Amount and the Closing Net Working Capital, Working Capital Adjustment, Closing Indebtedness, Closing Cash and/or Closing Transaction Expenses, and the Independent Accounting Firm shall make a written determination as to each such disputed item and the amount of the Net Adjustment Amount and the Closing Net Working Capital, Working Capital Adjustment, Closing Indebtedness, Closing Cash and/or Closing Transaction Expenses. Buyer and Sellers’ Representative will each be provided the opportunity to present to the Independent Accounting Firm such other material that is reasonably relevant to the determination of the Net Adjustment Amount and the Closing Net Working Capital, Working Capital Adjustment, Closing</w:t>
      </w:r>
    </w:p>
    <w:p>
      <w:pPr>
        <w:sectPr>
          <w:pgSz w:w="11900" w:h="16838" w:orient="portrait"/>
          <w:cols w:equalWidth="0" w:num="1">
            <w:col w:w="10080"/>
          </w:cols>
          <w:pgMar w:left="1440" w:top="1440" w:right="379" w:bottom="1440" w:gutter="0" w:footer="0" w:header="0"/>
        </w:sectPr>
      </w:pPr>
    </w:p>
    <w:bookmarkStart w:id="71" w:name="page72"/>
    <w:bookmarkEnd w:id="71"/>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Indebtedness, Closing Cash and/or Closing Transaction Expenses. The Independent Accounting Firm shall be Grant Thornton LLP, or, if such firm is unable or unwilling to act, such other independent public accounting firm as shall be agreed in writing by the Stockholder Representative and Acquiror. Acquiror and the Stockholder Representative shall use their commercially reasonable efforts to cause the Independent Accounting Firm to render a written decision resolving the matters submitted to it within 30 days following the submission thereof. The Independent Accounting Firm shall consider only those items and amounts in Acquiror’s and the Stockholder Representative’s respective calculations of the Net Adjustment Amount and the Closing Net Working Capital, Working Capital Adjustment, Closing Indebtedness, Closing Cash and/or Closing Transaction Expenses that are identified as being items and amounts to which Acquiror and the Stockholders have been unable to agree. The scope of the disputes to be resolved by the Independent Accounting Firm shall be limited to correcting mathematical errors and determining whether the items and amounts in dispute were determined in accordance with the Applicable Accounting Principles and the Independent Accounting Firm is not to make any other determination, including any determination as to whether the Target Net Working Capital or any estimates on the Preliminary Closing Statement are correct, adequate or sufficient. In resolving any disputed item, the Independent Accounting Firm may not assign a value to any item greater than the greatest value for such item claimed by either party or less than the smallest value for such item claimed by either party. The Independent Accounting Firm’s determination of the Net Adjustment Amount and the Closing Net Working Capital, Net Working Capital Adjustment, Closing Indebtedness, Closing Cash and Closing Transaction Expenses shall be based solely on written materials submitted by Acquiror and the Stockholder Representative (</w:t>
      </w:r>
      <w:r>
        <w:rPr>
          <w:rFonts w:ascii="Arial" w:cs="Arial" w:eastAsia="Arial" w:hAnsi="Arial"/>
          <w:sz w:val="19"/>
          <w:szCs w:val="19"/>
          <w:i w:val="1"/>
          <w:iCs w:val="1"/>
          <w:color w:val="auto"/>
        </w:rPr>
        <w:t>i.e.</w:t>
      </w:r>
      <w:r>
        <w:rPr>
          <w:rFonts w:ascii="Arial" w:cs="Arial" w:eastAsia="Arial" w:hAnsi="Arial"/>
          <w:sz w:val="19"/>
          <w:szCs w:val="19"/>
          <w:color w:val="auto"/>
        </w:rPr>
        <w:t>, not on independent review). The determination of the Independent Accounting Firm shall be conclusive and binding upon the parties hereto and shall not be subject to appeal or further review. Judgment may be entered upon the written determination of the Independent Accounting Firm. In acting under this Agreement, the Independent Accounting Firm shall function solely as an expert and not as an arbitrator; provided that the Independent Accounting Firm shall have the power to conclusively resolve differences in disputed items as specified in this Agreement.</w:t>
      </w:r>
    </w:p>
    <w:p>
      <w:pPr>
        <w:spacing w:after="0" w:line="164" w:lineRule="exact"/>
        <w:rPr>
          <w:sz w:val="20"/>
          <w:szCs w:val="20"/>
          <w:color w:val="auto"/>
        </w:rPr>
      </w:pPr>
    </w:p>
    <w:p>
      <w:pPr>
        <w:ind w:right="80" w:firstLine="1304"/>
        <w:spacing w:after="0" w:line="244" w:lineRule="auto"/>
        <w:tabs>
          <w:tab w:leader="none" w:pos="1748"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costs of any dispute resolution pursuant to this Section 3.11, including the fees and expenses of the Independent Accounting Firm and of any enforcement of the determination thereof (the “</w:t>
      </w:r>
      <w:r>
        <w:rPr>
          <w:rFonts w:ascii="Arial" w:cs="Arial" w:eastAsia="Arial" w:hAnsi="Arial"/>
          <w:sz w:val="19"/>
          <w:szCs w:val="19"/>
          <w:b w:val="1"/>
          <w:bCs w:val="1"/>
          <w:color w:val="auto"/>
        </w:rPr>
        <w:t>Accounting Fees</w:t>
      </w:r>
      <w:r>
        <w:rPr>
          <w:rFonts w:ascii="Arial" w:cs="Arial" w:eastAsia="Arial" w:hAnsi="Arial"/>
          <w:sz w:val="19"/>
          <w:szCs w:val="19"/>
          <w:color w:val="auto"/>
        </w:rPr>
        <w:t>”), shall be borne by Acquiror and the Stockholders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For example, if the unresolved disputed items total $1,000 and the Independent Accounting Firm awards $600 to the Stockholders and $400 to Acquiror, then 60% of the Accounting Fees would be borne by Acquiror and 40% of the Accounting Fees would be borne by Stockholders. The fees and disbursements of the Representatives of each party incurred in connection with the preparation or review of the Final Closing Statement, preparation or review of any Notice of Disagreement, and seeking resolution of the disputed items as applicable, shall be borne by such party.</w:t>
      </w:r>
    </w:p>
    <w:p>
      <w:pPr>
        <w:spacing w:after="0" w:line="154" w:lineRule="exact"/>
        <w:rPr>
          <w:rFonts w:ascii="Arial" w:cs="Arial" w:eastAsia="Arial" w:hAnsi="Arial"/>
          <w:sz w:val="19"/>
          <w:szCs w:val="19"/>
          <w:color w:val="auto"/>
        </w:rPr>
      </w:pPr>
    </w:p>
    <w:p>
      <w:pPr>
        <w:ind w:right="80" w:firstLine="1304"/>
        <w:spacing w:after="0" w:line="221" w:lineRule="auto"/>
        <w:tabs>
          <w:tab w:leader="none" w:pos="1716" w:val="left"/>
        </w:tabs>
        <w:numPr>
          <w:ilvl w:val="0"/>
          <w:numId w:val="26"/>
        </w:numPr>
        <w:rPr>
          <w:rFonts w:ascii="Arial" w:cs="Arial" w:eastAsia="Arial" w:hAnsi="Arial"/>
          <w:sz w:val="21"/>
          <w:szCs w:val="21"/>
          <w:color w:val="auto"/>
        </w:rPr>
      </w:pPr>
      <w:r>
        <w:rPr>
          <w:rFonts w:ascii="Arial" w:cs="Arial" w:eastAsia="Arial" w:hAnsi="Arial"/>
          <w:sz w:val="21"/>
          <w:szCs w:val="21"/>
          <w:color w:val="auto"/>
        </w:rPr>
        <w:t>Acquiror will, and Acquiror will cause the Surviving Entity (during the period from and after the date of delivery of the Final Closing Statement through the resolution of any adjustment to the Estimated Merger Consideration contemplated by this Section 3.11) to afford the Stockholders and its Representatives reasonable access (taking into account any applicable Public Health Measures), during normal business hours and upon reasonable prior notice, to the personnel, properties, books and records of the Surviving Entity, as the case may be, and to any other information reasonably requested for purposes of preparing and reviewing the calculations contemplated by this Section 3.11. The Acquiror shall authorize its and the Surviving Entity’s accountants to disclose work papers generated by such accountants in connection with preparing and reviewing the calculations specified in this Section 3.11;</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77" w:lineRule="exact"/>
        <w:rPr>
          <w:sz w:val="20"/>
          <w:szCs w:val="20"/>
          <w:color w:val="auto"/>
        </w:rPr>
      </w:pPr>
    </w:p>
    <w:p>
      <w:pPr>
        <w:ind w:right="380"/>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such accountants shall not be obligated to make any work papers available except in accordance with such accountants’ disclosure procedures and then only after the non-client party has signed an agreement relating to access to such work papers in form and substance acceptable to such accountants.</w:t>
      </w:r>
    </w:p>
    <w:p>
      <w:pPr>
        <w:spacing w:after="0" w:line="159" w:lineRule="exact"/>
        <w:rPr>
          <w:sz w:val="20"/>
          <w:szCs w:val="20"/>
          <w:color w:val="auto"/>
        </w:rPr>
      </w:pPr>
    </w:p>
    <w:p>
      <w:pPr>
        <w:ind w:left="1760" w:hanging="456"/>
        <w:spacing w:after="0"/>
        <w:tabs>
          <w:tab w:leader="none" w:pos="1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Merger Consideration shall be adjusted, upwards or downwards, as follows:</w:t>
      </w:r>
    </w:p>
    <w:p>
      <w:pPr>
        <w:spacing w:after="0" w:line="173" w:lineRule="exact"/>
        <w:rPr>
          <w:rFonts w:ascii="Arial" w:cs="Arial" w:eastAsia="Arial" w:hAnsi="Arial"/>
          <w:sz w:val="22"/>
          <w:szCs w:val="22"/>
          <w:color w:val="auto"/>
        </w:rPr>
      </w:pPr>
    </w:p>
    <w:p>
      <w:pPr>
        <w:jc w:val="both"/>
        <w:ind w:left="660" w:right="20" w:firstLine="1292"/>
        <w:spacing w:after="0" w:line="225" w:lineRule="auto"/>
        <w:tabs>
          <w:tab w:leader="none" w:pos="2376"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For the purposes of this Agreement, the “</w:t>
      </w:r>
      <w:r>
        <w:rPr>
          <w:rFonts w:ascii="Arial" w:cs="Arial" w:eastAsia="Arial" w:hAnsi="Arial"/>
          <w:sz w:val="22"/>
          <w:szCs w:val="22"/>
          <w:b w:val="1"/>
          <w:bCs w:val="1"/>
          <w:color w:val="auto"/>
        </w:rPr>
        <w:t>Net Adjustment Amount</w:t>
      </w:r>
      <w:r>
        <w:rPr>
          <w:rFonts w:ascii="Arial" w:cs="Arial" w:eastAsia="Arial" w:hAnsi="Arial"/>
          <w:sz w:val="22"/>
          <w:szCs w:val="22"/>
          <w:color w:val="auto"/>
        </w:rPr>
        <w:t xml:space="preserve">” means an amount, which may be positive or negative, equal to the Closing Cash Merger Consideration (as finally determined pursuant to this Section 3.11)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Estimated Closing Cash Merger Consideration;</w:t>
      </w:r>
    </w:p>
    <w:p>
      <w:pPr>
        <w:spacing w:after="0" w:line="158" w:lineRule="exact"/>
        <w:rPr>
          <w:rFonts w:ascii="Arial" w:cs="Arial" w:eastAsia="Arial" w:hAnsi="Arial"/>
          <w:sz w:val="22"/>
          <w:szCs w:val="22"/>
          <w:color w:val="010000"/>
        </w:rPr>
      </w:pPr>
    </w:p>
    <w:p>
      <w:pPr>
        <w:ind w:left="660" w:firstLine="1292"/>
        <w:spacing w:after="0" w:line="214" w:lineRule="auto"/>
        <w:tabs>
          <w:tab w:leader="none" w:pos="2436"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If the Net Adjustment Amount is positive, the Merger Consideration shall be adjusted upwards in an amount equal to the Net Adjustment Amount. In such event, (A) Acquiror shall pay the Net Adjustment Amount to the Stockholders (in accordance with their Pro Rata Percentages or as otherwise directed by both Stockholders) and (B) the Acquiror and the Stockholder Representative shall jointly instruct the Escrow Agent to release all funds in the Adjustment Escrow Fund to the Stockholders (in accordance with their Pro Rata Percentages or as otherwise directed by both Stockholders); and</w:t>
      </w:r>
    </w:p>
    <w:p>
      <w:pPr>
        <w:spacing w:after="0" w:line="152" w:lineRule="exact"/>
        <w:rPr>
          <w:rFonts w:ascii="Arial" w:cs="Arial" w:eastAsia="Arial" w:hAnsi="Arial"/>
          <w:sz w:val="22"/>
          <w:szCs w:val="22"/>
          <w:color w:val="010000"/>
        </w:rPr>
      </w:pPr>
    </w:p>
    <w:p>
      <w:pPr>
        <w:ind w:left="660" w:right="100" w:firstLine="1292"/>
        <w:spacing w:after="0" w:line="244" w:lineRule="auto"/>
        <w:tabs>
          <w:tab w:leader="none" w:pos="2496" w:val="left"/>
        </w:tabs>
        <w:numPr>
          <w:ilvl w:val="1"/>
          <w:numId w:val="27"/>
        </w:numPr>
        <w:rPr>
          <w:rFonts w:ascii="Arial" w:cs="Arial" w:eastAsia="Arial" w:hAnsi="Arial"/>
          <w:sz w:val="19"/>
          <w:szCs w:val="19"/>
          <w:color w:val="010000"/>
        </w:rPr>
      </w:pPr>
      <w:r>
        <w:rPr>
          <w:rFonts w:ascii="Arial" w:cs="Arial" w:eastAsia="Arial" w:hAnsi="Arial"/>
          <w:sz w:val="19"/>
          <w:szCs w:val="19"/>
          <w:color w:val="auto"/>
        </w:rPr>
        <w:t>If the Net Adjustment Amount is negative (in which case the “</w:t>
      </w:r>
      <w:r>
        <w:rPr>
          <w:rFonts w:ascii="Arial" w:cs="Arial" w:eastAsia="Arial" w:hAnsi="Arial"/>
          <w:sz w:val="19"/>
          <w:szCs w:val="19"/>
          <w:b w:val="1"/>
          <w:bCs w:val="1"/>
          <w:color w:val="auto"/>
        </w:rPr>
        <w:t>Net Adjustment Amount</w:t>
      </w:r>
      <w:r>
        <w:rPr>
          <w:rFonts w:ascii="Arial" w:cs="Arial" w:eastAsia="Arial" w:hAnsi="Arial"/>
          <w:sz w:val="19"/>
          <w:szCs w:val="19"/>
          <w:color w:val="auto"/>
        </w:rPr>
        <w:t>” for purposes of this clause (iii) shall be deemed to be equal to the absolute value of such amount), the Merger Consideration shall be adjusted downwards in an amount equal to the lesser of (A) the Net Adjustment Amount and (B) the Adjustment Escrow Amount. In such event, the Stockholder Representative and Acquiror shall jointly instruct the Escrow Agent to release from the Adjustment Escrow Fund to the Acquiror the Net Adjustment Amount. To the extent there are any funds remaining in the Adjustment Escrow Fund after such release, the Stockholder Representative and Acquiror shall jointly instruct the Escrow Agent to release such remaining amounts from the Adjustment Escrow Fund to the Stockholders in accordance with their Pro Rata Percentages or as otherwise directed by both Stockholders. For the avoidance of doubt, if the Net Adjustment Amount exceeds the Adjustment Escrow Amount, the Stockholders shall be obligated to pay the Acquiror any amount in excess of the Adjustment Escrow Amount pursuant to this Section 2.11.</w:t>
      </w:r>
    </w:p>
    <w:p>
      <w:pPr>
        <w:spacing w:after="0" w:line="160" w:lineRule="exact"/>
        <w:rPr>
          <w:rFonts w:ascii="Arial" w:cs="Arial" w:eastAsia="Arial" w:hAnsi="Arial"/>
          <w:sz w:val="19"/>
          <w:szCs w:val="19"/>
          <w:color w:val="010000"/>
        </w:rPr>
      </w:pPr>
    </w:p>
    <w:p>
      <w:pPr>
        <w:ind w:right="280" w:firstLine="1304"/>
        <w:spacing w:after="0" w:line="268" w:lineRule="auto"/>
        <w:tabs>
          <w:tab w:leader="none" w:pos="1764" w:val="left"/>
        </w:tabs>
        <w:numPr>
          <w:ilvl w:val="0"/>
          <w:numId w:val="27"/>
        </w:numPr>
        <w:rPr>
          <w:rFonts w:ascii="Arial" w:cs="Arial" w:eastAsia="Arial" w:hAnsi="Arial"/>
          <w:sz w:val="19"/>
          <w:szCs w:val="19"/>
          <w:color w:val="auto"/>
        </w:rPr>
      </w:pPr>
      <w:r>
        <w:rPr>
          <w:rFonts w:ascii="Arial" w:cs="Arial" w:eastAsia="Arial" w:hAnsi="Arial"/>
          <w:sz w:val="19"/>
          <w:szCs w:val="19"/>
          <w:color w:val="auto"/>
        </w:rPr>
        <w:t>Payments in respect of Section 2.11(g) shall be made within three Business Days of final determination of the Net Adjustment Amount pursuant to the provisions of this Section 2.11 by wire transfer of immediately available funds to such account or accounts as may be designated in writing by the party entitled to such payment.</w:t>
      </w:r>
    </w:p>
    <w:p>
      <w:pPr>
        <w:spacing w:after="0" w:line="12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Contingent Payments</w:t>
      </w:r>
      <w:r>
        <w:rPr>
          <w:rFonts w:ascii="Arial" w:cs="Arial" w:eastAsia="Arial" w:hAnsi="Arial"/>
          <w:sz w:val="19"/>
          <w:szCs w:val="19"/>
          <w:color w:val="auto"/>
        </w:rPr>
        <w:t>. Subject to the terms and conditions set forth in Schedule 2.12 (the “</w:t>
      </w:r>
      <w:r>
        <w:rPr>
          <w:rFonts w:ascii="Arial" w:cs="Arial" w:eastAsia="Arial" w:hAnsi="Arial"/>
          <w:sz w:val="19"/>
          <w:szCs w:val="19"/>
          <w:b w:val="1"/>
          <w:bCs w:val="1"/>
          <w:color w:val="auto"/>
        </w:rPr>
        <w:t>Contingent</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Schedule</w:t>
      </w:r>
      <w:r>
        <w:rPr>
          <w:rFonts w:ascii="Arial" w:cs="Arial" w:eastAsia="Arial" w:hAnsi="Arial"/>
          <w:sz w:val="19"/>
          <w:szCs w:val="19"/>
          <w:color w:val="auto"/>
        </w:rPr>
        <w:t>”) and the other terms and conditions of this Agreement, Buyer shall pay to the Stockholders such contingent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if any, as are required to be paid pursuant to the Contingent Payment Schedule (the “</w:t>
      </w:r>
      <w:r>
        <w:rPr>
          <w:rFonts w:ascii="Arial" w:cs="Arial" w:eastAsia="Arial" w:hAnsi="Arial"/>
          <w:sz w:val="19"/>
          <w:szCs w:val="19"/>
          <w:b w:val="1"/>
          <w:bCs w:val="1"/>
          <w:color w:val="auto"/>
        </w:rPr>
        <w:t>Contingent Payments</w:t>
      </w:r>
      <w:r>
        <w:rPr>
          <w:rFonts w:ascii="Arial" w:cs="Arial" w:eastAsia="Arial" w:hAnsi="Arial"/>
          <w:sz w:val="19"/>
          <w:szCs w:val="19"/>
          <w:color w:val="auto"/>
        </w:rPr>
        <w:t>”).</w:t>
      </w:r>
    </w:p>
    <w:p>
      <w:pPr>
        <w:spacing w:after="0" w:line="13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Restrictions on Post-Closing Sale of Acquiror Common Stock</w:t>
      </w:r>
      <w:r>
        <w:rPr>
          <w:rFonts w:ascii="Arial" w:cs="Arial" w:eastAsia="Arial" w:hAnsi="Arial"/>
          <w:sz w:val="19"/>
          <w:szCs w:val="19"/>
          <w:color w:val="auto"/>
        </w:rPr>
        <w:t>.</w:t>
      </w:r>
    </w:p>
    <w:p>
      <w:pPr>
        <w:spacing w:after="0" w:line="179" w:lineRule="exact"/>
        <w:rPr>
          <w:sz w:val="20"/>
          <w:szCs w:val="20"/>
          <w:color w:val="auto"/>
        </w:rPr>
      </w:pPr>
    </w:p>
    <w:p>
      <w:pPr>
        <w:ind w:right="40" w:firstLine="1304"/>
        <w:spacing w:after="0" w:line="229" w:lineRule="auto"/>
        <w:tabs>
          <w:tab w:leader="none" w:pos="1752"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For a period of six months following the Closing Date, each Stockholder shall not effect any transfer, or make a public announcement of any intention to effect a Transfer of any Closing Stock Merger Consideration beneficially owned or otherwise held by such Stockholder; provided, that such prohibition shall not apply to Transfers permitted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2.13(b)</w:t>
      </w:r>
      <w:r>
        <w:rPr>
          <w:rFonts w:ascii="Arial" w:cs="Arial" w:eastAsia="Arial" w:hAnsi="Arial"/>
          <w:sz w:val="21"/>
          <w:szCs w:val="21"/>
          <w:color w:val="auto"/>
        </w:rPr>
        <w:t>. On the six month anniversary of the Closing Date, 50% of the Closing Stock</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77" w:lineRule="exact"/>
        <w:rPr>
          <w:sz w:val="20"/>
          <w:szCs w:val="20"/>
          <w:color w:val="auto"/>
        </w:rPr>
      </w:pPr>
    </w:p>
    <w:p>
      <w:pPr>
        <w:ind w:right="220"/>
        <w:spacing w:after="0" w:line="224" w:lineRule="auto"/>
        <w:rPr>
          <w:sz w:val="20"/>
          <w:szCs w:val="20"/>
          <w:color w:val="auto"/>
        </w:rPr>
      </w:pPr>
      <w:r>
        <w:rPr>
          <w:rFonts w:ascii="Arial" w:cs="Arial" w:eastAsia="Arial" w:hAnsi="Arial"/>
          <w:sz w:val="21"/>
          <w:szCs w:val="21"/>
          <w:color w:val="auto"/>
        </w:rPr>
        <w:t>Merger Consideration shall be released from the restrictions set forth in this Section 2.13. The remaining 50% of the Closing Stock Merger Consideration held by any Stockholder shall not be Transferred (except in accordance with Section 2.13(b)) until the earlier of (A) October 19, 2023 or (B) if the reported closing price of one share of Acquiror Common Stock quoted on the Nasdaq Stock Market equals or exceeds $20.00 per share (as adjusted for stock splits, stock dividends, reorganizations, recapitalizations and the like) for any 20 trading days (whether or not consecutive) within a 30 consecutive trading day period, the first trading day following the last of such 20 trading days.</w:t>
      </w:r>
    </w:p>
    <w:p>
      <w:pPr>
        <w:spacing w:after="0" w:line="160" w:lineRule="exact"/>
        <w:rPr>
          <w:sz w:val="20"/>
          <w:szCs w:val="20"/>
          <w:color w:val="auto"/>
        </w:rPr>
      </w:pPr>
    </w:p>
    <w:p>
      <w:pPr>
        <w:ind w:right="100" w:firstLine="1304"/>
        <w:spacing w:after="0" w:line="219" w:lineRule="auto"/>
        <w:tabs>
          <w:tab w:leader="none" w:pos="1764" w:val="left"/>
        </w:tabs>
        <w:numPr>
          <w:ilvl w:val="0"/>
          <w:numId w:val="29"/>
        </w:numPr>
        <w:rPr>
          <w:rFonts w:ascii="Arial" w:cs="Arial" w:eastAsia="Arial" w:hAnsi="Arial"/>
          <w:sz w:val="21"/>
          <w:szCs w:val="21"/>
          <w:color w:val="auto"/>
        </w:rPr>
      </w:pPr>
      <w:r>
        <w:rPr>
          <w:rFonts w:ascii="Arial" w:cs="Arial" w:eastAsia="Arial" w:hAnsi="Arial"/>
          <w:sz w:val="21"/>
          <w:szCs w:val="21"/>
          <w:color w:val="auto"/>
        </w:rPr>
        <w:t>Notwithstanding Section 2.13(a), a Stockholder may Transfer shares of Acquiror Common Stock in a transaction that does not constitute an “offer” or “sale”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(i) to an Affiliate of such Stockholder; (ii) to an immediate family member of such Stockholder; (iii) to a trust or other estate planning vehicle for the benefit of such Stockholder or an immediate family member of Stockholder; (iv) pursuant to the laws of testamentary or intestate succession or otherwise involuntarily transferred by operation of law; or (v) if such Stockholder is a partnership, corporation or limited liability company, to any one or more partners, stockholders or members thereof; provided, however, that (A) Stockholder shall give Acquiror written notice prior to the time of such Transfer stating the name and address of the transferee and identifying the shares being transferred to the transferee, (B) such transferee shall provide any other documents or information reasonably required by Acquiror’s transfer agent to effectuate such transfer and (C) such transferee is an “accredited investor” within the meaning of Rule 506 of Regulation D under the Securities Act. Any such transfer of such shares pursuant to this section is referred to as a “</w:t>
      </w:r>
      <w:r>
        <w:rPr>
          <w:rFonts w:ascii="Arial" w:cs="Arial" w:eastAsia="Arial" w:hAnsi="Arial"/>
          <w:sz w:val="21"/>
          <w:szCs w:val="21"/>
          <w:b w:val="1"/>
          <w:bCs w:val="1"/>
          <w:color w:val="auto"/>
        </w:rPr>
        <w:t>Permitted Transfer</w:t>
      </w:r>
      <w:r>
        <w:rPr>
          <w:rFonts w:ascii="Arial" w:cs="Arial" w:eastAsia="Arial" w:hAnsi="Arial"/>
          <w:sz w:val="21"/>
          <w:szCs w:val="21"/>
          <w:color w:val="auto"/>
        </w:rPr>
        <w:t>” and any such transferee is referred to as a “</w:t>
      </w:r>
      <w:r>
        <w:rPr>
          <w:rFonts w:ascii="Arial" w:cs="Arial" w:eastAsia="Arial" w:hAnsi="Arial"/>
          <w:sz w:val="21"/>
          <w:szCs w:val="21"/>
          <w:b w:val="1"/>
          <w:bCs w:val="1"/>
          <w:color w:val="auto"/>
        </w:rPr>
        <w:t>Permitted</w:t>
      </w:r>
      <w:r>
        <w:rPr>
          <w:rFonts w:ascii="Arial" w:cs="Arial" w:eastAsia="Arial" w:hAnsi="Arial"/>
          <w:sz w:val="21"/>
          <w:szCs w:val="21"/>
          <w:color w:val="auto"/>
        </w:rPr>
        <w:t xml:space="preserve"> </w:t>
      </w:r>
      <w:r>
        <w:rPr>
          <w:rFonts w:ascii="Arial" w:cs="Arial" w:eastAsia="Arial" w:hAnsi="Arial"/>
          <w:sz w:val="21"/>
          <w:szCs w:val="21"/>
          <w:b w:val="1"/>
          <w:bCs w:val="1"/>
          <w:color w:val="auto"/>
        </w:rPr>
        <w:t>Transferee</w:t>
      </w:r>
      <w:r>
        <w:rPr>
          <w:rFonts w:ascii="Arial" w:cs="Arial" w:eastAsia="Arial" w:hAnsi="Arial"/>
          <w:sz w:val="21"/>
          <w:szCs w:val="21"/>
          <w:color w:val="auto"/>
        </w:rPr>
        <w:t>”.</w:t>
      </w:r>
    </w:p>
    <w:p>
      <w:pPr>
        <w:spacing w:after="0" w:line="163" w:lineRule="exact"/>
        <w:rPr>
          <w:rFonts w:ascii="Arial" w:cs="Arial" w:eastAsia="Arial" w:hAnsi="Arial"/>
          <w:sz w:val="21"/>
          <w:szCs w:val="21"/>
          <w:color w:val="auto"/>
        </w:rPr>
      </w:pPr>
    </w:p>
    <w:p>
      <w:pPr>
        <w:ind w:firstLine="1304"/>
        <w:spacing w:after="0" w:line="223" w:lineRule="auto"/>
        <w:tabs>
          <w:tab w:leader="none" w:pos="1748" w:val="left"/>
        </w:tabs>
        <w:numPr>
          <w:ilvl w:val="0"/>
          <w:numId w:val="29"/>
        </w:numPr>
        <w:rPr>
          <w:rFonts w:ascii="Arial" w:cs="Arial" w:eastAsia="Arial" w:hAnsi="Arial"/>
          <w:sz w:val="22"/>
          <w:szCs w:val="22"/>
          <w:color w:val="auto"/>
        </w:rPr>
      </w:pPr>
      <w:r>
        <w:rPr>
          <w:rFonts w:ascii="Arial" w:cs="Arial" w:eastAsia="Arial" w:hAnsi="Arial"/>
          <w:sz w:val="22"/>
          <w:szCs w:val="22"/>
          <w:color w:val="auto"/>
        </w:rPr>
        <w:t>With a view to making available to Stockholders, after October 25, 2022, the benefits of Rule 144 promulgated under the Securities Act, Acquiror shall, for so long as any Stockholders or Permitted Transferees hold any shares of Acquiror Common Stock:</w:t>
      </w:r>
    </w:p>
    <w:p>
      <w:pPr>
        <w:spacing w:after="0" w:line="158" w:lineRule="exact"/>
        <w:rPr>
          <w:rFonts w:ascii="Arial" w:cs="Arial" w:eastAsia="Arial" w:hAnsi="Arial"/>
          <w:sz w:val="22"/>
          <w:szCs w:val="22"/>
          <w:color w:val="auto"/>
        </w:rPr>
      </w:pPr>
    </w:p>
    <w:p>
      <w:pPr>
        <w:ind w:left="660" w:firstLine="1292"/>
        <w:spacing w:after="0" w:line="232" w:lineRule="auto"/>
        <w:tabs>
          <w:tab w:leader="none" w:pos="2376"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use commercially reasonable efforts to make and keep public information available, as those terms are understood and defined in Rule 144; and</w:t>
      </w:r>
    </w:p>
    <w:p>
      <w:pPr>
        <w:spacing w:after="0" w:line="158" w:lineRule="exact"/>
        <w:rPr>
          <w:rFonts w:ascii="Arial" w:cs="Arial" w:eastAsia="Arial" w:hAnsi="Arial"/>
          <w:sz w:val="22"/>
          <w:szCs w:val="22"/>
          <w:color w:val="010000"/>
        </w:rPr>
      </w:pPr>
    </w:p>
    <w:p>
      <w:pPr>
        <w:ind w:left="660" w:right="20" w:firstLine="1292"/>
        <w:spacing w:after="0" w:line="218" w:lineRule="auto"/>
        <w:tabs>
          <w:tab w:leader="none" w:pos="2436"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use commercially reasonable efforts to file with the SEC in a timely manner all reports and other documents required of Acquiror under the Securities Act and the Exchange Act so long as Acquiror remains subject to such requirements and the filing of such reports and other documents is required for the applicable provisions of Rule 144 promulgated under the Securities Act.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jc w:val="center"/>
        <w:ind w:right="-19"/>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hereby represents and warrants to Acquiror and Merger Sub as follows:</w:t>
      </w:r>
    </w:p>
    <w:p>
      <w:pPr>
        <w:spacing w:after="0" w:line="179" w:lineRule="exact"/>
        <w:rPr>
          <w:sz w:val="20"/>
          <w:szCs w:val="20"/>
          <w:color w:val="auto"/>
        </w:rPr>
      </w:pPr>
    </w:p>
    <w:p>
      <w:pPr>
        <w:ind w:right="140" w:firstLine="648"/>
        <w:spacing w:after="0" w:line="249"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The Company is (a) a corporation duly organized, validly existing and in good standing under the laws of the State of Delaware, and has all necessary corporate power and authority to own, lease and operate its properties and to carry on its business as it is now being conducted and (b) duly qualified as a foreign corporation to do business, and is in good standing, in each jurisdiction where the character of the properties owned, leased or operated by it or the nature of its business makes such qualification necessary, except, in each case, for any such failures that would not, individually or in the aggregate, reasonably be expected to be material to the Company.</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77"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Authority</w:t>
      </w:r>
      <w:r>
        <w:rPr>
          <w:rFonts w:ascii="Arial" w:cs="Arial" w:eastAsia="Arial" w:hAnsi="Arial"/>
          <w:sz w:val="19"/>
          <w:szCs w:val="19"/>
          <w:color w:val="auto"/>
        </w:rPr>
        <w:t>. The Company has the corporate power and authority to execute and deliver this Agreement and, subject to obtaining approval of the Stockholders for the transactions contemplated hereby (“</w:t>
      </w:r>
      <w:r>
        <w:rPr>
          <w:rFonts w:ascii="Arial" w:cs="Arial" w:eastAsia="Arial" w:hAnsi="Arial"/>
          <w:sz w:val="19"/>
          <w:szCs w:val="19"/>
          <w:b w:val="1"/>
          <w:bCs w:val="1"/>
          <w:color w:val="auto"/>
        </w:rPr>
        <w:t>Company Stockholder</w:t>
      </w:r>
      <w:r>
        <w:rPr>
          <w:rFonts w:ascii="Arial" w:cs="Arial" w:eastAsia="Arial" w:hAnsi="Arial"/>
          <w:sz w:val="19"/>
          <w:szCs w:val="19"/>
          <w:color w:val="auto"/>
        </w:rPr>
        <w:t xml:space="preserve"> </w:t>
      </w:r>
      <w:r>
        <w:rPr>
          <w:rFonts w:ascii="Arial" w:cs="Arial" w:eastAsia="Arial" w:hAnsi="Arial"/>
          <w:sz w:val="19"/>
          <w:szCs w:val="19"/>
          <w:b w:val="1"/>
          <w:bCs w:val="1"/>
          <w:color w:val="auto"/>
        </w:rPr>
        <w:t>Approval</w:t>
      </w:r>
      <w:r>
        <w:rPr>
          <w:rFonts w:ascii="Arial" w:cs="Arial" w:eastAsia="Arial" w:hAnsi="Arial"/>
          <w:sz w:val="19"/>
          <w:szCs w:val="19"/>
          <w:color w:val="auto"/>
        </w:rPr>
        <w:t>”), to perform its obligations hereunder and to consummate the transactions contemplated hereby. The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and performance by the Company of this Agreement and the consummation by the Company of the transactions contemplated hereby have been duly and validly authorized by the Board of Directors of the Company. Except for obtaining Company Stockholder Approval, no other corporate proceedings on the part of the Company are necessary to authorize the execution, delivery or performance of this Agreement or to consummate the transactions contemplated hereby. This Agreement has been duly executed and delivered by the Company and, assuming due execution and delivery by each of the other parties hereto, constitutes the legal, valid and binding obligation of the Company, enforceable against the Company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 (the “</w:t>
      </w:r>
      <w:r>
        <w:rPr>
          <w:rFonts w:ascii="Arial" w:cs="Arial" w:eastAsia="Arial" w:hAnsi="Arial"/>
          <w:sz w:val="19"/>
          <w:szCs w:val="19"/>
          <w:b w:val="1"/>
          <w:bCs w:val="1"/>
          <w:color w:val="auto"/>
        </w:rPr>
        <w:t>Enforceability Exceptions</w:t>
      </w:r>
      <w:r>
        <w:rPr>
          <w:rFonts w:ascii="Arial" w:cs="Arial" w:eastAsia="Arial" w:hAnsi="Arial"/>
          <w:sz w:val="19"/>
          <w:szCs w:val="19"/>
          <w:color w:val="auto"/>
        </w:rPr>
        <w:t>”).</w:t>
      </w:r>
    </w:p>
    <w:p>
      <w:pPr>
        <w:spacing w:after="0" w:line="16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Schedule 3.3</w:t>
      </w:r>
      <w:r>
        <w:rPr>
          <w:rFonts w:ascii="Arial" w:cs="Arial" w:eastAsia="Arial" w:hAnsi="Arial"/>
          <w:sz w:val="19"/>
          <w:szCs w:val="19"/>
          <w:color w:val="auto"/>
        </w:rPr>
        <w:t>:</w:t>
      </w:r>
    </w:p>
    <w:p>
      <w:pPr>
        <w:spacing w:after="0" w:line="179" w:lineRule="exact"/>
        <w:rPr>
          <w:sz w:val="20"/>
          <w:szCs w:val="20"/>
          <w:color w:val="auto"/>
        </w:rPr>
      </w:pPr>
    </w:p>
    <w:p>
      <w:pPr>
        <w:ind w:right="240" w:firstLine="1304"/>
        <w:spacing w:after="0" w:line="232" w:lineRule="auto"/>
        <w:tabs>
          <w:tab w:leader="none" w:pos="174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execution, delivery and performance by the Company of this Agreement and the consummation of the transactions contemplated hereby do not and will not:</w:t>
      </w:r>
    </w:p>
    <w:p>
      <w:pPr>
        <w:spacing w:after="0" w:line="158" w:lineRule="exact"/>
        <w:rPr>
          <w:rFonts w:ascii="Arial" w:cs="Arial" w:eastAsia="Arial" w:hAnsi="Arial"/>
          <w:sz w:val="22"/>
          <w:szCs w:val="22"/>
          <w:color w:val="auto"/>
        </w:rPr>
      </w:pPr>
    </w:p>
    <w:p>
      <w:pPr>
        <w:ind w:left="2380" w:hanging="428"/>
        <w:spacing w:after="0"/>
        <w:tabs>
          <w:tab w:leader="none" w:pos="2380"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conflict with or violate the certificate of incorporation or bylaws of the Company;</w:t>
      </w:r>
    </w:p>
    <w:p>
      <w:pPr>
        <w:spacing w:after="0" w:line="179" w:lineRule="exact"/>
        <w:rPr>
          <w:rFonts w:ascii="Arial" w:cs="Arial" w:eastAsia="Arial" w:hAnsi="Arial"/>
          <w:sz w:val="22"/>
          <w:szCs w:val="22"/>
          <w:color w:val="010000"/>
        </w:rPr>
      </w:pPr>
    </w:p>
    <w:p>
      <w:pPr>
        <w:ind w:left="660" w:right="140" w:firstLine="1292"/>
        <w:spacing w:after="0" w:line="232" w:lineRule="auto"/>
        <w:tabs>
          <w:tab w:leader="none" w:pos="2436"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conflict with or violate any Law applicable to the Company or by which any property or asset of the Company is bound or affected; or</w:t>
      </w:r>
    </w:p>
    <w:p>
      <w:pPr>
        <w:spacing w:after="0" w:line="158" w:lineRule="exact"/>
        <w:rPr>
          <w:rFonts w:ascii="Arial" w:cs="Arial" w:eastAsia="Arial" w:hAnsi="Arial"/>
          <w:sz w:val="22"/>
          <w:szCs w:val="22"/>
          <w:color w:val="010000"/>
        </w:rPr>
      </w:pPr>
    </w:p>
    <w:p>
      <w:pPr>
        <w:jc w:val="both"/>
        <w:ind w:left="660" w:right="340" w:firstLine="1292"/>
        <w:spacing w:after="0" w:line="298" w:lineRule="auto"/>
        <w:tabs>
          <w:tab w:leader="none" w:pos="2496"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conflict with, result in any breach of, constitute a default (or an event that, with notice or lapse of time or both, would become a default) under, or require any consent of any Person pursuant to, any Material Contract.</w:t>
      </w:r>
    </w:p>
    <w:p>
      <w:pPr>
        <w:spacing w:after="0" w:line="105"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color w:val="auto"/>
        </w:rPr>
        <w:t>except, in the case of clause (ii) or (iii), for any such conflicts, violations, breaches, defaults or other occurrences that would not be material to the Company or prevent, materially delay or materially impede the performance by the Company of its material obligations under this Agreement or the consummation of the transactions contemplated hereby, or that arise as a result of any facts or circumstances relating to Acquiror or any of its Affiliates.</w:t>
      </w:r>
    </w:p>
    <w:p>
      <w:pPr>
        <w:spacing w:after="0" w:line="158" w:lineRule="exact"/>
        <w:rPr>
          <w:sz w:val="20"/>
          <w:szCs w:val="20"/>
          <w:color w:val="auto"/>
        </w:rPr>
      </w:pPr>
    </w:p>
    <w:p>
      <w:pPr>
        <w:ind w:firstLine="1304"/>
        <w:spacing w:after="0" w:line="221" w:lineRule="auto"/>
        <w:tabs>
          <w:tab w:leader="none" w:pos="17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Company is not required to file, seek or obtain any notice, authorization, approval, order, permit or consent of or with any Governmental Authority or any other Person in connection with the execution, delivery and performance by the Company of this Agreement or the consummation of the transactions contemplated hereby, except (i) for the filing of the Certificate of Merger with the Secretary of State of the State of Delaware, (ii) for such filings as may be required by any applicable federal or state securities or “blue sky” Laws, (iii) where failure to obtain such consent, approval, authorization or action, or to make such filing or notification, would not be material to the Company or prevent, materially delay or materially impede the performance by the Company of its material obligations under this Agreement or the consummation of the transactions contemplated hereby, or (iv) as may be necessary as a result of any facts or circumstances relating to Acquiror or any of its Affiliates.</w:t>
      </w:r>
    </w:p>
    <w:p>
      <w:pPr>
        <w:spacing w:after="0" w:line="159" w:lineRule="exact"/>
        <w:rPr>
          <w:sz w:val="20"/>
          <w:szCs w:val="20"/>
          <w:color w:val="auto"/>
        </w:rPr>
      </w:pPr>
    </w:p>
    <w:p>
      <w:pPr>
        <w:ind w:right="280" w:firstLine="648"/>
        <w:spacing w:after="0" w:line="223"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Capitalization</w:t>
      </w:r>
      <w:r>
        <w:rPr>
          <w:rFonts w:ascii="Arial" w:cs="Arial" w:eastAsia="Arial" w:hAnsi="Arial"/>
          <w:sz w:val="22"/>
          <w:szCs w:val="22"/>
          <w:color w:val="auto"/>
        </w:rPr>
        <w:t xml:space="preserve">. The Company’s authorized and outstanding capital stock is as set forth on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of the Disclosure Schedules. All of the Company’s issued and outstanding capital stock is validly issued, fully paid and nonassessable. The Shares constitute</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77"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 xml:space="preserve">all of the issued and outstanding capital stock of the Company.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of the Disclosure Schedules sets forth the record holders of all of the Shares, specifying the number of Shares owned by each such holder. All such Shares are owned free and clear of all Encumbrances, other than restrictions on transfer under applicable securities Laws and the organizational documents of the Company. There are no outstanding obligations, options, warrants, convertible securities, stock appreciation rights, profit interests or other rights, agreements, arrangements or commitments of any kind relating to the capital stock of the Company or obligating the Company to issue or sell any shares of capital stock of, or any other interest in, the Company. There are no outstanding contractual obligations of the Company to repurchase, redeem or otherwise acquire any shares of capital stock of the Company or to provide funds to, or make any investment in, any other Person. There are no agreements in effect with respect to the voting or transfer of any of the capital stock of the Company. The Company does not have any Indebtedness for borrowed money or indebtedness of the Company evidenced by any note, bond, debenture or other debt security or under any letters of credit, performance bonds or similar obligations, to the extent drawn.</w:t>
      </w:r>
    </w:p>
    <w:p>
      <w:pPr>
        <w:spacing w:after="0" w:line="159" w:lineRule="exact"/>
        <w:rPr>
          <w:sz w:val="20"/>
          <w:szCs w:val="20"/>
          <w:color w:val="auto"/>
        </w:rPr>
      </w:pPr>
    </w:p>
    <w:p>
      <w:pPr>
        <w:jc w:val="both"/>
        <w:ind w:right="280" w:firstLine="648"/>
        <w:spacing w:after="0" w:line="268"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Equity Interests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3.5</w:t>
      </w:r>
      <w:r>
        <w:rPr>
          <w:rFonts w:ascii="Arial" w:cs="Arial" w:eastAsia="Arial" w:hAnsi="Arial"/>
          <w:sz w:val="19"/>
          <w:szCs w:val="19"/>
          <w:color w:val="auto"/>
        </w:rPr>
        <w:t xml:space="preserve"> of the Disclosure Schedules, the Company does not directly or indirectly own any equity, partnership or membership interest in, or any interest convertible into, exercisable for the purchase of or exchangeable for any such equity, partnership or membership interest in, any Person.</w:t>
      </w:r>
    </w:p>
    <w:p>
      <w:pPr>
        <w:spacing w:after="0" w:line="11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Financial Statements; No Undisclosed Liabilities</w:t>
      </w:r>
      <w:r>
        <w:rPr>
          <w:rFonts w:ascii="Arial" w:cs="Arial" w:eastAsia="Arial" w:hAnsi="Arial"/>
          <w:sz w:val="19"/>
          <w:szCs w:val="19"/>
          <w:color w:val="auto"/>
        </w:rPr>
        <w:t>. Complete and accurate copies of (a) the unaudited balance</w:t>
      </w:r>
    </w:p>
    <w:p>
      <w:pPr>
        <w:spacing w:after="0" w:line="237" w:lineRule="auto"/>
        <w:rPr>
          <w:sz w:val="20"/>
          <w:szCs w:val="20"/>
          <w:color w:val="auto"/>
        </w:rPr>
      </w:pPr>
      <w:r>
        <w:rPr>
          <w:rFonts w:ascii="Arial" w:cs="Arial" w:eastAsia="Arial" w:hAnsi="Arial"/>
          <w:sz w:val="19"/>
          <w:szCs w:val="19"/>
          <w:color w:val="auto"/>
        </w:rPr>
        <w:t>sheet of the Company as at year-end 2020 and 2021 and the related statements of income and cash flows of the Company (the</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Annual Financial Statements</w:t>
      </w:r>
      <w:r>
        <w:rPr>
          <w:rFonts w:ascii="Arial" w:cs="Arial" w:eastAsia="Arial" w:hAnsi="Arial"/>
          <w:sz w:val="19"/>
          <w:szCs w:val="19"/>
          <w:color w:val="auto"/>
        </w:rPr>
        <w:t>”) and (b) unaudited balance sheet of the Company as at the close of business on March 31, 2022</w:t>
      </w:r>
    </w:p>
    <w:p>
      <w:pPr>
        <w:spacing w:after="0" w:line="237"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Interim Balance Sheet Date</w:t>
      </w:r>
      <w:r>
        <w:rPr>
          <w:rFonts w:ascii="Arial" w:cs="Arial" w:eastAsia="Arial" w:hAnsi="Arial"/>
          <w:sz w:val="19"/>
          <w:szCs w:val="19"/>
          <w:color w:val="auto"/>
        </w:rPr>
        <w:t>”) and the related unaudited consolidated statements of income and cash flows for the three-</w:t>
      </w:r>
    </w:p>
    <w:p>
      <w:pPr>
        <w:spacing w:after="0" w:line="238" w:lineRule="auto"/>
        <w:rPr>
          <w:sz w:val="20"/>
          <w:szCs w:val="20"/>
          <w:color w:val="auto"/>
        </w:rPr>
      </w:pPr>
      <w:r>
        <w:rPr>
          <w:rFonts w:ascii="Arial" w:cs="Arial" w:eastAsia="Arial" w:hAnsi="Arial"/>
          <w:sz w:val="19"/>
          <w:szCs w:val="19"/>
          <w:color w:val="auto"/>
        </w:rPr>
        <w:t>month period beginning on January 1, 2022, and ending on the Interim Balance Sheet Date (the “</w:t>
      </w:r>
      <w:r>
        <w:rPr>
          <w:rFonts w:ascii="Arial" w:cs="Arial" w:eastAsia="Arial" w:hAnsi="Arial"/>
          <w:sz w:val="19"/>
          <w:szCs w:val="19"/>
          <w:b w:val="1"/>
          <w:bCs w:val="1"/>
          <w:color w:val="auto"/>
        </w:rPr>
        <w:t>Interim Financial Statements</w:t>
      </w:r>
      <w:r>
        <w:rPr>
          <w:rFonts w:ascii="Arial" w:cs="Arial" w:eastAsia="Arial" w:hAnsi="Arial"/>
          <w:sz w:val="19"/>
          <w:szCs w:val="19"/>
          <w:color w:val="auto"/>
        </w:rPr>
        <w:t>”</w:t>
      </w:r>
    </w:p>
    <w:p>
      <w:pPr>
        <w:spacing w:after="0" w:line="237" w:lineRule="auto"/>
        <w:rPr>
          <w:sz w:val="20"/>
          <w:szCs w:val="20"/>
          <w:color w:val="auto"/>
        </w:rPr>
      </w:pPr>
      <w:r>
        <w:rPr>
          <w:rFonts w:ascii="Arial" w:cs="Arial" w:eastAsia="Arial" w:hAnsi="Arial"/>
          <w:sz w:val="19"/>
          <w:szCs w:val="19"/>
          <w:color w:val="auto"/>
        </w:rPr>
        <w:t>and, together with the Annual Financial Statements,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xml:space="preserve">”) are attached hereto as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of the</w:t>
      </w:r>
    </w:p>
    <w:p>
      <w:pPr>
        <w:spacing w:after="0" w:line="237" w:lineRule="auto"/>
        <w:rPr>
          <w:sz w:val="20"/>
          <w:szCs w:val="20"/>
          <w:color w:val="auto"/>
        </w:rPr>
      </w:pPr>
      <w:r>
        <w:rPr>
          <w:rFonts w:ascii="Arial" w:cs="Arial" w:eastAsia="Arial" w:hAnsi="Arial"/>
          <w:sz w:val="19"/>
          <w:szCs w:val="19"/>
          <w:color w:val="auto"/>
        </w:rPr>
        <w:t>Disclosure Schedules. Except as set forth on Schedule 3.6, each of the Financial Statements have been prepared from the books</w:t>
      </w:r>
    </w:p>
    <w:p>
      <w:pPr>
        <w:spacing w:after="0" w:line="237" w:lineRule="auto"/>
        <w:rPr>
          <w:sz w:val="20"/>
          <w:szCs w:val="20"/>
          <w:color w:val="auto"/>
        </w:rPr>
      </w:pPr>
      <w:r>
        <w:rPr>
          <w:rFonts w:ascii="Arial" w:cs="Arial" w:eastAsia="Arial" w:hAnsi="Arial"/>
          <w:sz w:val="19"/>
          <w:szCs w:val="19"/>
          <w:color w:val="auto"/>
        </w:rPr>
        <w:t>and records of the Company fairly and accurately presents, in all material respects, the financial position and results of operations</w:t>
      </w:r>
    </w:p>
    <w:p>
      <w:pPr>
        <w:spacing w:after="0" w:line="238" w:lineRule="auto"/>
        <w:rPr>
          <w:sz w:val="20"/>
          <w:szCs w:val="20"/>
          <w:color w:val="auto"/>
        </w:rPr>
      </w:pPr>
      <w:r>
        <w:rPr>
          <w:rFonts w:ascii="Arial" w:cs="Arial" w:eastAsia="Arial" w:hAnsi="Arial"/>
          <w:sz w:val="19"/>
          <w:szCs w:val="19"/>
          <w:color w:val="auto"/>
        </w:rPr>
        <w:t>and cash flows of the Company as at the respective dates thereof and for the respective periods indicated therein in accordance</w:t>
      </w:r>
    </w:p>
    <w:p>
      <w:pPr>
        <w:spacing w:after="0" w:line="237" w:lineRule="auto"/>
        <w:rPr>
          <w:sz w:val="20"/>
          <w:szCs w:val="20"/>
          <w:color w:val="auto"/>
        </w:rPr>
      </w:pPr>
      <w:r>
        <w:rPr>
          <w:rFonts w:ascii="Arial" w:cs="Arial" w:eastAsia="Arial" w:hAnsi="Arial"/>
          <w:sz w:val="19"/>
          <w:szCs w:val="19"/>
          <w:color w:val="auto"/>
        </w:rPr>
        <w:t>with GAAP, except as otherwise noted therein and subject, in the case of the Interim Financial Statements, to normal and</w:t>
      </w:r>
    </w:p>
    <w:p>
      <w:pPr>
        <w:spacing w:after="0" w:line="237" w:lineRule="auto"/>
        <w:rPr>
          <w:sz w:val="20"/>
          <w:szCs w:val="20"/>
          <w:color w:val="auto"/>
        </w:rPr>
      </w:pPr>
      <w:r>
        <w:rPr>
          <w:rFonts w:ascii="Arial" w:cs="Arial" w:eastAsia="Arial" w:hAnsi="Arial"/>
          <w:sz w:val="19"/>
          <w:szCs w:val="19"/>
          <w:color w:val="auto"/>
        </w:rPr>
        <w:t>recurring year-end adjustments and the absence of notes. The Company has no liability, indebtedness or obligation of a nature</w:t>
      </w:r>
    </w:p>
    <w:p>
      <w:pPr>
        <w:spacing w:after="0" w:line="237" w:lineRule="auto"/>
        <w:rPr>
          <w:sz w:val="20"/>
          <w:szCs w:val="20"/>
          <w:color w:val="auto"/>
        </w:rPr>
      </w:pPr>
      <w:r>
        <w:rPr>
          <w:rFonts w:ascii="Arial" w:cs="Arial" w:eastAsia="Arial" w:hAnsi="Arial"/>
          <w:sz w:val="19"/>
          <w:szCs w:val="19"/>
          <w:color w:val="auto"/>
        </w:rPr>
        <w:t>required to be reflected on a balance sheet prepared in accordance with GAAP, whether accrued, absolute, contingent or</w:t>
      </w:r>
    </w:p>
    <w:p>
      <w:pPr>
        <w:spacing w:after="0" w:line="238" w:lineRule="auto"/>
        <w:rPr>
          <w:sz w:val="20"/>
          <w:szCs w:val="20"/>
          <w:color w:val="auto"/>
        </w:rPr>
      </w:pPr>
      <w:r>
        <w:rPr>
          <w:rFonts w:ascii="Arial" w:cs="Arial" w:eastAsia="Arial" w:hAnsi="Arial"/>
          <w:sz w:val="19"/>
          <w:szCs w:val="19"/>
          <w:color w:val="auto"/>
        </w:rPr>
        <w:t>otherwise, whether known or unknown, except (i) liabilities that are adequately accrued or reserved against in the Financial</w:t>
      </w:r>
    </w:p>
    <w:p>
      <w:pPr>
        <w:spacing w:after="0" w:line="237" w:lineRule="auto"/>
        <w:rPr>
          <w:sz w:val="20"/>
          <w:szCs w:val="20"/>
          <w:color w:val="auto"/>
        </w:rPr>
      </w:pPr>
      <w:r>
        <w:rPr>
          <w:rFonts w:ascii="Arial" w:cs="Arial" w:eastAsia="Arial" w:hAnsi="Arial"/>
          <w:sz w:val="19"/>
          <w:szCs w:val="19"/>
          <w:color w:val="auto"/>
        </w:rPr>
        <w:t>Statements, (ii) liabilities that were incurred since the date of the Balance Sheet in the Ordinary Course of Business consistent in</w:t>
      </w:r>
    </w:p>
    <w:p>
      <w:pPr>
        <w:spacing w:after="0"/>
        <w:rPr>
          <w:sz w:val="20"/>
          <w:szCs w:val="20"/>
          <w:color w:val="auto"/>
        </w:rPr>
      </w:pPr>
      <w:r>
        <w:rPr>
          <w:rFonts w:ascii="Arial" w:cs="Arial" w:eastAsia="Arial" w:hAnsi="Arial"/>
          <w:sz w:val="22"/>
          <w:szCs w:val="22"/>
          <w:color w:val="auto"/>
        </w:rPr>
        <w:t>amount and kind with past practice, or (iii) the Closing Transaction Expenses.</w:t>
      </w:r>
    </w:p>
    <w:p>
      <w:pPr>
        <w:spacing w:after="0" w:line="161"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Absence of Certain Changes or Events</w:t>
      </w:r>
      <w:r>
        <w:rPr>
          <w:rFonts w:ascii="Arial" w:cs="Arial" w:eastAsia="Arial" w:hAnsi="Arial"/>
          <w:sz w:val="22"/>
          <w:szCs w:val="22"/>
          <w:color w:val="auto"/>
        </w:rPr>
        <w:t>. Except as set forth in Schedule 3.7 of the Disclosure Schedules, since the Interim Balance Sheet Date:</w:t>
      </w:r>
    </w:p>
    <w:p>
      <w:pPr>
        <w:spacing w:after="0" w:line="159" w:lineRule="exact"/>
        <w:rPr>
          <w:sz w:val="20"/>
          <w:szCs w:val="20"/>
          <w:color w:val="auto"/>
        </w:rPr>
      </w:pPr>
    </w:p>
    <w:p>
      <w:pPr>
        <w:ind w:right="40" w:firstLine="1304"/>
        <w:spacing w:after="0" w:line="232" w:lineRule="auto"/>
        <w:tabs>
          <w:tab w:leader="none" w:pos="175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business of the Company has been conducted, in all material respects, in the Ordinary Course of Business consistent with past practice;</w:t>
      </w:r>
    </w:p>
    <w:p>
      <w:pPr>
        <w:spacing w:after="0" w:line="158" w:lineRule="exact"/>
        <w:rPr>
          <w:rFonts w:ascii="Arial" w:cs="Arial" w:eastAsia="Arial" w:hAnsi="Arial"/>
          <w:sz w:val="22"/>
          <w:szCs w:val="22"/>
          <w:color w:val="auto"/>
        </w:rPr>
      </w:pPr>
    </w:p>
    <w:p>
      <w:pPr>
        <w:ind w:right="360" w:firstLine="1304"/>
        <w:spacing w:after="0" w:line="257" w:lineRule="auto"/>
        <w:tabs>
          <w:tab w:leader="none" w:pos="1764"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has not: (i) made, revoked, or modified any material Tax election; (ii) changed any material Tax accounting period or method; (iii) filed any material amended Tax Return; (iv) entered into any closing agreement with respect to a material amount of Taxes; (v) settled any material Tax claim or assessment; or (vi) consented to any extension or waiver of the limitations period for the assessment of any material amount of Tax (other than any</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7" w:lineRule="exact"/>
        <w:rPr>
          <w:sz w:val="20"/>
          <w:szCs w:val="20"/>
          <w:color w:val="auto"/>
        </w:rPr>
      </w:pPr>
    </w:p>
    <w:p>
      <w:pPr>
        <w:ind w:right="580"/>
        <w:spacing w:after="0" w:line="232" w:lineRule="auto"/>
        <w:rPr>
          <w:sz w:val="20"/>
          <w:szCs w:val="20"/>
          <w:color w:val="auto"/>
        </w:rPr>
      </w:pPr>
      <w:r>
        <w:rPr>
          <w:rFonts w:ascii="Arial" w:cs="Arial" w:eastAsia="Arial" w:hAnsi="Arial"/>
          <w:sz w:val="22"/>
          <w:szCs w:val="22"/>
          <w:color w:val="auto"/>
        </w:rPr>
        <w:t>implied extension to the statute of limitations caused by filing any Tax Return under an automatic extension obtained in the Ordinary Course of Business);</w:t>
      </w:r>
    </w:p>
    <w:p>
      <w:pPr>
        <w:spacing w:after="0" w:line="159" w:lineRule="exact"/>
        <w:rPr>
          <w:sz w:val="20"/>
          <w:szCs w:val="20"/>
          <w:color w:val="auto"/>
        </w:rPr>
      </w:pPr>
    </w:p>
    <w:p>
      <w:pPr>
        <w:ind w:left="1760" w:hanging="456"/>
        <w:spacing w:after="0"/>
        <w:tabs>
          <w:tab w:leader="none" w:pos="17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 Encumbrance has been placed upon any of the Company’s assets, other than Permitted Encumbrances;</w:t>
      </w:r>
    </w:p>
    <w:p>
      <w:pPr>
        <w:spacing w:after="0" w:line="213" w:lineRule="exact"/>
        <w:rPr>
          <w:rFonts w:ascii="Arial" w:cs="Arial" w:eastAsia="Arial" w:hAnsi="Arial"/>
          <w:sz w:val="19"/>
          <w:szCs w:val="19"/>
          <w:color w:val="auto"/>
        </w:rPr>
      </w:pPr>
    </w:p>
    <w:p>
      <w:pPr>
        <w:ind w:left="1780" w:hanging="476"/>
        <w:spacing w:after="0"/>
        <w:tabs>
          <w:tab w:leader="none" w:pos="17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has not declared any dividend or distribution or redeemed any of its equity securities;</w:t>
      </w:r>
    </w:p>
    <w:p>
      <w:pPr>
        <w:spacing w:after="0" w:line="183" w:lineRule="exact"/>
        <w:rPr>
          <w:rFonts w:ascii="Arial" w:cs="Arial" w:eastAsia="Arial" w:hAnsi="Arial"/>
          <w:sz w:val="21"/>
          <w:szCs w:val="21"/>
          <w:color w:val="auto"/>
        </w:rPr>
      </w:pPr>
    </w:p>
    <w:p>
      <w:pPr>
        <w:ind w:left="1760" w:hanging="456"/>
        <w:spacing w:after="0"/>
        <w:tabs>
          <w:tab w:leader="none" w:pos="17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has not acquired or disposed of any material asset other than in the Ordinary Course of</w:t>
      </w:r>
    </w:p>
    <w:p>
      <w:pPr>
        <w:spacing w:after="0"/>
        <w:rPr>
          <w:sz w:val="20"/>
          <w:szCs w:val="20"/>
          <w:color w:val="auto"/>
        </w:rPr>
      </w:pPr>
      <w:r>
        <w:rPr>
          <w:rFonts w:ascii="Arial" w:cs="Arial" w:eastAsia="Arial" w:hAnsi="Arial"/>
          <w:sz w:val="22"/>
          <w:szCs w:val="22"/>
          <w:color w:val="auto"/>
        </w:rPr>
        <w:t>Business;</w:t>
      </w:r>
    </w:p>
    <w:p>
      <w:pPr>
        <w:spacing w:after="0" w:line="161" w:lineRule="exact"/>
        <w:rPr>
          <w:sz w:val="20"/>
          <w:szCs w:val="20"/>
          <w:color w:val="auto"/>
        </w:rPr>
      </w:pPr>
    </w:p>
    <w:p>
      <w:pPr>
        <w:ind w:left="1740" w:hanging="436"/>
        <w:spacing w:after="0"/>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there has been no d</w:t>
      </w:r>
      <w:r>
        <w:rPr>
          <w:rFonts w:ascii="Arial" w:cs="Arial" w:eastAsia="Arial" w:hAnsi="Arial"/>
          <w:sz w:val="13"/>
          <w:szCs w:val="13"/>
          <w:color w:val="auto"/>
        </w:rPr>
        <w:t>a</w:t>
      </w:r>
      <w:r>
        <w:rPr>
          <w:rFonts w:ascii="Arial" w:cs="Arial" w:eastAsia="Arial" w:hAnsi="Arial"/>
          <w:sz w:val="20"/>
          <w:szCs w:val="20"/>
          <w:color w:val="auto"/>
        </w:rPr>
        <w:t>mage, destruction, or casualty loss with respect to any material asset of the Company;</w:t>
      </w:r>
    </w:p>
    <w:p>
      <w:pPr>
        <w:spacing w:after="0" w:line="202" w:lineRule="exact"/>
        <w:rPr>
          <w:rFonts w:ascii="Arial" w:cs="Arial" w:eastAsia="Arial" w:hAnsi="Arial"/>
          <w:sz w:val="20"/>
          <w:szCs w:val="20"/>
          <w:color w:val="auto"/>
        </w:rPr>
      </w:pPr>
    </w:p>
    <w:p>
      <w:pPr>
        <w:ind w:left="1780" w:hanging="476"/>
        <w:spacing w:after="0"/>
        <w:tabs>
          <w:tab w:leader="none" w:pos="1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has not increased the compensation or employee benefits paid or payable to any officer or other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161" w:lineRule="exact"/>
        <w:rPr>
          <w:sz w:val="20"/>
          <w:szCs w:val="20"/>
          <w:color w:val="auto"/>
        </w:rPr>
      </w:pPr>
    </w:p>
    <w:p>
      <w:pPr>
        <w:ind w:left="1780" w:hanging="476"/>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has not cancelled or waived any material claim or Action;</w:t>
      </w:r>
    </w:p>
    <w:p>
      <w:pPr>
        <w:spacing w:after="0" w:line="179" w:lineRule="exact"/>
        <w:rPr>
          <w:rFonts w:ascii="Arial" w:cs="Arial" w:eastAsia="Arial" w:hAnsi="Arial"/>
          <w:sz w:val="22"/>
          <w:szCs w:val="22"/>
          <w:color w:val="auto"/>
        </w:rPr>
      </w:pPr>
    </w:p>
    <w:p>
      <w:pPr>
        <w:ind w:right="340" w:firstLine="1304"/>
        <w:spacing w:after="0" w:line="232" w:lineRule="auto"/>
        <w:tabs>
          <w:tab w:leader="none" w:pos="1716"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has not made any material change in the accounting or auditing or tax methods, practices, or principles of the Company, except as required by Law;</w:t>
      </w:r>
    </w:p>
    <w:p>
      <w:pPr>
        <w:spacing w:after="0" w:line="158" w:lineRule="exact"/>
        <w:rPr>
          <w:rFonts w:ascii="Arial" w:cs="Arial" w:eastAsia="Arial" w:hAnsi="Arial"/>
          <w:sz w:val="22"/>
          <w:szCs w:val="22"/>
          <w:color w:val="auto"/>
        </w:rPr>
      </w:pPr>
    </w:p>
    <w:p>
      <w:pPr>
        <w:jc w:val="both"/>
        <w:ind w:right="680" w:firstLine="1304"/>
        <w:spacing w:after="0" w:line="223" w:lineRule="auto"/>
        <w:tabs>
          <w:tab w:leader="none" w:pos="1716"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has not incurred any Indebtedness for borrowed money or indebtedness of the Company evidenced by any note, bond, debenture or other debt security or under any letters of credit, performance bonds or similar obligations, to the extent drawn</w:t>
      </w:r>
      <w:r>
        <w:rPr>
          <w:rFonts w:ascii="Arial" w:cs="Arial" w:eastAsia="Arial" w:hAnsi="Arial"/>
          <w:sz w:val="14"/>
          <w:szCs w:val="14"/>
          <w:color w:val="auto"/>
        </w:rPr>
        <w:t>;</w:t>
      </w:r>
    </w:p>
    <w:p>
      <w:pPr>
        <w:spacing w:after="0" w:line="158" w:lineRule="exact"/>
        <w:rPr>
          <w:rFonts w:ascii="Arial" w:cs="Arial" w:eastAsia="Arial" w:hAnsi="Arial"/>
          <w:sz w:val="22"/>
          <w:szCs w:val="22"/>
          <w:color w:val="auto"/>
        </w:rPr>
      </w:pPr>
    </w:p>
    <w:p>
      <w:pPr>
        <w:ind w:right="140" w:firstLine="1304"/>
        <w:spacing w:after="0" w:line="232" w:lineRule="auto"/>
        <w:tabs>
          <w:tab w:leader="none" w:pos="1764"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has not deferred or agreed to defer payment of any payables of the Company or accelerated or agreed to accelerate the collection of any receivables of the Company;</w:t>
      </w:r>
    </w:p>
    <w:p>
      <w:pPr>
        <w:spacing w:after="0" w:line="158" w:lineRule="exact"/>
        <w:rPr>
          <w:rFonts w:ascii="Arial" w:cs="Arial" w:eastAsia="Arial" w:hAnsi="Arial"/>
          <w:sz w:val="22"/>
          <w:szCs w:val="22"/>
          <w:color w:val="auto"/>
        </w:rPr>
      </w:pPr>
    </w:p>
    <w:p>
      <w:pPr>
        <w:ind w:right="80" w:firstLine="1304"/>
        <w:spacing w:after="0" w:line="268" w:lineRule="auto"/>
        <w:tabs>
          <w:tab w:leader="none" w:pos="1716"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has not incurred, or agreed to incur, a single capital expenditure (or series of capital expenditures) in excess of $50,000 for additions to property, plant or equipment or capital leases, and which, if purchased, would be reflected in the property, plant or equipment accounts or capital lease accounts of the Interim Balance Sheet;</w:t>
      </w:r>
    </w:p>
    <w:p>
      <w:pPr>
        <w:spacing w:after="0" w:line="132" w:lineRule="exact"/>
        <w:rPr>
          <w:rFonts w:ascii="Arial" w:cs="Arial" w:eastAsia="Arial" w:hAnsi="Arial"/>
          <w:sz w:val="19"/>
          <w:szCs w:val="19"/>
          <w:color w:val="auto"/>
        </w:rPr>
      </w:pPr>
    </w:p>
    <w:p>
      <w:pPr>
        <w:ind w:right="100" w:firstLine="1304"/>
        <w:spacing w:after="0" w:line="232" w:lineRule="auto"/>
        <w:tabs>
          <w:tab w:leader="none" w:pos="1824"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has not loaned or advanced money or other property to any present or former director, officer, manager, employee owner, member, or consultant of the Company.</w:t>
      </w:r>
    </w:p>
    <w:p>
      <w:pPr>
        <w:spacing w:after="0" w:line="158" w:lineRule="exact"/>
        <w:rPr>
          <w:rFonts w:ascii="Arial" w:cs="Arial" w:eastAsia="Arial" w:hAnsi="Arial"/>
          <w:sz w:val="22"/>
          <w:szCs w:val="22"/>
          <w:color w:val="auto"/>
        </w:rPr>
      </w:pPr>
    </w:p>
    <w:p>
      <w:pPr>
        <w:ind w:right="180" w:firstLine="1304"/>
        <w:spacing w:after="0" w:line="218" w:lineRule="auto"/>
        <w:tabs>
          <w:tab w:leader="none" w:pos="1764" w:val="left"/>
        </w:tabs>
        <w:numPr>
          <w:ilvl w:val="0"/>
          <w:numId w:val="35"/>
        </w:numPr>
        <w:rPr>
          <w:rFonts w:ascii="Arial" w:cs="Arial" w:eastAsia="Arial" w:hAnsi="Arial"/>
          <w:sz w:val="22"/>
          <w:szCs w:val="22"/>
          <w:color w:val="auto"/>
        </w:rPr>
      </w:pPr>
      <w:r>
        <w:rPr>
          <w:rFonts w:ascii="Arial" w:cs="Arial" w:eastAsia="Arial" w:hAnsi="Arial"/>
          <w:sz w:val="22"/>
          <w:szCs w:val="22"/>
          <w:color w:val="auto"/>
        </w:rPr>
        <w:t>neither the Company nor any ERISA Affiliate has (i) established, adopted, entered into, amended or terminated any benefit plan, except in the Ordinary Course of Business consistent with past practice (ii) adopted any resolutions in respect of any of the foregoing actions or (iii) established or amended any severance policy, plan or arrangement for employees, officers, or directors of Company; and</w:t>
      </w:r>
    </w:p>
    <w:p>
      <w:pPr>
        <w:spacing w:after="0" w:line="160" w:lineRule="exact"/>
        <w:rPr>
          <w:rFonts w:ascii="Arial" w:cs="Arial" w:eastAsia="Arial" w:hAnsi="Arial"/>
          <w:sz w:val="22"/>
          <w:szCs w:val="22"/>
          <w:color w:val="auto"/>
        </w:rPr>
      </w:pPr>
    </w:p>
    <w:p>
      <w:pPr>
        <w:ind w:left="1820" w:hanging="516"/>
        <w:spacing w:after="0"/>
        <w:tabs>
          <w:tab w:leader="none" w:pos="18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there has not occurred any Company Material Adverse Effect.</w:t>
      </w:r>
    </w:p>
    <w:p>
      <w:pPr>
        <w:spacing w:after="0" w:line="17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Compliance with Law; Permits</w:t>
      </w:r>
      <w:r>
        <w:rPr>
          <w:rFonts w:ascii="Arial" w:cs="Arial" w:eastAsia="Arial" w:hAnsi="Arial"/>
          <w:sz w:val="19"/>
          <w:szCs w:val="19"/>
          <w:color w:val="auto"/>
        </w:rPr>
        <w:t>.</w:t>
      </w:r>
    </w:p>
    <w:p>
      <w:pPr>
        <w:spacing w:after="0" w:line="179" w:lineRule="exact"/>
        <w:rPr>
          <w:sz w:val="20"/>
          <w:szCs w:val="20"/>
          <w:color w:val="auto"/>
        </w:rPr>
      </w:pPr>
    </w:p>
    <w:p>
      <w:pPr>
        <w:ind w:right="60" w:firstLine="1304"/>
        <w:spacing w:after="0" w:line="298" w:lineRule="auto"/>
        <w:tabs>
          <w:tab w:leader="none" w:pos="1752" w:val="left"/>
        </w:tabs>
        <w:numPr>
          <w:ilvl w:val="0"/>
          <w:numId w:val="36"/>
        </w:numPr>
        <w:rPr>
          <w:rFonts w:ascii="Arial" w:cs="Arial" w:eastAsia="Arial" w:hAnsi="Arial"/>
          <w:sz w:val="19"/>
          <w:szCs w:val="19"/>
          <w:color w:val="auto"/>
        </w:rPr>
      </w:pPr>
      <w:r>
        <w:rPr>
          <w:rFonts w:ascii="Arial" w:cs="Arial" w:eastAsia="Arial" w:hAnsi="Arial"/>
          <w:sz w:val="19"/>
          <w:szCs w:val="19"/>
          <w:color w:val="auto"/>
        </w:rPr>
        <w:t>Since January 1, 2017, the Company has been in compliance in all material respects with all Laws applicable to it, except as would not, individually or in the aggregate, reasonably be expected to be material to the Company.</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7" w:lineRule="exact"/>
        <w:rPr>
          <w:sz w:val="20"/>
          <w:szCs w:val="20"/>
          <w:color w:val="auto"/>
        </w:rPr>
      </w:pPr>
    </w:p>
    <w:p>
      <w:pPr>
        <w:ind w:right="340" w:firstLine="1304"/>
        <w:spacing w:after="0" w:line="252" w:lineRule="auto"/>
        <w:tabs>
          <w:tab w:leader="none" w:pos="17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has duly obtained and is in possession of all permits, licenses, franchises, approvals, certificates, consents, waivers, concessions, exemptions, orders, registrations, notices or other authorizations of any Governmental Authority necessary for the Company to own, lease and operate its properties and to carry on its business as currently conducted (the “</w:t>
      </w:r>
      <w:r>
        <w:rPr>
          <w:rFonts w:ascii="Arial" w:cs="Arial" w:eastAsia="Arial" w:hAnsi="Arial"/>
          <w:sz w:val="19"/>
          <w:szCs w:val="19"/>
          <w:b w:val="1"/>
          <w:bCs w:val="1"/>
          <w:color w:val="auto"/>
        </w:rPr>
        <w:t>Permits</w:t>
      </w:r>
      <w:r>
        <w:rPr>
          <w:rFonts w:ascii="Arial" w:cs="Arial" w:eastAsia="Arial" w:hAnsi="Arial"/>
          <w:sz w:val="19"/>
          <w:szCs w:val="19"/>
          <w:color w:val="auto"/>
        </w:rPr>
        <w:t>”), except where the failure to have, or the suspension or cancellation of, any of the Permits would not, individually or in the aggregate, reasonably be expected to be material to the Company.</w:t>
      </w:r>
    </w:p>
    <w:p>
      <w:pPr>
        <w:spacing w:after="0" w:line="148" w:lineRule="exact"/>
        <w:rPr>
          <w:rFonts w:ascii="Arial" w:cs="Arial" w:eastAsia="Arial" w:hAnsi="Arial"/>
          <w:sz w:val="19"/>
          <w:szCs w:val="19"/>
          <w:color w:val="auto"/>
        </w:rPr>
      </w:pPr>
    </w:p>
    <w:p>
      <w:pPr>
        <w:ind w:right="60" w:firstLine="1304"/>
        <w:spacing w:after="0" w:line="232" w:lineRule="auto"/>
        <w:tabs>
          <w:tab w:leader="none" w:pos="1752" w:val="left"/>
        </w:tabs>
        <w:numPr>
          <w:ilvl w:val="0"/>
          <w:numId w:val="37"/>
        </w:numPr>
        <w:rPr>
          <w:rFonts w:ascii="Arial" w:cs="Arial" w:eastAsia="Arial" w:hAnsi="Arial"/>
          <w:sz w:val="22"/>
          <w:szCs w:val="22"/>
          <w:color w:val="auto"/>
        </w:rPr>
      </w:pPr>
      <w:r>
        <w:rPr>
          <w:rFonts w:ascii="Arial" w:cs="Arial" w:eastAsia="Arial" w:hAnsi="Arial"/>
          <w:sz w:val="22"/>
          <w:szCs w:val="22"/>
          <w:color w:val="auto"/>
        </w:rPr>
        <w:t>No representation or warranty is made under this Section 3.8 with respect to ERISA, Taxes or environmental matters, which are covered exclusively by Sections 3.10, 3.15 and 3.16, respectively.</w:t>
      </w:r>
    </w:p>
    <w:p>
      <w:pPr>
        <w:spacing w:after="0" w:line="159" w:lineRule="exact"/>
        <w:rPr>
          <w:sz w:val="20"/>
          <w:szCs w:val="20"/>
          <w:color w:val="auto"/>
        </w:rPr>
      </w:pPr>
    </w:p>
    <w:p>
      <w:pPr>
        <w:ind w:firstLine="648"/>
        <w:spacing w:after="0" w:line="211"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Schedule 3.9</w:t>
      </w:r>
      <w:r>
        <w:rPr>
          <w:rFonts w:ascii="Arial" w:cs="Arial" w:eastAsia="Arial" w:hAnsi="Arial"/>
          <w:sz w:val="22"/>
          <w:szCs w:val="22"/>
          <w:color w:val="auto"/>
        </w:rPr>
        <w:t xml:space="preserve"> of the Disclosure Schedules, (a) there is no Action pending or, to the Knowledge of the Company, threatened in writing or orally against the Company, and (b) there are no orders, writs, injunctions, or decrees issued by any Governmental Authority that are binding and currently in force against the Company. Neither of the Stockholders has an Action against the Company nor, to the Knowledge of the Company, is there a reasonable basis for any such Action. There is no Action with respect to the Company in which any current officer or director of the Company has been made a party or witness thereto (or, to the Knowledge of the Company, is threatened to be made a party or witness thereto) nor, to the Knowledge of the Company, is any such Action threatened nor is there any reasonable basis for any such Action.</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179" w:lineRule="exact"/>
        <w:rPr>
          <w:sz w:val="20"/>
          <w:szCs w:val="20"/>
          <w:color w:val="auto"/>
        </w:rPr>
      </w:pPr>
    </w:p>
    <w:p>
      <w:pPr>
        <w:ind w:right="60" w:firstLine="1304"/>
        <w:spacing w:after="0"/>
        <w:tabs>
          <w:tab w:leader="none" w:pos="175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of the Disclosure Schedules sets forth (i) a list of all employee benefit plans (as defined in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and all material bonus, stock option, stock purchase, restricted stock, incentive, deferred compensation, retiree medical or life insurance, supplemental retirement, severance or other benefit plans, programs or arrangements, that are maintained, contributed to or sponsored by the Company or by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 and with respect to which the Company may incur or be subject to liability under applicable Law (each an “</w:t>
      </w:r>
      <w:r>
        <w:rPr>
          <w:rFonts w:ascii="Arial" w:cs="Arial" w:eastAsia="Arial" w:hAnsi="Arial"/>
          <w:sz w:val="19"/>
          <w:szCs w:val="19"/>
          <w:b w:val="1"/>
          <w:bCs w:val="1"/>
          <w:color w:val="auto"/>
        </w:rPr>
        <w:t>ERISA Affiliate</w:t>
      </w:r>
      <w:r>
        <w:rPr>
          <w:rFonts w:ascii="Arial" w:cs="Arial" w:eastAsia="Arial" w:hAnsi="Arial"/>
          <w:sz w:val="19"/>
          <w:szCs w:val="19"/>
          <w:color w:val="auto"/>
        </w:rPr>
        <w:t>”), in each case, for the benefit of any current or former employee, officer or director of the Company and (ii) a list of all material employment, termination, severance or other contracts, agreements or arrangements, pursuant to which the Company currently has any obligation with respect to any current or former employee, officer or director of the Company (collectively, the “</w:t>
      </w:r>
      <w:r>
        <w:rPr>
          <w:rFonts w:ascii="Arial" w:cs="Arial" w:eastAsia="Arial" w:hAnsi="Arial"/>
          <w:sz w:val="19"/>
          <w:szCs w:val="19"/>
          <w:b w:val="1"/>
          <w:bCs w:val="1"/>
          <w:color w:val="auto"/>
        </w:rPr>
        <w:t>Employee Plans</w:t>
      </w:r>
      <w:r>
        <w:rPr>
          <w:rFonts w:ascii="Arial" w:cs="Arial" w:eastAsia="Arial" w:hAnsi="Arial"/>
          <w:sz w:val="19"/>
          <w:szCs w:val="19"/>
          <w:color w:val="auto"/>
        </w:rPr>
        <w:t>”). The Company has made available to Acquiror a true and complete copy of each Employee Plan or Contract (or has provided a summary of any arrangement not reduced to writing), and, to the extent applicable: (i) all current summary plan descriptions any summary of material modifications, (ii) and the most recent determination letter from the IRS with respect to any Employee Plan, (iii) the most recent actuarial valuations (if any), annual reports required to be filed, or such similar reports, statements, information returns or material correspondence required to be filed with or delivered to any governmental agency (if any) with respect to each Employee Plan (including reports filed on Form 5500 or Form 5500-SF with accompanying schedules and attachments), and (iii) each trust agreement and group annuity or insurance Contract relating to the funding or payment of benefits under any Employee Plan (if any).</w:t>
      </w:r>
    </w:p>
    <w:p>
      <w:pPr>
        <w:spacing w:after="0" w:line="387" w:lineRule="exact"/>
        <w:rPr>
          <w:rFonts w:ascii="Arial" w:cs="Arial" w:eastAsia="Arial" w:hAnsi="Arial"/>
          <w:sz w:val="19"/>
          <w:szCs w:val="19"/>
          <w:color w:val="auto"/>
        </w:rPr>
      </w:pPr>
    </w:p>
    <w:p>
      <w:pPr>
        <w:jc w:val="both"/>
        <w:ind w:firstLine="1304"/>
        <w:spacing w:after="0" w:line="218" w:lineRule="auto"/>
        <w:tabs>
          <w:tab w:leader="none" w:pos="176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Each Employee Plan has been maintained in all material respects in accordance with its terms and the requirements of ERISA and the Code and any other applicable Law, (ii) the plan sponsor of each such Plan has performed all material obligations required to be performed by it under any Employee Plan and is not in any material respect in default under or in</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77" w:lineRule="exact"/>
        <w:rPr>
          <w:sz w:val="20"/>
          <w:szCs w:val="20"/>
          <w:color w:val="auto"/>
        </w:rPr>
      </w:pPr>
    </w:p>
    <w:p>
      <w:pPr>
        <w:ind w:right="120"/>
        <w:spacing w:after="0" w:line="244" w:lineRule="auto"/>
        <w:rPr>
          <w:sz w:val="20"/>
          <w:szCs w:val="20"/>
          <w:color w:val="auto"/>
        </w:rPr>
      </w:pPr>
      <w:r>
        <w:rPr>
          <w:rFonts w:ascii="Arial" w:cs="Arial" w:eastAsia="Arial" w:hAnsi="Arial"/>
          <w:sz w:val="19"/>
          <w:szCs w:val="19"/>
          <w:color w:val="auto"/>
        </w:rPr>
        <w:t>violation of any Employee Plan and (iii) no material Action (other than claims for benefits in the ordinary course) is pending or, to the Knowledge of the Company, threatened with respect to any Employee Plan by any current or former employee, officer or director of the Company or ERISA Affiliate. All contributions, premiums and benefit payments, fees and expenses under or in connection with each Employee Plan that are required to have been made by the Company or any ERISA Affiliate have been timely made in accordance with the terms of such Employee Plan and applicable Laws with only immaterial exceptions. No Employee Plan, or any insurance Contract related thereto, requires or permits a retroactive increase in premiums or payments on termination of such Employee Plan or such insurance Contract. Neither the Company nor any ERISA Affiliate has incurred, or could reasonably be expected to incur, any unfunded liabilities in relation to any Employee Plan, and for any Employee Plan for which funding is not required, all unfunded liabilities have been properly accrued in all material respects.</w:t>
      </w:r>
    </w:p>
    <w:p>
      <w:pPr>
        <w:spacing w:after="0" w:line="161" w:lineRule="exact"/>
        <w:rPr>
          <w:sz w:val="20"/>
          <w:szCs w:val="20"/>
          <w:color w:val="auto"/>
        </w:rPr>
      </w:pPr>
    </w:p>
    <w:p>
      <w:pPr>
        <w:ind w:firstLine="1304"/>
        <w:spacing w:after="0" w:line="268" w:lineRule="auto"/>
        <w:tabs>
          <w:tab w:leader="none" w:pos="1752" w:val="left"/>
        </w:tabs>
        <w:numPr>
          <w:ilvl w:val="1"/>
          <w:numId w:val="39"/>
        </w:numPr>
        <w:rPr>
          <w:rFonts w:ascii="Arial" w:cs="Arial" w:eastAsia="Arial" w:hAnsi="Arial"/>
          <w:sz w:val="19"/>
          <w:szCs w:val="19"/>
          <w:color w:val="auto"/>
        </w:rPr>
      </w:pPr>
      <w:r>
        <w:rPr>
          <w:rFonts w:ascii="Arial" w:cs="Arial" w:eastAsia="Arial" w:hAnsi="Arial"/>
          <w:sz w:val="19"/>
          <w:szCs w:val="19"/>
          <w:color w:val="auto"/>
        </w:rPr>
        <w:t>Each Employee Plan that is intended to be qualified under Section 401(a) of the Code has received a determination or opinion letter from the IRS that it is so qualified and no fact or event has occurred since the date of such letter or letters from the IRS that would reasonably be expected adversely to affect the qualified status of any such Employee Plan.</w:t>
      </w:r>
    </w:p>
    <w:p>
      <w:pPr>
        <w:spacing w:after="0" w:line="132" w:lineRule="exact"/>
        <w:rPr>
          <w:rFonts w:ascii="Arial" w:cs="Arial" w:eastAsia="Arial" w:hAnsi="Arial"/>
          <w:sz w:val="19"/>
          <w:szCs w:val="19"/>
          <w:color w:val="auto"/>
        </w:rPr>
      </w:pPr>
    </w:p>
    <w:p>
      <w:pPr>
        <w:ind w:right="20" w:firstLine="1304"/>
        <w:spacing w:after="0" w:line="241" w:lineRule="auto"/>
        <w:tabs>
          <w:tab w:leader="none" w:pos="17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With respect to each Employee Plan, (i) there has not occurred any prohibited transaction in which the Company, any of its subsidiaries or any of their respective employees or, to the Knowledge of the Company, any trustee, administrator or other fiduciary of any such Employee Plan (or any related trust), has engaged that could subject the Company or any such employees, or, to the Knowledge of the Company, any such trustee, administrator or other fiduciary to the tax or penalty on prohibited transactions imposed by Section 4975 of the Code or the sanctions imposed under Title I of ERISA or any other applicable Law and (ii) none of the Company, or any ERISA Affiliate, or any of their respective employees or, to the Knowledge of the Company, any trustee, administrator or other fiduciary of such Employee Plan (or any related trust) or any agent of any of the foregoing has engaged in any transaction or acted in a manner that could, or failed to act so as to, subject the Company or any employee or trustee, administrator or other fiduciary to any liability for breach of fiduciary duty under ERISA or any other applicable Law. No Employee Plan or related trust has been terminated, nor has there been any “reportable event” (as such term is defined in Section 4043 of ERISA) for which the 30-day reporting requirement has not been waived with respect to any Employee Plan during the last six years, and no notice of a reportable event will be required to be filed in connection with the transactions contemplated hereby. No intention to amend (including any intention to alter the rates or basis of calculation of employer and compulsory employee contributions to the Employee Plans), close, discontinue in whole or in part or exercise any discretion in relation to any Employee Plans has been communicated to any participant or other beneficiary or to any staff representatives or unions.</w:t>
      </w:r>
    </w:p>
    <w:p>
      <w:pPr>
        <w:spacing w:after="0" w:line="381" w:lineRule="exact"/>
        <w:rPr>
          <w:rFonts w:ascii="Arial" w:cs="Arial" w:eastAsia="Arial" w:hAnsi="Arial"/>
          <w:sz w:val="19"/>
          <w:szCs w:val="19"/>
          <w:color w:val="auto"/>
        </w:rPr>
      </w:pPr>
    </w:p>
    <w:p>
      <w:pPr>
        <w:jc w:val="both"/>
        <w:ind w:right="80" w:firstLine="1304"/>
        <w:spacing w:after="0" w:line="243" w:lineRule="auto"/>
        <w:tabs>
          <w:tab w:leader="none" w:pos="1752" w:val="left"/>
        </w:tabs>
        <w:numPr>
          <w:ilvl w:val="1"/>
          <w:numId w:val="39"/>
        </w:numPr>
        <w:rPr>
          <w:rFonts w:ascii="Arial" w:cs="Arial" w:eastAsia="Arial" w:hAnsi="Arial"/>
          <w:sz w:val="19"/>
          <w:szCs w:val="19"/>
          <w:color w:val="auto"/>
        </w:rPr>
      </w:pPr>
      <w:r>
        <w:rPr>
          <w:rFonts w:ascii="Arial" w:cs="Arial" w:eastAsia="Arial" w:hAnsi="Arial"/>
          <w:sz w:val="19"/>
          <w:szCs w:val="19"/>
          <w:color w:val="auto"/>
        </w:rPr>
        <w:t>Neither the Company nor any ERISA Affiliate has ever sponsored, maintained, contributed to or been obligated to sponsor, maintain or contribute to, or has any actual or contingent liability under, any Employee Plan that is a “defined benefit plan” (as defined in Section 3(35) of ERISA) or a “multiemployer plan” (within the meaning of Section 4001(a)</w:t>
      </w:r>
    </w:p>
    <w:p>
      <w:pPr>
        <w:spacing w:after="0" w:line="2" w:lineRule="exact"/>
        <w:rPr>
          <w:rFonts w:ascii="Arial" w:cs="Arial" w:eastAsia="Arial" w:hAnsi="Arial"/>
          <w:sz w:val="19"/>
          <w:szCs w:val="19"/>
          <w:color w:val="auto"/>
        </w:rPr>
      </w:pPr>
    </w:p>
    <w:p>
      <w:pPr>
        <w:ind w:right="100" w:firstLine="8"/>
        <w:spacing w:after="0" w:line="244" w:lineRule="auto"/>
        <w:tabs>
          <w:tab w:leader="none" w:pos="306" w:val="left"/>
        </w:tabs>
        <w:numPr>
          <w:ilvl w:val="0"/>
          <w:numId w:val="40"/>
        </w:numPr>
        <w:rPr>
          <w:rFonts w:ascii="Arial" w:cs="Arial" w:eastAsia="Arial" w:hAnsi="Arial"/>
          <w:sz w:val="19"/>
          <w:szCs w:val="19"/>
          <w:color w:val="auto"/>
        </w:rPr>
      </w:pPr>
      <w:r>
        <w:rPr>
          <w:rFonts w:ascii="Arial" w:cs="Arial" w:eastAsia="Arial" w:hAnsi="Arial"/>
          <w:sz w:val="19"/>
          <w:szCs w:val="19"/>
          <w:color w:val="auto"/>
        </w:rPr>
        <w:t>of ERISA), or that is subject to Section 302 or Title IV of ERISA or Section 412 of the Code. Neither the Company nor any ERISA Affiliate could reasonably expect to incur any liability with respect to any such plan under Title IV of ERISA, or otherwise. No event has occurred and, to the Knowledge of the Company, no condition exists, that has subjected, or would reasonably be expected to subject, the Company or any ERISA Affiliate to any material tax, fine, Encumbrance, penalty or other liability imposed by ERISA, the Code or any other applicable Law, either directly or by reason of the Company’s affiliation with any ERISA Affiliate. No Employee Plan provides benefits after termination of employment except where the cost thereof is borne entirely by the former employee (or his or her eligible dependents or</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77"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beneficiaries) or as required by Section 4980B(f) of the Code or any similar state statute or foreign Law (or death or disability benefits provided upon termination due to death or disability).</w:t>
      </w:r>
    </w:p>
    <w:p>
      <w:pPr>
        <w:spacing w:after="0" w:line="159" w:lineRule="exact"/>
        <w:rPr>
          <w:sz w:val="20"/>
          <w:szCs w:val="20"/>
          <w:color w:val="auto"/>
        </w:rPr>
      </w:pPr>
    </w:p>
    <w:p>
      <w:pPr>
        <w:ind w:right="60" w:firstLine="1304"/>
        <w:spacing w:after="0" w:line="218" w:lineRule="auto"/>
        <w:tabs>
          <w:tab w:leader="none" w:pos="17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Each Employee Plan that is a “nonqualified deferred compensation plan” within the meaning of U.S. Treasury Regulation Section 1.409A-1(a)(i) has been operated in compliance in all material respects with the Code Section 409A (and all regulatory guidance issued thereunder). The Company has not agreed to provide indemnity with respect to compliance with Code Section 409A to any employee or former employee.</w:t>
      </w:r>
    </w:p>
    <w:p>
      <w:pPr>
        <w:spacing w:after="0" w:line="160" w:lineRule="exact"/>
        <w:rPr>
          <w:rFonts w:ascii="Arial" w:cs="Arial" w:eastAsia="Arial" w:hAnsi="Arial"/>
          <w:sz w:val="22"/>
          <w:szCs w:val="22"/>
          <w:color w:val="auto"/>
        </w:rPr>
      </w:pPr>
    </w:p>
    <w:p>
      <w:pPr>
        <w:ind w:firstLine="1304"/>
        <w:spacing w:after="0" w:line="222" w:lineRule="auto"/>
        <w:tabs>
          <w:tab w:leader="none" w:pos="1764" w:val="left"/>
        </w:tabs>
        <w:numPr>
          <w:ilvl w:val="0"/>
          <w:numId w:val="41"/>
        </w:numPr>
        <w:rPr>
          <w:rFonts w:ascii="Arial" w:cs="Arial" w:eastAsia="Arial" w:hAnsi="Arial"/>
          <w:sz w:val="21"/>
          <w:szCs w:val="21"/>
          <w:color w:val="auto"/>
        </w:rPr>
      </w:pPr>
      <w:r>
        <w:rPr>
          <w:rFonts w:ascii="Arial" w:cs="Arial" w:eastAsia="Arial" w:hAnsi="Arial"/>
          <w:sz w:val="21"/>
          <w:szCs w:val="21"/>
          <w:color w:val="auto"/>
        </w:rPr>
        <w:t>No amount, economic benefit or other entitlement that could be received (whether in cash or property or the vesting of property) as a result of the transaction contemplated in this Agreement (alone or in combination with any other event) by any Participant who is a “disqualified individual” (as defined in U.S. Treasury Regulation Section 1.280G-1) with respect to the Company (each, a “Disqualified Individual”) would reasonably be expected to be characterized as an “excess parachute payment” (as defined in Section 280G(b)(1) of the Code), and no such Disqualified Individual is entitled to receive any additional payment from the Company or any other Person in the event that the excise tax required by Section 4999(a) of the Code is imposed on such Disqualified Individual.</w:t>
      </w:r>
    </w:p>
    <w:p>
      <w:pPr>
        <w:spacing w:after="0" w:line="164" w:lineRule="exact"/>
        <w:rPr>
          <w:rFonts w:ascii="Arial" w:cs="Arial" w:eastAsia="Arial" w:hAnsi="Arial"/>
          <w:sz w:val="21"/>
          <w:szCs w:val="21"/>
          <w:color w:val="auto"/>
        </w:rPr>
      </w:pPr>
    </w:p>
    <w:p>
      <w:pPr>
        <w:ind w:right="80" w:firstLine="1304"/>
        <w:spacing w:after="0" w:line="232" w:lineRule="auto"/>
        <w:tabs>
          <w:tab w:leader="none" w:pos="17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this Section 3.10 are the only representations and warranties being made with respect to ERISA.</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179" w:lineRule="exact"/>
        <w:rPr>
          <w:sz w:val="20"/>
          <w:szCs w:val="20"/>
          <w:color w:val="auto"/>
        </w:rPr>
      </w:pPr>
    </w:p>
    <w:p>
      <w:pPr>
        <w:ind w:right="120" w:firstLine="1304"/>
        <w:spacing w:after="0" w:line="223" w:lineRule="auto"/>
        <w:tabs>
          <w:tab w:leader="none" w:pos="174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is not a party to any labor or collective bargaining contract that pertains to employees of the Company. There are no pending or, to the Knowledge of the Company, threatened Actions concerning labor matters with respect to the Company.</w:t>
      </w:r>
    </w:p>
    <w:p>
      <w:pPr>
        <w:spacing w:after="0" w:line="158" w:lineRule="exact"/>
        <w:rPr>
          <w:rFonts w:ascii="Arial" w:cs="Arial" w:eastAsia="Arial" w:hAnsi="Arial"/>
          <w:sz w:val="22"/>
          <w:szCs w:val="22"/>
          <w:color w:val="auto"/>
        </w:rPr>
      </w:pPr>
    </w:p>
    <w:p>
      <w:pPr>
        <w:ind w:right="20" w:firstLine="1304"/>
        <w:spacing w:after="0" w:line="249" w:lineRule="auto"/>
        <w:tabs>
          <w:tab w:leader="none" w:pos="1764" w:val="left"/>
        </w:tabs>
        <w:numPr>
          <w:ilvl w:val="0"/>
          <w:numId w:val="42"/>
        </w:numPr>
        <w:rPr>
          <w:rFonts w:ascii="Arial" w:cs="Arial" w:eastAsia="Arial" w:hAnsi="Arial"/>
          <w:sz w:val="19"/>
          <w:szCs w:val="19"/>
          <w:color w:val="auto"/>
        </w:rPr>
      </w:pPr>
      <w:r>
        <w:rPr>
          <w:rFonts w:ascii="Arial" w:cs="Arial" w:eastAsia="Arial" w:hAnsi="Arial"/>
          <w:sz w:val="19"/>
          <w:szCs w:val="19"/>
          <w:color w:val="auto"/>
        </w:rPr>
        <w:t>Schedule 3.11(b) sets forth a complete and accurate list of all persons who are employees of (or independent contractors or consultants that perform services for) the Company (the “</w:t>
      </w:r>
      <w:r>
        <w:rPr>
          <w:rFonts w:ascii="Arial" w:cs="Arial" w:eastAsia="Arial" w:hAnsi="Arial"/>
          <w:sz w:val="19"/>
          <w:szCs w:val="19"/>
          <w:b w:val="1"/>
          <w:bCs w:val="1"/>
          <w:color w:val="auto"/>
        </w:rPr>
        <w:t>Business Employees</w:t>
      </w:r>
      <w:r>
        <w:rPr>
          <w:rFonts w:ascii="Arial" w:cs="Arial" w:eastAsia="Arial" w:hAnsi="Arial"/>
          <w:sz w:val="19"/>
          <w:szCs w:val="19"/>
          <w:color w:val="auto"/>
        </w:rPr>
        <w:t>”) and each such person’s name, current position (including identification of whether such person is an employee, independent contractor, or consultant), hire date, base annual compensation, and other annual compensation (including most recently received annual commission and/or bonus amounts). As of the date of this Agreement, none of the Business Employees is receiving short-term disability, long-term disability, or workers’ compensation benefits or is otherwise on a leave of absence.</w:t>
      </w:r>
    </w:p>
    <w:p>
      <w:pPr>
        <w:spacing w:after="0" w:line="152" w:lineRule="exact"/>
        <w:rPr>
          <w:sz w:val="20"/>
          <w:szCs w:val="20"/>
          <w:color w:val="auto"/>
        </w:rPr>
      </w:pPr>
    </w:p>
    <w:p>
      <w:pPr>
        <w:ind w:right="20" w:firstLine="648"/>
        <w:spacing w:after="0" w:line="212"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3.12</w:t>
      </w:r>
      <w:r>
        <w:rPr>
          <w:rFonts w:ascii="Arial" w:cs="Arial" w:eastAsia="Arial" w:hAnsi="Arial"/>
          <w:sz w:val="22"/>
          <w:szCs w:val="22"/>
          <w:color w:val="auto"/>
        </w:rPr>
        <w:t xml:space="preserve"> of the Disclosure Schedules contains a complete list of all current (i.e., policies whose policy period includes the date hereof) policies for workers’ compensation, property and casualty and other forms of insurance owned or held by the Company. All such policies are in full force and effect and will continue in effect until the Closing (or if such policies lapse prior to the Closing, renewals or replacements thereof will be entered into in the ordinary course of business on commercially reasonable terms prior to the Closing). All premiums with respect thereto have been paid to the extent due. No notice of cancellation or termination has been received by the Company with respect to any such insurance policy or contract.</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179" w:lineRule="exact"/>
        <w:rPr>
          <w:sz w:val="20"/>
          <w:szCs w:val="20"/>
          <w:color w:val="auto"/>
        </w:rPr>
      </w:pPr>
    </w:p>
    <w:p>
      <w:pPr>
        <w:ind w:left="1760" w:hanging="456"/>
        <w:spacing w:after="0"/>
        <w:tabs>
          <w:tab w:leader="none" w:pos="17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does not and has never owned any real property.</w:t>
      </w:r>
    </w:p>
    <w:p>
      <w:pPr>
        <w:spacing w:after="0" w:line="179" w:lineRule="exact"/>
        <w:rPr>
          <w:rFonts w:ascii="Arial" w:cs="Arial" w:eastAsia="Arial" w:hAnsi="Arial"/>
          <w:sz w:val="22"/>
          <w:szCs w:val="22"/>
          <w:color w:val="auto"/>
        </w:rPr>
      </w:pPr>
    </w:p>
    <w:p>
      <w:pPr>
        <w:jc w:val="both"/>
        <w:ind w:right="180" w:firstLine="1304"/>
        <w:spacing w:after="0" w:line="223" w:lineRule="auto"/>
        <w:tabs>
          <w:tab w:leader="none" w:pos="176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Schedule 3.13(b)</w:t>
      </w:r>
      <w:r>
        <w:rPr>
          <w:rFonts w:ascii="Arial" w:cs="Arial" w:eastAsia="Arial" w:hAnsi="Arial"/>
          <w:sz w:val="22"/>
          <w:szCs w:val="22"/>
          <w:color w:val="auto"/>
        </w:rPr>
        <w:t xml:space="preserve"> of the Disclosure Schedules lists the street address of each parcel of Leased Real Property and the identity of the lessor, lessee and current occupant (if different from lessee) of each such parcel of Leased Real Property. The Company has a valid</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7" w:lineRule="exact"/>
        <w:rPr>
          <w:sz w:val="20"/>
          <w:szCs w:val="20"/>
          <w:color w:val="auto"/>
        </w:rPr>
      </w:pPr>
    </w:p>
    <w:p>
      <w:pPr>
        <w:ind w:right="220"/>
        <w:spacing w:after="0" w:line="218" w:lineRule="auto"/>
        <w:rPr>
          <w:sz w:val="20"/>
          <w:szCs w:val="20"/>
          <w:color w:val="auto"/>
        </w:rPr>
      </w:pPr>
      <w:r>
        <w:rPr>
          <w:rFonts w:ascii="Arial" w:cs="Arial" w:eastAsia="Arial" w:hAnsi="Arial"/>
          <w:sz w:val="22"/>
          <w:szCs w:val="22"/>
          <w:color w:val="auto"/>
        </w:rPr>
        <w:t>leasehold estate in all Leased Real Property, free and clear of all Encumbrances, other than Permitted Encumbrances. Company has made available to Acquiror the lease agreements for each parcel of Leased Real Property (the “</w:t>
      </w:r>
      <w:r>
        <w:rPr>
          <w:rFonts w:ascii="Arial" w:cs="Arial" w:eastAsia="Arial" w:hAnsi="Arial"/>
          <w:sz w:val="22"/>
          <w:szCs w:val="22"/>
          <w:b w:val="1"/>
          <w:bCs w:val="1"/>
          <w:color w:val="auto"/>
        </w:rPr>
        <w:t>Real Property Lease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Agreements</w:t>
      </w:r>
      <w:r>
        <w:rPr>
          <w:rFonts w:ascii="Arial" w:cs="Arial" w:eastAsia="Arial" w:hAnsi="Arial"/>
          <w:sz w:val="22"/>
          <w:szCs w:val="22"/>
          <w:color w:val="auto"/>
        </w:rPr>
        <w:t>”). The Company has provided or made available to Buyer complete and accurate copies of each Real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Lease Agreement.</w:t>
      </w:r>
    </w:p>
    <w:p>
      <w:pPr>
        <w:spacing w:after="0" w:line="161" w:lineRule="exact"/>
        <w:rPr>
          <w:sz w:val="20"/>
          <w:szCs w:val="20"/>
          <w:color w:val="auto"/>
        </w:rPr>
      </w:pPr>
    </w:p>
    <w:p>
      <w:pPr>
        <w:ind w:right="180" w:firstLine="1304"/>
        <w:spacing w:after="0" w:line="226" w:lineRule="auto"/>
        <w:tabs>
          <w:tab w:leader="none" w:pos="1748" w:val="left"/>
        </w:tabs>
        <w:numPr>
          <w:ilvl w:val="0"/>
          <w:numId w:val="44"/>
        </w:numPr>
        <w:rPr>
          <w:rFonts w:ascii="Arial" w:cs="Arial" w:eastAsia="Arial" w:hAnsi="Arial"/>
          <w:sz w:val="21"/>
          <w:szCs w:val="21"/>
          <w:color w:val="auto"/>
        </w:rPr>
      </w:pPr>
      <w:r>
        <w:rPr>
          <w:rFonts w:ascii="Arial" w:cs="Arial" w:eastAsia="Arial" w:hAnsi="Arial"/>
          <w:sz w:val="21"/>
          <w:szCs w:val="21"/>
          <w:color w:val="auto"/>
        </w:rPr>
        <w:t>With respect to each Real Property Lease Agreement, (i) neither the Company nor, to the Knowledge of the Company, any other party thereto is in breach, (ii) the Company has not received a written notice of termination nor, to the Knowledge of the Company, an oral notice of termination, and (iii) all rent and other charges currently due and payable thereunder have been paid. Each Real Property Lease Agreement is valid, binding, and enforceable in accordance with its terms by and against the Company, subject to the Enforceability Exceptions.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179" w:lineRule="exact"/>
        <w:rPr>
          <w:sz w:val="20"/>
          <w:szCs w:val="20"/>
          <w:color w:val="auto"/>
        </w:rPr>
      </w:pPr>
    </w:p>
    <w:p>
      <w:pPr>
        <w:ind w:right="60" w:firstLine="1304"/>
        <w:spacing w:after="0" w:line="221" w:lineRule="auto"/>
        <w:tabs>
          <w:tab w:leader="none" w:pos="175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Schedule 3.14(a)</w:t>
      </w:r>
      <w:r>
        <w:rPr>
          <w:rFonts w:ascii="Arial" w:cs="Arial" w:eastAsia="Arial" w:hAnsi="Arial"/>
          <w:sz w:val="21"/>
          <w:szCs w:val="21"/>
          <w:color w:val="auto"/>
        </w:rPr>
        <w:t xml:space="preserve"> sets forth an accurate and complete list as of the date hereof of all registered Marks and applications for registration of Marks (collectively, the “</w:t>
      </w:r>
      <w:r>
        <w:rPr>
          <w:rFonts w:ascii="Arial" w:cs="Arial" w:eastAsia="Arial" w:hAnsi="Arial"/>
          <w:sz w:val="21"/>
          <w:szCs w:val="21"/>
          <w:b w:val="1"/>
          <w:bCs w:val="1"/>
          <w:color w:val="auto"/>
        </w:rPr>
        <w:t>Company Registered Marks</w:t>
      </w:r>
      <w:r>
        <w:rPr>
          <w:rFonts w:ascii="Arial" w:cs="Arial" w:eastAsia="Arial" w:hAnsi="Arial"/>
          <w:sz w:val="21"/>
          <w:szCs w:val="21"/>
          <w:color w:val="auto"/>
        </w:rPr>
        <w:t>”), all Patents (collectively,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color w:val="auto"/>
        </w:rPr>
        <w:t>Patents</w:t>
      </w:r>
      <w:r>
        <w:rPr>
          <w:rFonts w:ascii="Arial" w:cs="Arial" w:eastAsia="Arial" w:hAnsi="Arial"/>
          <w:sz w:val="21"/>
          <w:szCs w:val="21"/>
          <w:color w:val="auto"/>
        </w:rPr>
        <w:t>”) and all registered Copyrights and all pending applications for registration of Copyrights (together with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Marks and the Company Patents, the “</w:t>
      </w:r>
      <w:r>
        <w:rPr>
          <w:rFonts w:ascii="Arial" w:cs="Arial" w:eastAsia="Arial" w:hAnsi="Arial"/>
          <w:sz w:val="21"/>
          <w:szCs w:val="21"/>
          <w:b w:val="1"/>
          <w:bCs w:val="1"/>
          <w:color w:val="auto"/>
        </w:rPr>
        <w:t>Company Registered IP</w:t>
      </w:r>
      <w:r>
        <w:rPr>
          <w:rFonts w:ascii="Arial" w:cs="Arial" w:eastAsia="Arial" w:hAnsi="Arial"/>
          <w:sz w:val="21"/>
          <w:szCs w:val="21"/>
          <w:color w:val="auto"/>
        </w:rPr>
        <w:t>”), in each case, owned by the Company, enumerating specifically the applicable filing or registration number, title, jurisdiction in which filing was made or from which registration issued, date of filing, date of issuance, and names of all current applicant(s) and registered owner(s), as applicable. No Company Registered IP is involved in any interference, reissue, reexamination, opposition or cancellation proceeding. All filing, examination, issuance, post registration and maintenance fees, annuities and the like associated with or required with respect to any of the Company Registered IP have been paid.</w:t>
      </w:r>
    </w:p>
    <w:p>
      <w:pPr>
        <w:spacing w:after="0" w:line="158" w:lineRule="exact"/>
        <w:rPr>
          <w:rFonts w:ascii="Arial" w:cs="Arial" w:eastAsia="Arial" w:hAnsi="Arial"/>
          <w:sz w:val="21"/>
          <w:szCs w:val="21"/>
          <w:color w:val="auto"/>
        </w:rPr>
      </w:pPr>
    </w:p>
    <w:p>
      <w:pPr>
        <w:ind w:left="1780" w:hanging="476"/>
        <w:spacing w:after="0"/>
        <w:tabs>
          <w:tab w:leader="none" w:pos="17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Schedule 3.14(b) sets forth a complete and accurate list of all Material Non-Registered IP.</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Schedule 3.14(c) sets forth a complete and accurate list of all In-Licenses.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Schedule 3.14(d) sets forth a complete and accurate list of all Out-Licenses.</w:t>
      </w:r>
    </w:p>
    <w:p>
      <w:pPr>
        <w:spacing w:after="0" w:line="179" w:lineRule="exact"/>
        <w:rPr>
          <w:rFonts w:ascii="Arial" w:cs="Arial" w:eastAsia="Arial" w:hAnsi="Arial"/>
          <w:sz w:val="22"/>
          <w:szCs w:val="22"/>
          <w:color w:val="auto"/>
        </w:rPr>
      </w:pPr>
    </w:p>
    <w:p>
      <w:pPr>
        <w:ind w:right="300" w:firstLine="1304"/>
        <w:spacing w:after="0" w:line="249" w:lineRule="auto"/>
        <w:tabs>
          <w:tab w:leader="none" w:pos="1752" w:val="left"/>
        </w:tabs>
        <w:numPr>
          <w:ilvl w:val="0"/>
          <w:numId w:val="45"/>
        </w:numPr>
        <w:rPr>
          <w:rFonts w:ascii="Arial" w:cs="Arial" w:eastAsia="Arial" w:hAnsi="Arial"/>
          <w:sz w:val="19"/>
          <w:szCs w:val="19"/>
          <w:color w:val="auto"/>
        </w:rPr>
      </w:pPr>
      <w:r>
        <w:rPr>
          <w:rFonts w:ascii="Arial" w:cs="Arial" w:eastAsia="Arial" w:hAnsi="Arial"/>
          <w:sz w:val="19"/>
          <w:szCs w:val="19"/>
          <w:color w:val="auto"/>
        </w:rPr>
        <w:t>Each item of Company IP (i) is owned by the Company or available for use under a valid license by the Company and (ii) after the Closing, will continue to be owned by the Company or available for use by the Company on substantially identical terms and conditions as the terms and conditions in effect immediately prior to the Closing, without restriction and without additional payment of any kind to any third party (other than amounts that would have been payable by the Company even if the Transactions did not occur). The Company Intellectual Property constitutes all Intellectual Property rights reasonably necessary to conduct the Business in all material respects as currently conducted by the Company.</w:t>
      </w:r>
    </w:p>
    <w:p>
      <w:pPr>
        <w:spacing w:after="0" w:line="151" w:lineRule="exact"/>
        <w:rPr>
          <w:rFonts w:ascii="Arial" w:cs="Arial" w:eastAsia="Arial" w:hAnsi="Arial"/>
          <w:sz w:val="19"/>
          <w:szCs w:val="19"/>
          <w:color w:val="auto"/>
        </w:rPr>
      </w:pPr>
    </w:p>
    <w:p>
      <w:pPr>
        <w:ind w:firstLine="1304"/>
        <w:spacing w:after="0" w:line="249" w:lineRule="auto"/>
        <w:tabs>
          <w:tab w:leader="none" w:pos="1724"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has taken commercially reasonable steps to maintain the confidentiality of all Trade Secrets of the Company, including the adoption of a policy requiring that all employees and independent contractors who are involved in the creation of Intellectual Property or who have access to Trade Secrets of the Company enter into non-disclosure and invention assignment agreements in the Company’s standard forms. There has been no disclosure of Trade Secrets of the Company other than pursuant to binding and enforceable confidentiality and non-use agreements. Company has complied in all material respects with all contractual and legal requirements pertaining to any third party proprietary or confidential</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7" w:lineRule="exact"/>
        <w:rPr>
          <w:sz w:val="20"/>
          <w:szCs w:val="20"/>
          <w:color w:val="auto"/>
        </w:rPr>
      </w:pPr>
    </w:p>
    <w:p>
      <w:pPr>
        <w:ind w:right="800"/>
        <w:spacing w:after="0" w:line="232" w:lineRule="auto"/>
        <w:rPr>
          <w:sz w:val="20"/>
          <w:szCs w:val="20"/>
          <w:color w:val="auto"/>
        </w:rPr>
      </w:pPr>
      <w:r>
        <w:rPr>
          <w:rFonts w:ascii="Arial" w:cs="Arial" w:eastAsia="Arial" w:hAnsi="Arial"/>
          <w:sz w:val="22"/>
          <w:szCs w:val="22"/>
          <w:color w:val="auto"/>
        </w:rPr>
        <w:t>information in the possession, custody, or control of Company and, to the Knowledge of the Company, there has been no unauthorized disclosure of such information by Company.</w:t>
      </w:r>
    </w:p>
    <w:p>
      <w:pPr>
        <w:spacing w:after="0" w:line="159" w:lineRule="exact"/>
        <w:rPr>
          <w:sz w:val="20"/>
          <w:szCs w:val="20"/>
          <w:color w:val="auto"/>
        </w:rPr>
      </w:pPr>
    </w:p>
    <w:p>
      <w:pPr>
        <w:ind w:right="100" w:firstLine="1304"/>
        <w:spacing w:after="0" w:line="252" w:lineRule="auto"/>
        <w:tabs>
          <w:tab w:leader="none" w:pos="1764" w:val="left"/>
        </w:tabs>
        <w:numPr>
          <w:ilvl w:val="1"/>
          <w:numId w:val="46"/>
        </w:numPr>
        <w:rPr>
          <w:rFonts w:ascii="Arial" w:cs="Arial" w:eastAsia="Arial" w:hAnsi="Arial"/>
          <w:sz w:val="19"/>
          <w:szCs w:val="19"/>
          <w:color w:val="auto"/>
        </w:rPr>
      </w:pPr>
      <w:r>
        <w:rPr>
          <w:rFonts w:ascii="Arial" w:cs="Arial" w:eastAsia="Arial" w:hAnsi="Arial"/>
          <w:sz w:val="19"/>
          <w:szCs w:val="19"/>
          <w:color w:val="auto"/>
        </w:rPr>
        <w:t>Each current and former employee and independent contractor of the Company involved in the development of Company Owned IP (or the development, maintenance, or service of the Products) has executed a valid and binding written agreement assigning to the Company all right, title, and interest in any inventions and works of authorship (whether or not patentable) invented, created, developed, conceived and/or reduced to practice during the course and scope of such employee’s employment or such independent contractor’s work for such Company Entity, and all Intellectual Property therein.</w:t>
      </w:r>
    </w:p>
    <w:p>
      <w:pPr>
        <w:spacing w:after="0" w:line="148" w:lineRule="exact"/>
        <w:rPr>
          <w:rFonts w:ascii="Arial" w:cs="Arial" w:eastAsia="Arial" w:hAnsi="Arial"/>
          <w:sz w:val="19"/>
          <w:szCs w:val="19"/>
          <w:color w:val="auto"/>
        </w:rPr>
      </w:pPr>
    </w:p>
    <w:p>
      <w:pPr>
        <w:ind w:right="680" w:firstLine="1304"/>
        <w:spacing w:after="0" w:line="234" w:lineRule="auto"/>
        <w:tabs>
          <w:tab w:leader="none" w:pos="1752" w:val="left"/>
        </w:tabs>
        <w:numPr>
          <w:ilvl w:val="1"/>
          <w:numId w:val="46"/>
        </w:numPr>
        <w:rPr>
          <w:rFonts w:ascii="Arial" w:cs="Arial" w:eastAsia="Arial" w:hAnsi="Arial"/>
          <w:sz w:val="21"/>
          <w:szCs w:val="21"/>
          <w:color w:val="auto"/>
        </w:rPr>
      </w:pPr>
      <w:r>
        <w:rPr>
          <w:rFonts w:ascii="Arial" w:cs="Arial" w:eastAsia="Arial" w:hAnsi="Arial"/>
          <w:sz w:val="21"/>
          <w:szCs w:val="21"/>
          <w:color w:val="auto"/>
        </w:rPr>
        <w:t>All tangible materials embodying Intellectual Property that the Company is using in the conduct of its business as currently conducted are owned by the Company or have been licensed to the Company pursuant to a written agreement with the third party from which the Company obtained such materials.</w:t>
      </w:r>
    </w:p>
    <w:p>
      <w:pPr>
        <w:spacing w:after="0" w:line="157" w:lineRule="exact"/>
        <w:rPr>
          <w:rFonts w:ascii="Arial" w:cs="Arial" w:eastAsia="Arial" w:hAnsi="Arial"/>
          <w:sz w:val="21"/>
          <w:szCs w:val="21"/>
          <w:color w:val="auto"/>
        </w:rPr>
      </w:pPr>
    </w:p>
    <w:p>
      <w:pPr>
        <w:ind w:right="40" w:firstLine="1304"/>
        <w:spacing w:after="0" w:line="221" w:lineRule="auto"/>
        <w:tabs>
          <w:tab w:leader="none" w:pos="1712"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There are no Actions (including any motions, petitions, oppositions, interferences or re-examinations) settled in the past twelve (12) months, or pending, or, to the Knowledge of the Company that are threatened (including in the form of offers to obtain a license): (i) alleging any infringement, misappropriation, dilution or violation of the Intellectual Property of any third party by the Company, (ii) challenging the validity, enforceability, registrability, or ownership of any Company Owned IP, or (iii) by the Company alleging any infringement, misappropriation, dilution or violation by any third party of the Company Owned IP. No Company Owned IP is subject to any proceeding or outstanding governmental order or settlement agreement or stipulation that restricts in any manner the use, transfer, or licensing of any such Company Owned IP or of the Company’s Products.</w:t>
      </w:r>
    </w:p>
    <w:p>
      <w:pPr>
        <w:spacing w:after="0" w:line="165" w:lineRule="exact"/>
        <w:rPr>
          <w:rFonts w:ascii="Arial" w:cs="Arial" w:eastAsia="Arial" w:hAnsi="Arial"/>
          <w:sz w:val="21"/>
          <w:szCs w:val="21"/>
          <w:color w:val="auto"/>
        </w:rPr>
      </w:pPr>
    </w:p>
    <w:p>
      <w:pPr>
        <w:ind w:right="100" w:firstLine="1304"/>
        <w:spacing w:after="0" w:line="214" w:lineRule="auto"/>
        <w:tabs>
          <w:tab w:leader="none" w:pos="1716"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Except as would not be material to the Company, none of the products or services distributed, sold or offered by the Company, nor any technology or materials used in connection therewith (including the Company IP), infringes upon, misappropriates or otherwise violates any Intellectual Property of any third party, and the Company has not received any written notice (nor, to the Knowledge of the Company, oral notice) asserting that any such infringement, misappropriation or other violation has occurred. To the Knowledge of the Company, no third party is misappropriating or infringing any Intellectual Property owned by the Company.</w:t>
      </w:r>
    </w:p>
    <w:p>
      <w:pPr>
        <w:spacing w:after="0" w:line="158" w:lineRule="exact"/>
        <w:rPr>
          <w:rFonts w:ascii="Arial" w:cs="Arial" w:eastAsia="Arial" w:hAnsi="Arial"/>
          <w:sz w:val="22"/>
          <w:szCs w:val="22"/>
          <w:color w:val="auto"/>
        </w:rPr>
      </w:pPr>
    </w:p>
    <w:p>
      <w:pPr>
        <w:ind w:firstLine="1304"/>
        <w:spacing w:after="0" w:line="242" w:lineRule="auto"/>
        <w:tabs>
          <w:tab w:leader="none" w:pos="17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Company has not (i) incorporated Open Source Code into the Products or combined Open Source Code with the Products, (ii) distributed Open Source Code in conjunction with any other software developed or distributed with respect to the Business by the Company, or (iii) used Open Source Code, in each of cases (i) and (ii) above, in a manner that would create an obligation in the Company that any Product source code (other than in-licensed software that is itself Open Source Code) be</w:t>
      </w:r>
    </w:p>
    <w:p>
      <w:pPr>
        <w:ind w:right="400" w:firstLine="8"/>
        <w:spacing w:after="0" w:line="217" w:lineRule="auto"/>
        <w:tabs>
          <w:tab w:leader="none" w:pos="354" w:val="left"/>
        </w:tabs>
        <w:numPr>
          <w:ilvl w:val="0"/>
          <w:numId w:val="47"/>
        </w:numPr>
        <w:rPr>
          <w:rFonts w:ascii="Arial" w:cs="Arial" w:eastAsia="Arial" w:hAnsi="Arial"/>
          <w:sz w:val="22"/>
          <w:szCs w:val="22"/>
          <w:color w:val="auto"/>
        </w:rPr>
      </w:pPr>
      <w:r>
        <w:rPr>
          <w:rFonts w:ascii="Arial" w:cs="Arial" w:eastAsia="Arial" w:hAnsi="Arial"/>
          <w:sz w:val="22"/>
          <w:szCs w:val="22"/>
          <w:color w:val="auto"/>
        </w:rPr>
        <w:t>made available, disclosed or distributed in source code form, (x) licensed for the purpose of making derivative works, (y) redistributable at no charge or minimal charge, or (z) licensed under terms that require the allowance of reverse engineering, reverse assembly, or disassembly of any kind.</w:t>
      </w:r>
    </w:p>
    <w:p>
      <w:pPr>
        <w:spacing w:after="0" w:line="159" w:lineRule="exact"/>
        <w:rPr>
          <w:rFonts w:ascii="Arial" w:cs="Arial" w:eastAsia="Arial" w:hAnsi="Arial"/>
          <w:sz w:val="22"/>
          <w:szCs w:val="22"/>
          <w:color w:val="auto"/>
        </w:rPr>
      </w:pPr>
    </w:p>
    <w:p>
      <w:pPr>
        <w:ind w:right="400" w:firstLine="1304"/>
        <w:spacing w:after="0" w:line="218" w:lineRule="auto"/>
        <w:tabs>
          <w:tab w:leader="none" w:pos="171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To the Knowledge of the Company, neither the Products nor the internal systems contain any disabling device, virus, worm, back door, Trojan horse or other disruptive or malicious code that are intended to materially impair their intended performance or otherwise permit unauthorized access to, hamper, delete or damage any computer system, Software, network, or data.</w:t>
      </w:r>
    </w:p>
    <w:p>
      <w:pPr>
        <w:spacing w:after="0" w:line="160" w:lineRule="exact"/>
        <w:rPr>
          <w:rFonts w:ascii="Arial" w:cs="Arial" w:eastAsia="Arial" w:hAnsi="Arial"/>
          <w:sz w:val="22"/>
          <w:szCs w:val="22"/>
          <w:color w:val="auto"/>
        </w:rPr>
      </w:pPr>
    </w:p>
    <w:p>
      <w:pPr>
        <w:ind w:right="260" w:firstLine="1304"/>
        <w:spacing w:after="0" w:line="232" w:lineRule="auto"/>
        <w:tabs>
          <w:tab w:leader="none" w:pos="1824" w:val="left"/>
        </w:tabs>
        <w:numPr>
          <w:ilvl w:val="1"/>
          <w:numId w:val="47"/>
        </w:numPr>
        <w:rPr>
          <w:rFonts w:ascii="Arial" w:cs="Arial" w:eastAsia="Arial" w:hAnsi="Arial"/>
          <w:sz w:val="22"/>
          <w:szCs w:val="22"/>
          <w:color w:val="auto"/>
        </w:rPr>
      </w:pPr>
      <w:r>
        <w:rPr>
          <w:rFonts w:ascii="Arial" w:cs="Arial" w:eastAsia="Arial" w:hAnsi="Arial"/>
          <w:sz w:val="22"/>
          <w:szCs w:val="22"/>
          <w:color w:val="auto"/>
        </w:rPr>
        <w:t>Except as set forth in Schedule 3.14(m), the Company has not received any support, funding, resources or assistance from any federal, state, local or foreign</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7"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Governmental or quasi-Governmental Authority or funding source in connection with the exploitation of the Products or any material Company Owned IP and does not have a pending application or other request for any such support, funding, resources or assistance. No such Governmental Authority has rights to Company Owned IP.</w:t>
      </w:r>
    </w:p>
    <w:p>
      <w:pPr>
        <w:spacing w:after="0" w:line="159" w:lineRule="exact"/>
        <w:rPr>
          <w:sz w:val="20"/>
          <w:szCs w:val="20"/>
          <w:color w:val="auto"/>
        </w:rPr>
      </w:pPr>
    </w:p>
    <w:p>
      <w:pPr>
        <w:ind w:right="40" w:firstLine="1304"/>
        <w:spacing w:after="0"/>
        <w:tabs>
          <w:tab w:leader="none" w:pos="17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privacy practices of the Company conform to its privacy policies in all material respects, and each such privacy policy has at all times complied in all material respects with federal, state, and international Law relating to electronic communications privacy, law enforcement access, reporting of unlawful content, data retention and data transfer. With respect to all personally identifiable information processed or controlled by the Company in connection with its business, the Company has taken commercially reasonable steps consistent with applicable Law to ensure that such information is protected against loss and unauthorized access, use, modification, disclosure or other misuse. To the Knowledge of the Company, there has been no unauthorized access to or other misuse of such information, and there has been no unauthorized disclosure of electronic communications or customer records to any third party, including any Governmental Authority. The Company’s receipt, collection, monitoring, maintenance, creation, transmission, use, analysis, disclosure, storage, disposal and security of all Protected Information has complied, and complies, in all material respects, with (i) all Contracts to which the Company is a party and (ii) all Information Privacy and Security Laws. No written complaint (and, to the Knowledge of the Company, no oral complaint) relating to an improper use or disclosure of, or a breach in the security of, any Protected Information in the Company’s possession or control has been made or, to the Knowledge of the Company, threatened against the Company. “</w:t>
      </w:r>
      <w:r>
        <w:rPr>
          <w:rFonts w:ascii="Arial" w:cs="Arial" w:eastAsia="Arial" w:hAnsi="Arial"/>
          <w:sz w:val="19"/>
          <w:szCs w:val="19"/>
          <w:b w:val="1"/>
          <w:bCs w:val="1"/>
          <w:color w:val="auto"/>
        </w:rPr>
        <w:t>Information Privacy and Security Laws</w:t>
      </w:r>
      <w:r>
        <w:rPr>
          <w:rFonts w:ascii="Arial" w:cs="Arial" w:eastAsia="Arial" w:hAnsi="Arial"/>
          <w:sz w:val="19"/>
          <w:szCs w:val="19"/>
          <w:color w:val="auto"/>
        </w:rPr>
        <w:t>” means applicable Laws concerning the use, ownership, maintenance, storage, collection, privacy and/or security of Protected Information. “</w:t>
      </w:r>
      <w:r>
        <w:rPr>
          <w:rFonts w:ascii="Arial" w:cs="Arial" w:eastAsia="Arial" w:hAnsi="Arial"/>
          <w:sz w:val="19"/>
          <w:szCs w:val="19"/>
          <w:b w:val="1"/>
          <w:bCs w:val="1"/>
          <w:color w:val="auto"/>
        </w:rPr>
        <w:t>Protected Information</w:t>
      </w:r>
      <w:r>
        <w:rPr>
          <w:rFonts w:ascii="Arial" w:cs="Arial" w:eastAsia="Arial" w:hAnsi="Arial"/>
          <w:sz w:val="19"/>
          <w:szCs w:val="19"/>
          <w:color w:val="auto"/>
        </w:rPr>
        <w:t>” means any information that alone or in combination with other information held by the Company (i) can be used to specifically identify a natural person, (ii) constitutes personal information or health or financial information about an identifiable natural person, or (iii) is governed, regulated or protected by one or more Information Privacy and Security Laws.</w:t>
      </w:r>
    </w:p>
    <w:p>
      <w:pPr>
        <w:spacing w:after="0" w:line="3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79" w:lineRule="exact"/>
        <w:rPr>
          <w:sz w:val="20"/>
          <w:szCs w:val="20"/>
          <w:color w:val="auto"/>
        </w:rPr>
      </w:pPr>
    </w:p>
    <w:p>
      <w:pPr>
        <w:ind w:right="280" w:firstLine="1304"/>
        <w:spacing w:after="0" w:line="252" w:lineRule="auto"/>
        <w:tabs>
          <w:tab w:leader="none" w:pos="17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income and other material Returns required to have been filed by or with respect to the Company have been timely filed (taking into account any extension of time to file granted or obtained), and such Returns are true, correct, complete and accurate in all material respects and in accordance with applicable Law and no material fact has been omitted therefrom. All income and other material Taxes (whether or not shown on any Return) have been paid or will be timely paid, except for Taxes being contested in good faith by appropriate proceedings.</w:t>
      </w:r>
    </w:p>
    <w:p>
      <w:pPr>
        <w:spacing w:after="0" w:line="148" w:lineRule="exact"/>
        <w:rPr>
          <w:rFonts w:ascii="Arial" w:cs="Arial" w:eastAsia="Arial" w:hAnsi="Arial"/>
          <w:sz w:val="19"/>
          <w:szCs w:val="19"/>
          <w:color w:val="auto"/>
        </w:rPr>
      </w:pPr>
    </w:p>
    <w:p>
      <w:pPr>
        <w:ind w:right="160" w:firstLine="1304"/>
        <w:spacing w:after="0" w:line="268" w:lineRule="auto"/>
        <w:tabs>
          <w:tab w:leader="none" w:pos="181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has paid or withheld with respect to its Employees and all other third parties all material Taxes required to be withheld or paid, and have timely paid any such Taxes withheld over to the appropriate Governmental Authority, and the Company has complied in all material respects with all associated reporting and recordkeeping requirements.</w:t>
      </w:r>
    </w:p>
    <w:p>
      <w:pPr>
        <w:spacing w:after="0" w:line="132" w:lineRule="exact"/>
        <w:rPr>
          <w:rFonts w:ascii="Arial" w:cs="Arial" w:eastAsia="Arial" w:hAnsi="Arial"/>
          <w:sz w:val="19"/>
          <w:szCs w:val="19"/>
          <w:color w:val="auto"/>
        </w:rPr>
      </w:pPr>
    </w:p>
    <w:p>
      <w:pPr>
        <w:ind w:right="80" w:firstLine="1304"/>
        <w:spacing w:after="0" w:line="222" w:lineRule="auto"/>
        <w:tabs>
          <w:tab w:leader="none" w:pos="1806"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Company has not been delinquent in the payment of any material Tax, nor is there any material Tax deficiency outstanding, assessed or proposed against the Company, nor has the Company executed any waiver of any statute of limitations, on or extending the period for the assessment or collection of, any material Tax. The Company has not requested, received, or entered into any Tax ruling, technical advice memorandum, closing agreement, pricing agreement or similar agreement or ruling with respect to Taxes with any Governmental Authority. The Company has not executed any power of attorney with respect to any Tax, other than powers of attorney that are no longer in force. There are no Tax liens on the assets of the Company (other than Permitted Encumbrances).</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77" w:lineRule="exact"/>
        <w:rPr>
          <w:sz w:val="20"/>
          <w:szCs w:val="20"/>
          <w:color w:val="auto"/>
        </w:rPr>
      </w:pPr>
    </w:p>
    <w:p>
      <w:pPr>
        <w:ind w:left="-1120" w:right="240" w:firstLine="1304"/>
        <w:spacing w:after="0" w:line="268" w:lineRule="auto"/>
        <w:tabs>
          <w:tab w:leader="none" w:pos="644"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 audit or other examination of any Return of the Company has been conducted or is in progress, nor has the Company been notified of any request for such an audit or other examination. No claim has ever been made by a Governmental Authority that the Company is or may be subject to taxation in a jurisdiction in which it does not file Returns.</w:t>
      </w:r>
    </w:p>
    <w:p>
      <w:pPr>
        <w:spacing w:after="0" w:line="132" w:lineRule="exact"/>
        <w:rPr>
          <w:rFonts w:ascii="Arial" w:cs="Arial" w:eastAsia="Arial" w:hAnsi="Arial"/>
          <w:sz w:val="19"/>
          <w:szCs w:val="19"/>
          <w:color w:val="auto"/>
        </w:rPr>
      </w:pPr>
    </w:p>
    <w:p>
      <w:pPr>
        <w:ind w:left="-1120" w:right="220" w:firstLine="1304"/>
        <w:spacing w:after="0" w:line="218" w:lineRule="auto"/>
        <w:tabs>
          <w:tab w:leader="none" w:pos="6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As of the Interim Balance Sheet Date, the Company did not have any material Liabilities for unpaid Taxes that had not been accrued or reserved on its current balance sheet, determined in accordance with GAAP, and the Company has not incurred any material Liability for such Taxes since the Interim Balance Sheet Date other than in the ordinary course of business consistent with past practice.</w:t>
      </w:r>
    </w:p>
    <w:p>
      <w:pPr>
        <w:spacing w:after="0" w:line="160" w:lineRule="exact"/>
        <w:rPr>
          <w:rFonts w:ascii="Arial" w:cs="Arial" w:eastAsia="Arial" w:hAnsi="Arial"/>
          <w:sz w:val="22"/>
          <w:szCs w:val="22"/>
          <w:color w:val="auto"/>
        </w:rPr>
      </w:pPr>
    </w:p>
    <w:p>
      <w:pPr>
        <w:ind w:left="-1120" w:right="260" w:firstLine="1304"/>
        <w:spacing w:after="0" w:line="232" w:lineRule="auto"/>
        <w:tabs>
          <w:tab w:leader="none" w:pos="596"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Taxes not yet due and payable by the Company have been, in all material respects, properly accrued on the books of account of the Company in accordance with GAAP.</w:t>
      </w:r>
    </w:p>
    <w:p>
      <w:pPr>
        <w:spacing w:after="0" w:line="158" w:lineRule="exact"/>
        <w:rPr>
          <w:rFonts w:ascii="Arial" w:cs="Arial" w:eastAsia="Arial" w:hAnsi="Arial"/>
          <w:sz w:val="22"/>
          <w:szCs w:val="22"/>
          <w:color w:val="auto"/>
        </w:rPr>
      </w:pPr>
    </w:p>
    <w:p>
      <w:pPr>
        <w:ind w:left="-1120" w:firstLine="1304"/>
        <w:spacing w:after="0" w:line="214" w:lineRule="auto"/>
        <w:tabs>
          <w:tab w:leader="none" w:pos="6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has never (A) been a member of an affiliated group (within the meaning of Code §1504(a)) filing a consolidated federal income Return; (B) been a party to any Tax sharing agreement; or (C) had any liability for the Taxes of any Person under Treasury Regulation §1.1502-6 (or any similar provision of state, local or foreign Applicable Law, and including any arrangement for group or consortium relief or similar arrangements) as a transferee or successor, by contract or agreement (other than commercial agreements the primary purpose of which does not relate to Taxes), by operation of Applicable Law or otherwise.</w:t>
      </w:r>
    </w:p>
    <w:p>
      <w:pPr>
        <w:spacing w:after="0" w:line="158" w:lineRule="exact"/>
        <w:rPr>
          <w:rFonts w:ascii="Arial" w:cs="Arial" w:eastAsia="Arial" w:hAnsi="Arial"/>
          <w:sz w:val="22"/>
          <w:szCs w:val="22"/>
          <w:color w:val="auto"/>
        </w:rPr>
      </w:pPr>
    </w:p>
    <w:p>
      <w:pPr>
        <w:ind w:left="-1120" w:right="40" w:firstLine="1304"/>
        <w:spacing w:after="0" w:line="224" w:lineRule="auto"/>
        <w:tabs>
          <w:tab w:leader="none" w:pos="632" w:val="left"/>
        </w:tabs>
        <w:numPr>
          <w:ilvl w:val="0"/>
          <w:numId w:val="50"/>
        </w:numPr>
        <w:rPr>
          <w:rFonts w:ascii="Arial" w:cs="Arial" w:eastAsia="Arial" w:hAnsi="Arial"/>
          <w:sz w:val="21"/>
          <w:szCs w:val="21"/>
          <w:color w:val="auto"/>
        </w:rPr>
      </w:pPr>
      <w:r>
        <w:rPr>
          <w:rFonts w:ascii="Arial" w:cs="Arial" w:eastAsia="Arial" w:hAnsi="Arial"/>
          <w:sz w:val="21"/>
          <w:szCs w:val="21"/>
          <w:color w:val="auto"/>
        </w:rPr>
        <w:t>At all times since its formation, the Company (A) has been properly classified and treated as a “small business corporation” within the meaning of Section 1361(b) of the Code, (B) has had in effect a valid election under Section 1362(a) of the Code, (C) has been validly treated in a similar manner for purposes of the income Tax laws of all states in which it has been subject to taxation where such treatment is legally available, and (D) has had in effect valid election to be so treated in any such state requiring such separate election. No Governmental Authority has ever challenged or otherwise questioned or inquired into the Company’s status as an S corporation.</w:t>
      </w:r>
    </w:p>
    <w:p>
      <w:pPr>
        <w:spacing w:after="0" w:line="159" w:lineRule="exact"/>
        <w:rPr>
          <w:rFonts w:ascii="Arial" w:cs="Arial" w:eastAsia="Arial" w:hAnsi="Arial"/>
          <w:sz w:val="21"/>
          <w:szCs w:val="21"/>
          <w:color w:val="auto"/>
        </w:rPr>
      </w:pPr>
    </w:p>
    <w:p>
      <w:pPr>
        <w:ind w:left="-1120" w:right="40" w:firstLine="1304"/>
        <w:spacing w:after="0" w:line="268" w:lineRule="auto"/>
        <w:tabs>
          <w:tab w:leader="none" w:pos="592"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never had “built-in gain” (within the meaning of Section 1374 of the Code). The Company has never acquired an asset in which the acquirer’s basis in the asset was determined (in whole or in part) by reference to the basis of such asset (or any other property) in the hands of a C corporation, as described in Section 1374(d)(8)(A) of the Code.</w:t>
      </w:r>
    </w:p>
    <w:p>
      <w:pPr>
        <w:spacing w:after="0" w:line="132" w:lineRule="exact"/>
        <w:rPr>
          <w:rFonts w:ascii="Arial" w:cs="Arial" w:eastAsia="Arial" w:hAnsi="Arial"/>
          <w:sz w:val="19"/>
          <w:szCs w:val="19"/>
          <w:color w:val="auto"/>
        </w:rPr>
      </w:pPr>
    </w:p>
    <w:p>
      <w:pPr>
        <w:ind w:left="600" w:hanging="416"/>
        <w:spacing w:after="0"/>
        <w:tabs>
          <w:tab w:leader="none" w:pos="6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never engaged in a “listed transaction,” as set forth in Treasury Regulation 1.6011-4(b)(2).</w:t>
      </w:r>
    </w:p>
    <w:p>
      <w:pPr>
        <w:spacing w:after="0" w:line="213" w:lineRule="exact"/>
        <w:rPr>
          <w:rFonts w:ascii="Arial" w:cs="Arial" w:eastAsia="Arial" w:hAnsi="Arial"/>
          <w:sz w:val="19"/>
          <w:szCs w:val="19"/>
          <w:color w:val="auto"/>
        </w:rPr>
      </w:pPr>
    </w:p>
    <w:p>
      <w:pPr>
        <w:ind w:left="-1120" w:right="200" w:firstLine="1304"/>
        <w:spacing w:after="0" w:line="257" w:lineRule="auto"/>
        <w:tabs>
          <w:tab w:leader="none" w:pos="6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not constituted either a “distributing corporation” or a “controlled corporation” in a distribution of stock intended to qualify for tax free treatment under Section 355 of the Code (i) in the two (2) years prior to the date of this Agreement or (ii) in a distribution that could otherwise constitute part of a “plan” or “series of related transactions” (within the meaning of Section 355(e) of the Code) that includes the transactions contemplated by this Agreement.</w:t>
      </w:r>
    </w:p>
    <w:p>
      <w:pPr>
        <w:spacing w:after="0" w:line="144" w:lineRule="exact"/>
        <w:rPr>
          <w:rFonts w:ascii="Arial" w:cs="Arial" w:eastAsia="Arial" w:hAnsi="Arial"/>
          <w:sz w:val="19"/>
          <w:szCs w:val="19"/>
          <w:color w:val="auto"/>
        </w:rPr>
      </w:pPr>
    </w:p>
    <w:p>
      <w:pPr>
        <w:jc w:val="both"/>
        <w:ind w:left="-1120" w:firstLine="1304"/>
        <w:spacing w:after="0" w:line="257" w:lineRule="auto"/>
        <w:tabs>
          <w:tab w:leader="none" w:pos="592"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is and has at all times been resident for Tax purposes in the United States only and is not and has not at any time been treated as resident in any other country for any Tax purpose (including any convention or arrangement for the avoidance of double taxation). The Company is not subject to Tax in any jurisdiction other than the United States, whether by virtue of having a permanent establishment, place of business, or source of income in that jurisdiction.</w:t>
      </w:r>
    </w:p>
    <w:p>
      <w:pPr>
        <w:sectPr>
          <w:pgSz w:w="11900" w:h="16838" w:orient="portrait"/>
          <w:cols w:equalWidth="0" w:num="1">
            <w:col w:w="10100"/>
          </w:cols>
          <w:pgMar w:left="1440" w:top="1440" w:right="359" w:bottom="1440" w:gutter="0" w:footer="0" w:header="0"/>
        </w:sectPr>
      </w:pPr>
    </w:p>
    <w:bookmarkStart w:id="84" w:name="page85"/>
    <w:bookmarkEnd w:id="84"/>
    <w:p>
      <w:pPr>
        <w:spacing w:after="0" w:line="177" w:lineRule="exact"/>
        <w:rPr>
          <w:sz w:val="20"/>
          <w:szCs w:val="20"/>
          <w:color w:val="auto"/>
        </w:rPr>
      </w:pPr>
    </w:p>
    <w:p>
      <w:pPr>
        <w:ind w:right="20" w:firstLine="1304"/>
        <w:spacing w:after="0" w:line="220" w:lineRule="auto"/>
        <w:tabs>
          <w:tab w:leader="none" w:pos="18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will not be required to include any income or gain or exclude any deduction or loss from taxable income in any taxable period (or portion thereof) ending after the Closing Date as a result of any (A) change in method of accounting or use of an impermissible method of accounting under Section 481 of the Code, (B) closing agreement under Section 7121 of the Code, (C) deferred intercompany gain or excess loss account under Treasury Regulations under Section 1502 of the Code, (D) election under Section 108(i) of the Code (or, with respect to each of items (A), (B), (C) or (D), under any similar provision of Applicable Law), (E) any transaction accounted for under the installment method, long-term contract method, cash method, or open transaction method of accounting, or (F) receipt of a prepaid amount / prepaid amounts or other income or advance payment eligible for deferral under Code or Treasury Regulations promulgated thereunder, including without limitation, Code Section 451, 455, 456, and 460, Treas. Reg. 1.451-8 and Revenue Procedure 2004-34, received on or before the Closing Date.</w:t>
      </w:r>
    </w:p>
    <w:p>
      <w:pPr>
        <w:spacing w:after="0" w:line="162" w:lineRule="exact"/>
        <w:rPr>
          <w:rFonts w:ascii="Arial" w:cs="Arial" w:eastAsia="Arial" w:hAnsi="Arial"/>
          <w:sz w:val="21"/>
          <w:szCs w:val="21"/>
          <w:color w:val="auto"/>
        </w:rPr>
      </w:pPr>
    </w:p>
    <w:p>
      <w:pPr>
        <w:ind w:right="480" w:firstLine="1304"/>
        <w:spacing w:after="0" w:line="232" w:lineRule="auto"/>
        <w:tabs>
          <w:tab w:leader="none" w:pos="1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does not own any interest in any entity, or is party to any arrangement, that is treated as a partnership for U.S. federal income tax purposes.</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Except as set forth on Schedule 3.15(o), the Company uses the accrual method of accounting for income Tax</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161" w:lineRule="exact"/>
        <w:rPr>
          <w:rFonts w:ascii="Arial" w:cs="Arial" w:eastAsia="Arial" w:hAnsi="Arial"/>
          <w:sz w:val="19"/>
          <w:szCs w:val="19"/>
          <w:color w:val="auto"/>
        </w:rPr>
      </w:pPr>
    </w:p>
    <w:p>
      <w:pPr>
        <w:ind w:right="500" w:firstLine="1304"/>
        <w:spacing w:after="0" w:line="232" w:lineRule="auto"/>
        <w:tabs>
          <w:tab w:leader="none" w:pos="1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has properly collected and remitted all material sales and similar Taxes and is in material compliance with any requirements under applicable Law with respect to sales Taxes.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Environmental, Health, and Safety Matters</w:t>
      </w:r>
      <w:r>
        <w:rPr>
          <w:rFonts w:ascii="Arial" w:cs="Arial" w:eastAsia="Arial" w:hAnsi="Arial"/>
          <w:sz w:val="19"/>
          <w:szCs w:val="19"/>
          <w:color w:val="auto"/>
        </w:rPr>
        <w:t>.</w:t>
      </w:r>
    </w:p>
    <w:p>
      <w:pPr>
        <w:spacing w:after="0" w:line="179" w:lineRule="exact"/>
        <w:rPr>
          <w:sz w:val="20"/>
          <w:szCs w:val="20"/>
          <w:color w:val="auto"/>
        </w:rPr>
      </w:pPr>
    </w:p>
    <w:p>
      <w:pPr>
        <w:jc w:val="both"/>
        <w:ind w:right="100" w:firstLine="1304"/>
        <w:spacing w:after="0" w:line="257" w:lineRule="auto"/>
        <w:tabs>
          <w:tab w:leader="none" w:pos="1748"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is, and since its formation has been, in compliance with all applicable Environmental, Health, and Safety Requirements and has obtained and is in compliance with all environmental Permits necessary for the operation of its business. There are no written claims (or, to the Knowledge of the Company, no oral claims) alleging violation of or liability pursuant to any Environmental, Health, and Safety Requirements pending or threatened against the Company.</w:t>
      </w:r>
    </w:p>
    <w:p>
      <w:pPr>
        <w:spacing w:after="0" w:line="144" w:lineRule="exact"/>
        <w:rPr>
          <w:rFonts w:ascii="Arial" w:cs="Arial" w:eastAsia="Arial" w:hAnsi="Arial"/>
          <w:sz w:val="19"/>
          <w:szCs w:val="19"/>
          <w:color w:val="auto"/>
        </w:rPr>
      </w:pPr>
    </w:p>
    <w:p>
      <w:pPr>
        <w:jc w:val="both"/>
        <w:ind w:right="20" w:firstLine="1304"/>
        <w:spacing w:after="0" w:line="268" w:lineRule="auto"/>
        <w:tabs>
          <w:tab w:leader="none" w:pos="17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representations and warranties contained in this Section 3.16 are the only representations and warranties being made with respect to compliance with or liability under Environmental, Health, and Safety Requirements or with respect to any environmental, health or safety matter, including natural resources, related to the Company.</w:t>
      </w:r>
    </w:p>
    <w:p>
      <w:pPr>
        <w:spacing w:after="0" w:line="126" w:lineRule="exact"/>
        <w:rPr>
          <w:rFonts w:ascii="Arial" w:cs="Arial" w:eastAsia="Arial" w:hAnsi="Arial"/>
          <w:sz w:val="19"/>
          <w:szCs w:val="19"/>
          <w:color w:val="auto"/>
        </w:rPr>
      </w:pPr>
    </w:p>
    <w:p>
      <w:pPr>
        <w:ind w:firstLine="1304"/>
        <w:spacing w:after="0" w:line="248" w:lineRule="auto"/>
        <w:tabs>
          <w:tab w:leader="none" w:pos="1752" w:val="left"/>
        </w:tabs>
        <w:numPr>
          <w:ilvl w:val="0"/>
          <w:numId w:val="52"/>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Environmental, Health, and Safety Requirements</w:t>
      </w:r>
      <w:r>
        <w:rPr>
          <w:rFonts w:ascii="Arial" w:cs="Arial" w:eastAsia="Arial" w:hAnsi="Arial"/>
          <w:sz w:val="19"/>
          <w:szCs w:val="19"/>
          <w:color w:val="auto"/>
        </w:rPr>
        <w:t>” means all applicable Laws and all binding orders issued by Governmental Authorities concerning public health and safety, worker and occupational health and safety, hazardous substances, and pollution or protection of the environment, including those relating to the presence, use, production, generation, handling, transportation, treatment, storage, disposal, distribution, labeling, testing, processing, discharge, release, threatened release, control, or cleanup of any Hazardous Substances, materials, or wastes, chemical substances, or mixtures, pesticides, pollutants, contaminants, toxic chemicals, petroleum products or byproducts, fuel oil products and byproducts, mold, asbestos, polychlorinated biphenyls, noise, or radiation.</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179" w:lineRule="exact"/>
        <w:rPr>
          <w:sz w:val="20"/>
          <w:szCs w:val="20"/>
          <w:color w:val="auto"/>
        </w:rPr>
      </w:pPr>
    </w:p>
    <w:p>
      <w:pPr>
        <w:ind w:right="20" w:firstLine="1304"/>
        <w:spacing w:after="0" w:line="298" w:lineRule="auto"/>
        <w:tabs>
          <w:tab w:leader="none" w:pos="175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Schedule 3.17</w:t>
      </w:r>
      <w:r>
        <w:rPr>
          <w:rFonts w:ascii="Arial" w:cs="Arial" w:eastAsia="Arial" w:hAnsi="Arial"/>
          <w:sz w:val="19"/>
          <w:szCs w:val="19"/>
          <w:color w:val="auto"/>
        </w:rPr>
        <w:t xml:space="preserve"> of the Disclosure Schedules lists each of the following written contracts and agreements of the Company (such contracts and agreements as described in this Section 3.17(a) being “</w:t>
      </w:r>
      <w:r>
        <w:rPr>
          <w:rFonts w:ascii="Arial" w:cs="Arial" w:eastAsia="Arial" w:hAnsi="Arial"/>
          <w:sz w:val="19"/>
          <w:szCs w:val="19"/>
          <w:b w:val="1"/>
          <w:bCs w:val="1"/>
          <w:color w:val="auto"/>
        </w:rPr>
        <w:t>Material Contracts</w:t>
      </w:r>
      <w:r>
        <w:rPr>
          <w:rFonts w:ascii="Arial" w:cs="Arial" w:eastAsia="Arial" w:hAnsi="Arial"/>
          <w:sz w:val="19"/>
          <w:szCs w:val="19"/>
          <w:color w:val="auto"/>
        </w:rPr>
        <w:t>”):</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77" w:lineRule="exact"/>
        <w:rPr>
          <w:sz w:val="20"/>
          <w:szCs w:val="20"/>
          <w:color w:val="auto"/>
        </w:rPr>
      </w:pPr>
    </w:p>
    <w:p>
      <w:pPr>
        <w:ind w:firstLine="1292"/>
        <w:spacing w:after="0" w:line="247" w:lineRule="auto"/>
        <w:tabs>
          <w:tab w:leader="none" w:pos="1716"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contracts (including purchase orders between customers and Company) that provide for receipt by the Company of more than $25,000 per year, including any such contracts with customers or clients;</w:t>
      </w:r>
    </w:p>
    <w:p>
      <w:pPr>
        <w:spacing w:after="0" w:line="150" w:lineRule="exact"/>
        <w:rPr>
          <w:rFonts w:ascii="Arial" w:cs="Arial" w:eastAsia="Arial" w:hAnsi="Arial"/>
          <w:sz w:val="21"/>
          <w:szCs w:val="21"/>
          <w:color w:val="010000"/>
        </w:rPr>
      </w:pPr>
    </w:p>
    <w:p>
      <w:pPr>
        <w:ind w:right="680" w:firstLine="1292"/>
        <w:spacing w:after="0" w:line="298" w:lineRule="auto"/>
        <w:tabs>
          <w:tab w:leader="none" w:pos="1776"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contracts (including any purchase orders between vendors and the Company) that provide for payment by the Company of more than $25,000 per year, including any such contracts with vendors;</w:t>
      </w:r>
    </w:p>
    <w:p>
      <w:pPr>
        <w:spacing w:after="0" w:line="105" w:lineRule="exact"/>
        <w:rPr>
          <w:rFonts w:ascii="Arial" w:cs="Arial" w:eastAsia="Arial" w:hAnsi="Arial"/>
          <w:sz w:val="19"/>
          <w:szCs w:val="19"/>
          <w:color w:val="010000"/>
        </w:rPr>
      </w:pPr>
    </w:p>
    <w:p>
      <w:pPr>
        <w:ind w:left="1840" w:hanging="548"/>
        <w:spacing w:after="0"/>
        <w:tabs>
          <w:tab w:leader="none" w:pos="184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contracts relating to Indebtedness;</w:t>
      </w:r>
    </w:p>
    <w:p>
      <w:pPr>
        <w:spacing w:after="0" w:line="179" w:lineRule="exact"/>
        <w:rPr>
          <w:rFonts w:ascii="Arial" w:cs="Arial" w:eastAsia="Arial" w:hAnsi="Arial"/>
          <w:sz w:val="22"/>
          <w:szCs w:val="22"/>
          <w:color w:val="010000"/>
        </w:rPr>
      </w:pPr>
    </w:p>
    <w:p>
      <w:pPr>
        <w:ind w:right="420" w:firstLine="1292"/>
        <w:spacing w:after="0" w:line="223" w:lineRule="auto"/>
        <w:tabs>
          <w:tab w:leader="none" w:pos="1824"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contracts that (A) limit or purport to limit the ability of the Company to compete in any line of business or with any Person or in any geographic area or during any period of time or (B) restrict the use, ownership, operation, or alienability of any of the Company’s assets;</w:t>
      </w:r>
    </w:p>
    <w:p>
      <w:pPr>
        <w:spacing w:after="0" w:line="158" w:lineRule="exact"/>
        <w:rPr>
          <w:rFonts w:ascii="Arial" w:cs="Arial" w:eastAsia="Arial" w:hAnsi="Arial"/>
          <w:sz w:val="22"/>
          <w:szCs w:val="22"/>
          <w:color w:val="010000"/>
        </w:rPr>
      </w:pPr>
    </w:p>
    <w:p>
      <w:pPr>
        <w:ind w:left="1760" w:hanging="468"/>
        <w:spacing w:after="0"/>
        <w:tabs>
          <w:tab w:leader="none" w:pos="176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joint venture, partnership or similar agreements or arrangements;</w:t>
      </w:r>
    </w:p>
    <w:p>
      <w:pPr>
        <w:spacing w:after="0" w:line="179" w:lineRule="exact"/>
        <w:rPr>
          <w:rFonts w:ascii="Arial" w:cs="Arial" w:eastAsia="Arial" w:hAnsi="Arial"/>
          <w:sz w:val="22"/>
          <w:szCs w:val="22"/>
          <w:color w:val="010000"/>
        </w:rPr>
      </w:pPr>
    </w:p>
    <w:p>
      <w:pPr>
        <w:ind w:left="1820" w:hanging="528"/>
        <w:spacing w:after="0"/>
        <w:tabs>
          <w:tab w:leader="none" w:pos="182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contracts for the employment of any current employee;</w:t>
      </w:r>
    </w:p>
    <w:p>
      <w:pPr>
        <w:spacing w:after="0" w:line="179" w:lineRule="exact"/>
        <w:rPr>
          <w:rFonts w:ascii="Arial" w:cs="Arial" w:eastAsia="Arial" w:hAnsi="Arial"/>
          <w:sz w:val="22"/>
          <w:szCs w:val="22"/>
          <w:color w:val="010000"/>
        </w:rPr>
      </w:pPr>
    </w:p>
    <w:p>
      <w:pPr>
        <w:ind w:right="380" w:firstLine="1292"/>
        <w:spacing w:after="0" w:line="232" w:lineRule="auto"/>
        <w:tabs>
          <w:tab w:leader="none" w:pos="1884"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written bonus, pension, profit sharing, retirement or other form of deferred compensation plans, other than as described in Schedule 3.10 or the related Disclosure Schedule;</w:t>
      </w:r>
    </w:p>
    <w:p>
      <w:pPr>
        <w:spacing w:after="0" w:line="158" w:lineRule="exact"/>
        <w:rPr>
          <w:rFonts w:ascii="Arial" w:cs="Arial" w:eastAsia="Arial" w:hAnsi="Arial"/>
          <w:sz w:val="22"/>
          <w:szCs w:val="22"/>
          <w:color w:val="010000"/>
        </w:rPr>
      </w:pPr>
    </w:p>
    <w:p>
      <w:pPr>
        <w:ind w:left="1940" w:hanging="648"/>
        <w:spacing w:after="0"/>
        <w:tabs>
          <w:tab w:leader="none" w:pos="1940"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contracts under which the Company leases equipment or other tangible property with a value in</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excess of $10,000;</w:t>
      </w:r>
    </w:p>
    <w:p>
      <w:pPr>
        <w:spacing w:after="0" w:line="161" w:lineRule="exact"/>
        <w:rPr>
          <w:rFonts w:ascii="Arial" w:cs="Arial" w:eastAsia="Arial" w:hAnsi="Arial"/>
          <w:sz w:val="19"/>
          <w:szCs w:val="19"/>
          <w:color w:val="010000"/>
        </w:rPr>
      </w:pPr>
    </w:p>
    <w:p>
      <w:pPr>
        <w:ind w:left="1820" w:hanging="528"/>
        <w:spacing w:after="0"/>
        <w:tabs>
          <w:tab w:leader="none" w:pos="1820"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contracts under which the Company is lessor of or permits any third party to hold or operate any real</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or tangible property;</w:t>
      </w:r>
    </w:p>
    <w:p>
      <w:pPr>
        <w:spacing w:after="0" w:line="161" w:lineRule="exact"/>
        <w:rPr>
          <w:rFonts w:ascii="Arial" w:cs="Arial" w:eastAsia="Arial" w:hAnsi="Arial"/>
          <w:sz w:val="19"/>
          <w:szCs w:val="19"/>
          <w:color w:val="010000"/>
        </w:rPr>
      </w:pPr>
    </w:p>
    <w:p>
      <w:pPr>
        <w:ind w:left="1760" w:hanging="468"/>
        <w:spacing w:after="0"/>
        <w:tabs>
          <w:tab w:leader="none" w:pos="1760"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the In-Licenses listed on Schedule 3.14(c) and the Out-Licenses listed on Schedule 3.14(d);</w:t>
      </w:r>
    </w:p>
    <w:p>
      <w:pPr>
        <w:spacing w:after="0" w:line="190" w:lineRule="exact"/>
        <w:rPr>
          <w:rFonts w:ascii="Arial" w:cs="Arial" w:eastAsia="Arial" w:hAnsi="Arial"/>
          <w:sz w:val="21"/>
          <w:szCs w:val="21"/>
          <w:color w:val="010000"/>
        </w:rPr>
      </w:pPr>
    </w:p>
    <w:p>
      <w:pPr>
        <w:ind w:right="420" w:firstLine="1292"/>
        <w:spacing w:after="0" w:line="232" w:lineRule="auto"/>
        <w:tabs>
          <w:tab w:leader="none" w:pos="1824"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all agreements relating to settlement of any Action pursuant to which the Company is subject to ongoing or unfulfilled obligations;</w:t>
      </w:r>
    </w:p>
    <w:p>
      <w:pPr>
        <w:spacing w:after="0" w:line="158" w:lineRule="exact"/>
        <w:rPr>
          <w:rFonts w:ascii="Arial" w:cs="Arial" w:eastAsia="Arial" w:hAnsi="Arial"/>
          <w:sz w:val="22"/>
          <w:szCs w:val="22"/>
          <w:color w:val="010000"/>
        </w:rPr>
      </w:pPr>
    </w:p>
    <w:p>
      <w:pPr>
        <w:ind w:right="480" w:firstLine="1292"/>
        <w:spacing w:after="0" w:line="232" w:lineRule="auto"/>
        <w:tabs>
          <w:tab w:leader="none" w:pos="1884"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any agreement or commitment by the Company to make a capital expenditure or to purchase a capital asset requiring payments in excess of $50,000;</w:t>
      </w:r>
    </w:p>
    <w:p>
      <w:pPr>
        <w:spacing w:after="0" w:line="158" w:lineRule="exact"/>
        <w:rPr>
          <w:rFonts w:ascii="Arial" w:cs="Arial" w:eastAsia="Arial" w:hAnsi="Arial"/>
          <w:sz w:val="22"/>
          <w:szCs w:val="22"/>
          <w:color w:val="010000"/>
        </w:rPr>
      </w:pPr>
    </w:p>
    <w:p>
      <w:pPr>
        <w:ind w:left="1940" w:hanging="648"/>
        <w:spacing w:after="0"/>
        <w:tabs>
          <w:tab w:leader="none" w:pos="194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any Government Contract involving payments or receipts in excess of $100,000;</w:t>
      </w:r>
    </w:p>
    <w:p>
      <w:pPr>
        <w:spacing w:after="0" w:line="179" w:lineRule="exact"/>
        <w:rPr>
          <w:rFonts w:ascii="Arial" w:cs="Arial" w:eastAsia="Arial" w:hAnsi="Arial"/>
          <w:sz w:val="22"/>
          <w:szCs w:val="22"/>
          <w:color w:val="010000"/>
        </w:rPr>
      </w:pPr>
    </w:p>
    <w:p>
      <w:pPr>
        <w:ind w:left="1920" w:hanging="628"/>
        <w:spacing w:after="0"/>
        <w:tabs>
          <w:tab w:leader="none" w:pos="192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any collective bargaining agreement or agreement with any labor union;</w:t>
      </w:r>
    </w:p>
    <w:p>
      <w:pPr>
        <w:spacing w:after="0" w:line="179" w:lineRule="exact"/>
        <w:rPr>
          <w:rFonts w:ascii="Arial" w:cs="Arial" w:eastAsia="Arial" w:hAnsi="Arial"/>
          <w:sz w:val="22"/>
          <w:szCs w:val="22"/>
          <w:color w:val="010000"/>
        </w:rPr>
      </w:pPr>
    </w:p>
    <w:p>
      <w:pPr>
        <w:ind w:right="60" w:firstLine="1292"/>
        <w:spacing w:after="0" w:line="223" w:lineRule="auto"/>
        <w:tabs>
          <w:tab w:leader="none" w:pos="1872"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any agreement providing for a grant by the Company of any dealing, marketing, co-promotion, agency or sales representative relationship, franchising consignment or distribution right, or any similar provision, to any third party;</w:t>
      </w:r>
    </w:p>
    <w:p>
      <w:pPr>
        <w:spacing w:after="0" w:line="158" w:lineRule="exact"/>
        <w:rPr>
          <w:rFonts w:ascii="Arial" w:cs="Arial" w:eastAsia="Arial" w:hAnsi="Arial"/>
          <w:sz w:val="22"/>
          <w:szCs w:val="22"/>
          <w:color w:val="010000"/>
        </w:rPr>
      </w:pPr>
    </w:p>
    <w:p>
      <w:pPr>
        <w:ind w:right="260" w:firstLine="1292"/>
        <w:spacing w:after="0" w:line="298" w:lineRule="auto"/>
        <w:tabs>
          <w:tab w:leader="none" w:pos="1932"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contracts that relate to the future disposition or acquisition of material assets or properties by the Company, or any merger or business combination with respect to the Company (other than this Agreement);</w:t>
      </w:r>
    </w:p>
    <w:p>
      <w:pPr>
        <w:spacing w:after="0" w:line="105" w:lineRule="exact"/>
        <w:rPr>
          <w:rFonts w:ascii="Arial" w:cs="Arial" w:eastAsia="Arial" w:hAnsi="Arial"/>
          <w:sz w:val="19"/>
          <w:szCs w:val="19"/>
          <w:color w:val="010000"/>
        </w:rPr>
      </w:pPr>
    </w:p>
    <w:p>
      <w:pPr>
        <w:ind w:right="140" w:firstLine="1292"/>
        <w:spacing w:after="0" w:line="232" w:lineRule="auto"/>
        <w:tabs>
          <w:tab w:leader="none" w:pos="1992"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retention agreements or other contracts providing for change in control benefits, in each case that may or will become due as a result of the Merger; and</w:t>
      </w:r>
    </w:p>
    <w:p>
      <w:pPr>
        <w:sectPr>
          <w:pgSz w:w="11900" w:h="16838" w:orient="portrait"/>
          <w:cols w:equalWidth="0" w:num="1">
            <w:col w:w="10520"/>
          </w:cols>
          <w:pgMar w:left="980" w:top="1440" w:right="399" w:bottom="1440" w:gutter="0" w:footer="0" w:header="0"/>
        </w:sectPr>
      </w:pPr>
    </w:p>
    <w:bookmarkStart w:id="86" w:name="page87"/>
    <w:bookmarkEnd w:id="86"/>
    <w:p>
      <w:pPr>
        <w:spacing w:after="0" w:line="177" w:lineRule="exact"/>
        <w:rPr>
          <w:sz w:val="20"/>
          <w:szCs w:val="20"/>
          <w:color w:val="auto"/>
        </w:rPr>
      </w:pPr>
    </w:p>
    <w:p>
      <w:pPr>
        <w:ind w:left="2700" w:hanging="748"/>
        <w:spacing w:after="0"/>
        <w:tabs>
          <w:tab w:leader="none" w:pos="2700" w:val="left"/>
        </w:tabs>
        <w:numPr>
          <w:ilvl w:val="2"/>
          <w:numId w:val="55"/>
        </w:numPr>
        <w:rPr>
          <w:rFonts w:ascii="Arial" w:cs="Arial" w:eastAsia="Arial" w:hAnsi="Arial"/>
          <w:sz w:val="19"/>
          <w:szCs w:val="19"/>
          <w:color w:val="010000"/>
        </w:rPr>
      </w:pPr>
      <w:r>
        <w:rPr>
          <w:rFonts w:ascii="Arial" w:cs="Arial" w:eastAsia="Arial" w:hAnsi="Arial"/>
          <w:sz w:val="19"/>
          <w:szCs w:val="19"/>
          <w:color w:val="auto"/>
        </w:rPr>
        <w:t>contracts with any Stockholder or Affiliate of the Company (except for any contracts relating to</w:t>
      </w:r>
    </w:p>
    <w:p>
      <w:pPr>
        <w:spacing w:after="0" w:line="15" w:lineRule="exact"/>
        <w:rPr>
          <w:rFonts w:ascii="Arial" w:cs="Arial" w:eastAsia="Arial" w:hAnsi="Arial"/>
          <w:sz w:val="19"/>
          <w:szCs w:val="19"/>
          <w:color w:val="010000"/>
        </w:rPr>
      </w:pPr>
    </w:p>
    <w:p>
      <w:pPr>
        <w:ind w:left="1000" w:hanging="344"/>
        <w:spacing w:after="0" w:line="237" w:lineRule="auto"/>
        <w:tabs>
          <w:tab w:leader="none" w:pos="10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normal compensation or welfare benefits provided for services as an officer, director, or employee of the Company or</w:t>
      </w:r>
    </w:p>
    <w:p>
      <w:pPr>
        <w:ind w:left="1000" w:hanging="344"/>
        <w:spacing w:after="0"/>
        <w:tabs>
          <w:tab w:leader="none" w:pos="10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Company’s equity securities (other than with respect to equity incentive compensation for employment).</w:t>
      </w:r>
    </w:p>
    <w:p>
      <w:pPr>
        <w:spacing w:after="0" w:line="172" w:lineRule="exact"/>
        <w:rPr>
          <w:rFonts w:ascii="Arial" w:cs="Arial" w:eastAsia="Arial" w:hAnsi="Arial"/>
          <w:sz w:val="21"/>
          <w:szCs w:val="21"/>
          <w:color w:val="auto"/>
        </w:rPr>
      </w:pPr>
    </w:p>
    <w:p>
      <w:pPr>
        <w:ind w:left="1760" w:hanging="456"/>
        <w:spacing w:after="0"/>
        <w:tabs>
          <w:tab w:leader="none" w:pos="176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Company has provided or made available to Buyer complete and accurate copies of each Material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Contract.</w:t>
      </w:r>
    </w:p>
    <w:p>
      <w:pPr>
        <w:spacing w:after="0" w:line="161" w:lineRule="exact"/>
        <w:rPr>
          <w:rFonts w:ascii="Arial" w:cs="Arial" w:eastAsia="Arial" w:hAnsi="Arial"/>
          <w:sz w:val="19"/>
          <w:szCs w:val="19"/>
          <w:color w:val="auto"/>
        </w:rPr>
      </w:pPr>
    </w:p>
    <w:p>
      <w:pPr>
        <w:ind w:right="40" w:firstLine="1304"/>
        <w:spacing w:after="0" w:line="221" w:lineRule="auto"/>
        <w:tabs>
          <w:tab w:leader="none" w:pos="1752" w:val="left"/>
        </w:tabs>
        <w:numPr>
          <w:ilvl w:val="1"/>
          <w:numId w:val="56"/>
        </w:numPr>
        <w:rPr>
          <w:rFonts w:ascii="Arial" w:cs="Arial" w:eastAsia="Arial" w:hAnsi="Arial"/>
          <w:sz w:val="21"/>
          <w:szCs w:val="21"/>
          <w:color w:val="auto"/>
        </w:rPr>
      </w:pPr>
      <w:r>
        <w:rPr>
          <w:rFonts w:ascii="Arial" w:cs="Arial" w:eastAsia="Arial" w:hAnsi="Arial"/>
          <w:sz w:val="21"/>
          <w:szCs w:val="21"/>
          <w:color w:val="auto"/>
        </w:rPr>
        <w:t>Except as set forth on Schedule 3.17(c), (i) neither the Company nor, to the Knowledge of the Company, any other party thereto is in breach of any Material Contract, (ii) the Company has not given notice of termination or non-renewal with respect to any Material Contract and no other party thereto has given notice of termination or non-renewal (excluding, in each case, any non-renewals occurring without notice in accordance with the terms of the underlying Material Contract), (iii) to the Knowledge of the Company, no event has occurred or circumstance exists that, individually or in the aggregate, would give any other party thereto the right to accelerate the Company’s obligations or to terminate any Material Contract, and (iv) each Material Contract is a legal, valid, binding and enforceable agreement, is in full force and effect, and will continue to be in full force and effect on identical terms as of the Effective Time (except as such enforceability may be limited by the Enforceability Exceptions).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Government Contracts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14" w:lineRule="auto"/>
        <w:tabs>
          <w:tab w:leader="none" w:pos="17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representations and certifications executed, acknowledged or set forth in or pertaining to each Government Contract were current, accurate and complete in all material respects as of their effective date. No termination for default or cure notice or show cause notice under the Federal Acquisition Regulation has been issued in writing and remains unresolved (and is currently in effect as of the date of this Agreement) pertaining to any Government Contract or claim or request for equitable adjustment by the Company by any Governmental Authority or prime contractor or subcontractor to a Governmental Authority, except as set forth in Schedule 3.18.</w:t>
      </w:r>
    </w:p>
    <w:p>
      <w:pPr>
        <w:spacing w:after="0" w:line="158" w:lineRule="exact"/>
        <w:rPr>
          <w:rFonts w:ascii="Arial" w:cs="Arial" w:eastAsia="Arial" w:hAnsi="Arial"/>
          <w:sz w:val="22"/>
          <w:szCs w:val="22"/>
          <w:color w:val="auto"/>
        </w:rPr>
      </w:pPr>
    </w:p>
    <w:p>
      <w:pPr>
        <w:ind w:right="140" w:firstLine="1304"/>
        <w:spacing w:after="0" w:line="257" w:lineRule="auto"/>
        <w:tabs>
          <w:tab w:leader="none" w:pos="1764"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Excluding routine indirect rate audits and other routine Defense Contract Audit Agency audits (in which no material irregularities, material misstatements or material omissions were identified), since January 1, 2019, there has not been any audit, inspection, survey or examination of records by a Governmental Authority of the Company with respect to any material irregularity, material misstatement or material omission arising under or relating to any of its Government Contracts.</w:t>
      </w:r>
    </w:p>
    <w:p>
      <w:pPr>
        <w:spacing w:after="0" w:line="144" w:lineRule="exact"/>
        <w:rPr>
          <w:rFonts w:ascii="Arial" w:cs="Arial" w:eastAsia="Arial" w:hAnsi="Arial"/>
          <w:sz w:val="19"/>
          <w:szCs w:val="19"/>
          <w:color w:val="auto"/>
        </w:rPr>
      </w:pPr>
    </w:p>
    <w:p>
      <w:pPr>
        <w:ind w:right="60" w:firstLine="1304"/>
        <w:spacing w:after="0" w:line="249" w:lineRule="auto"/>
        <w:tabs>
          <w:tab w:leader="none" w:pos="174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To the Company’s Knowledge, none of the Company, nor any of its respective officers, directors or employees, has been or is under indictment, or civil, administrative or criminal investigation involving a Government Contract, including but not limited to any allegations of defective performance or work product, mischarging, factual misstatement, failure to act or other material omission or alleged irregularity. The Company has not entered into any consent order or administrative agreement relating directly or indirectly to any Government Contract. No consent order or administrative agreement relating directly or indirectly to any Government Contract is currently in effect with respect to the Company.</w:t>
      </w:r>
    </w:p>
    <w:p>
      <w:pPr>
        <w:spacing w:after="0" w:line="152" w:lineRule="exact"/>
        <w:rPr>
          <w:sz w:val="20"/>
          <w:szCs w:val="20"/>
          <w:color w:val="auto"/>
        </w:rPr>
      </w:pPr>
    </w:p>
    <w:p>
      <w:pPr>
        <w:ind w:right="180" w:firstLine="648"/>
        <w:spacing w:after="0" w:line="218"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Brokers</w:t>
      </w:r>
      <w:r>
        <w:rPr>
          <w:rFonts w:ascii="Arial" w:cs="Arial" w:eastAsia="Arial" w:hAnsi="Arial"/>
          <w:sz w:val="22"/>
          <w:szCs w:val="22"/>
          <w:color w:val="auto"/>
        </w:rPr>
        <w:t>. Except for Bank of America Securities LLC, the fees, commissions and expenses of which will constitute Transaction Expenses and be paid at Closing, no broker, finder or investment banker is entitled to any brokerage, finder’s or other fee or commission in connection with the transactions contemplated hereby based upon arrangements made by or on behalf of the Company.</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77" w:lineRule="exact"/>
        <w:rPr>
          <w:sz w:val="20"/>
          <w:szCs w:val="20"/>
          <w:color w:val="auto"/>
        </w:rPr>
      </w:pPr>
    </w:p>
    <w:p>
      <w:pPr>
        <w:ind w:right="240" w:firstLine="648"/>
        <w:spacing w:after="0" w:line="224" w:lineRule="auto"/>
        <w:rPr>
          <w:sz w:val="20"/>
          <w:szCs w:val="20"/>
          <w:color w:val="auto"/>
        </w:rPr>
      </w:pPr>
      <w:r>
        <w:rPr>
          <w:rFonts w:ascii="Arial" w:cs="Arial" w:eastAsia="Arial" w:hAnsi="Arial"/>
          <w:sz w:val="21"/>
          <w:szCs w:val="21"/>
          <w:color w:val="auto"/>
        </w:rPr>
        <w:t xml:space="preserve">Section 3.20 </w:t>
      </w:r>
      <w:r>
        <w:rPr>
          <w:rFonts w:ascii="Arial" w:cs="Arial" w:eastAsia="Arial" w:hAnsi="Arial"/>
          <w:sz w:val="21"/>
          <w:szCs w:val="21"/>
          <w:u w:val="single" w:color="auto"/>
          <w:color w:val="auto"/>
        </w:rPr>
        <w:t>Related Party Transactions</w:t>
      </w:r>
      <w:r>
        <w:rPr>
          <w:rFonts w:ascii="Arial" w:cs="Arial" w:eastAsia="Arial" w:hAnsi="Arial"/>
          <w:sz w:val="21"/>
          <w:szCs w:val="21"/>
          <w:color w:val="auto"/>
        </w:rPr>
        <w:t>. Except as set forth on Schedule 3.20 of the Disclosure Schedule, (a) the Stockholders have no material interest in any property used in the business of the Company or any material interest in any transaction with the Company and (b) there are no loans, leases or other agreements, or transactions between any of the Stockholders and the Company (or any Affiliate of the Company), except any contract relating to normal compensation or welfare benefits provided for services as an officer, director, or employee of the Company or any agreement with respect to the equity securities in the Company owned by Stockholders.</w:t>
      </w:r>
    </w:p>
    <w:p>
      <w:pPr>
        <w:spacing w:after="0" w:line="160"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Certain Payments</w:t>
      </w:r>
      <w:r>
        <w:rPr>
          <w:rFonts w:ascii="Arial" w:cs="Arial" w:eastAsia="Arial" w:hAnsi="Arial"/>
          <w:sz w:val="19"/>
          <w:szCs w:val="19"/>
          <w:color w:val="auto"/>
        </w:rPr>
        <w:t>. Since January 1, 2020, neither the Company nor, to the Knowledge of the Company, any of its respective directors, executives, employees, agents or representatives acting in such capacity on behalf of the Company,</w:t>
      </w:r>
    </w:p>
    <w:p>
      <w:pPr>
        <w:ind w:right="120" w:firstLine="8"/>
        <w:spacing w:after="0" w:line="237" w:lineRule="auto"/>
        <w:tabs>
          <w:tab w:leader="none" w:pos="258" w:val="left"/>
        </w:tabs>
        <w:numPr>
          <w:ilvl w:val="0"/>
          <w:numId w:val="58"/>
        </w:numPr>
        <w:rPr>
          <w:rFonts w:ascii="Arial" w:cs="Arial" w:eastAsia="Arial" w:hAnsi="Arial"/>
          <w:sz w:val="19"/>
          <w:szCs w:val="19"/>
          <w:color w:val="auto"/>
        </w:rPr>
      </w:pPr>
      <w:r>
        <w:rPr>
          <w:rFonts w:ascii="Arial" w:cs="Arial" w:eastAsia="Arial" w:hAnsi="Arial"/>
          <w:sz w:val="19"/>
          <w:szCs w:val="19"/>
          <w:color w:val="auto"/>
        </w:rPr>
        <w:t>has used any corporate funds for any illegal contributions, gifts, entertainment or other unlawful expenses relating to political activity, (ii) has used any corporate funds for any unlawful payments to any foreign or domestic governmental officials or employees or any employees of a foreign or domestic government-owned entity, (iii) has violated any provision of the Foreign Corrupt Practices Act of 1977 (the “</w:t>
      </w:r>
      <w:r>
        <w:rPr>
          <w:rFonts w:ascii="Arial" w:cs="Arial" w:eastAsia="Arial" w:hAnsi="Arial"/>
          <w:sz w:val="19"/>
          <w:szCs w:val="19"/>
          <w:b w:val="1"/>
          <w:bCs w:val="1"/>
          <w:color w:val="auto"/>
        </w:rPr>
        <w:t>Foreign Corrupt Practices Act</w:t>
      </w:r>
      <w:r>
        <w:rPr>
          <w:rFonts w:ascii="Arial" w:cs="Arial" w:eastAsia="Arial" w:hAnsi="Arial"/>
          <w:sz w:val="19"/>
          <w:szCs w:val="19"/>
          <w:color w:val="auto"/>
        </w:rPr>
        <w:t>”), (iv) has made, offered, authorized or promised any payment, rebate, payoff, influence payment, contribution, gift, bribe, rebate, kickback, or any other thing of value to any government official or employee, political party or official, or candidate, regardless of form, to obtain favorable treatment in obtaining or retaining business or to pay for favorable treatment already secured, in each case, in violation of applicable Law,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has made any bribe, unlawful rebate, payoff, influence payment, kickback or other similar unlawful payment of any nature.</w:t>
      </w:r>
    </w:p>
    <w:p>
      <w:pPr>
        <w:spacing w:after="0" w:line="177" w:lineRule="exact"/>
        <w:rPr>
          <w:sz w:val="20"/>
          <w:szCs w:val="20"/>
          <w:color w:val="auto"/>
        </w:rPr>
      </w:pPr>
    </w:p>
    <w:p>
      <w:pPr>
        <w:jc w:val="center"/>
        <w:ind w:right="100"/>
        <w:spacing w:after="0"/>
        <w:tabs>
          <w:tab w:leader="none" w:pos="200" w:val="left"/>
          <w:tab w:leader="none" w:pos="20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Schedule 3.22 sets forth an accurate and complete list of all tangible</w:t>
      </w:r>
    </w:p>
    <w:p>
      <w:pPr>
        <w:jc w:val="center"/>
        <w:ind w:right="80"/>
        <w:spacing w:after="0" w:line="237" w:lineRule="auto"/>
        <w:rPr>
          <w:sz w:val="20"/>
          <w:szCs w:val="20"/>
          <w:color w:val="auto"/>
        </w:rPr>
      </w:pPr>
      <w:r>
        <w:rPr>
          <w:rFonts w:ascii="Arial" w:cs="Arial" w:eastAsia="Arial" w:hAnsi="Arial"/>
          <w:sz w:val="19"/>
          <w:szCs w:val="19"/>
          <w:color w:val="auto"/>
        </w:rPr>
        <w:t>personal property with a net book value in excess of $50,000 (a) owned by the Company (the “</w:t>
      </w:r>
      <w:r>
        <w:rPr>
          <w:rFonts w:ascii="Arial" w:cs="Arial" w:eastAsia="Arial" w:hAnsi="Arial"/>
          <w:sz w:val="19"/>
          <w:szCs w:val="19"/>
          <w:b w:val="1"/>
          <w:bCs w:val="1"/>
          <w:color w:val="auto"/>
        </w:rPr>
        <w:t>Owned Personal Property</w:t>
      </w:r>
      <w:r>
        <w:rPr>
          <w:rFonts w:ascii="Arial" w:cs="Arial" w:eastAsia="Arial" w:hAnsi="Arial"/>
          <w:sz w:val="19"/>
          <w:szCs w:val="19"/>
          <w:color w:val="auto"/>
        </w:rPr>
        <w:t>”) and</w:t>
      </w:r>
    </w:p>
    <w:p>
      <w:pPr>
        <w:ind w:firstLine="8"/>
        <w:spacing w:after="0" w:line="243" w:lineRule="auto"/>
        <w:tabs>
          <w:tab w:leader="none" w:pos="306" w:val="left"/>
        </w:tabs>
        <w:numPr>
          <w:ilvl w:val="0"/>
          <w:numId w:val="60"/>
        </w:numPr>
        <w:rPr>
          <w:rFonts w:ascii="Arial" w:cs="Arial" w:eastAsia="Arial" w:hAnsi="Arial"/>
          <w:sz w:val="19"/>
          <w:szCs w:val="19"/>
          <w:color w:val="auto"/>
        </w:rPr>
      </w:pPr>
      <w:r>
        <w:rPr>
          <w:rFonts w:ascii="Arial" w:cs="Arial" w:eastAsia="Arial" w:hAnsi="Arial"/>
          <w:sz w:val="19"/>
          <w:szCs w:val="19"/>
          <w:color w:val="auto"/>
        </w:rPr>
        <w:t>leased by the Company (the “</w:t>
      </w:r>
      <w:r>
        <w:rPr>
          <w:rFonts w:ascii="Arial" w:cs="Arial" w:eastAsia="Arial" w:hAnsi="Arial"/>
          <w:sz w:val="19"/>
          <w:szCs w:val="19"/>
          <w:b w:val="1"/>
          <w:bCs w:val="1"/>
          <w:color w:val="auto"/>
        </w:rPr>
        <w:t>Leased Personal Property</w:t>
      </w:r>
      <w:r>
        <w:rPr>
          <w:rFonts w:ascii="Arial" w:cs="Arial" w:eastAsia="Arial" w:hAnsi="Arial"/>
          <w:sz w:val="19"/>
          <w:szCs w:val="19"/>
          <w:color w:val="auto"/>
        </w:rPr>
        <w:t>” and, together with the Owned Personal Property, the “</w:t>
      </w:r>
      <w:r>
        <w:rPr>
          <w:rFonts w:ascii="Arial" w:cs="Arial" w:eastAsia="Arial" w:hAnsi="Arial"/>
          <w:sz w:val="19"/>
          <w:szCs w:val="19"/>
          <w:b w:val="1"/>
          <w:bCs w:val="1"/>
          <w:color w:val="auto"/>
        </w:rPr>
        <w:t>Personal</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The Company has (i) good and valid title to all of the Owned Personal Property, free and clear of all Encumbrances</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Permitted Encumbrances and (ii) valid and enforceable leasehold interests in all of the Leased Personal Property, free and clear of all Encumbrances other than Permitted Encumbrances. To the Knowledge of the Company, the Personal Property, together with any immaterial personal property currently in each Company’s possession and to which it has good and valid title, constitutes all personal property reasonably necessary for the Company to operate the business of the Company, in all material respects, as presently conducted. Except as set forth on Schedule 3.22, the Personal Property is maintained by the Company, in all material respects, in good operating condition and repair, reasonable wear and tear excepted.</w:t>
      </w:r>
    </w:p>
    <w:p>
      <w:pPr>
        <w:spacing w:after="0" w:line="156" w:lineRule="exact"/>
        <w:rPr>
          <w:sz w:val="20"/>
          <w:szCs w:val="20"/>
          <w:color w:val="auto"/>
        </w:rPr>
      </w:pPr>
    </w:p>
    <w:p>
      <w:pPr>
        <w:ind w:right="80" w:firstLine="648"/>
        <w:spacing w:after="0" w:line="229"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u w:val="single" w:color="auto"/>
          <w:color w:val="auto"/>
        </w:rPr>
        <w:t>Product Quality</w:t>
      </w:r>
      <w:r>
        <w:rPr>
          <w:rFonts w:ascii="Arial" w:cs="Arial" w:eastAsia="Arial" w:hAnsi="Arial"/>
          <w:sz w:val="21"/>
          <w:szCs w:val="21"/>
          <w:color w:val="auto"/>
        </w:rPr>
        <w:t>. Each Product designed, manufactured, distributed, marketed, serviced, sold, leased, or delivered by the Company since January 1, 2017, has been designed, manufactured, distributed, marketed, serviced, sold, leased, or delivered in conformity, in all material respects, with all applicable contractual commitments (including express and implied warranties), corresponding written documentation, and the specifications therefor.</w:t>
      </w:r>
    </w:p>
    <w:p>
      <w:pPr>
        <w:spacing w:after="0" w:line="158"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u w:val="single" w:color="auto"/>
          <w:color w:val="auto"/>
        </w:rPr>
        <w:t>Section 3.24 Product Warranty</w:t>
      </w:r>
      <w:r>
        <w:rPr>
          <w:rFonts w:ascii="Arial" w:cs="Arial" w:eastAsia="Arial" w:hAnsi="Arial"/>
          <w:sz w:val="21"/>
          <w:szCs w:val="21"/>
          <w:color w:val="auto"/>
        </w:rPr>
        <w:t>. Since January 1, 2017, the Company has not received any warranty claims, contractual terminations, or requests for settlement or refund that have resulted in the Company paying (or having agreed to pay) in excess of $10,000 due to the failure of the Products to meet their specifications or contractual requirements or to comply with applicable Law (including export control regulations). The Company’s current warranty Liability does not exceed amounts expended by the Company for warranty claims consistent with historical practice.</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77"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9"/>
          <w:szCs w:val="19"/>
          <w:color w:val="auto"/>
        </w:rPr>
        <w:t xml:space="preserve">Section 3.25 </w:t>
      </w:r>
      <w:r>
        <w:rPr>
          <w:rFonts w:ascii="Arial" w:cs="Arial" w:eastAsia="Arial" w:hAnsi="Arial"/>
          <w:sz w:val="19"/>
          <w:szCs w:val="19"/>
          <w:u w:val="single" w:color="auto"/>
          <w:color w:val="auto"/>
        </w:rPr>
        <w:t>Accounts Receivable</w:t>
      </w:r>
      <w:r>
        <w:rPr>
          <w:rFonts w:ascii="Arial" w:cs="Arial" w:eastAsia="Arial" w:hAnsi="Arial"/>
          <w:sz w:val="19"/>
          <w:szCs w:val="19"/>
          <w:color w:val="auto"/>
        </w:rPr>
        <w:t>. The accounts receivable of the Company, net of allowance for doubtful accounts as reflected in the Financial Statements, represent amounts receivable by the Company for goods or services the Company actually delivered or provided, or represent services billed in advance in accordance with the terms of the customer agreements, in either case prior to Closing, not subject to counterclaim or set-off, and created in the ordinary course of Company’s business.</w:t>
      </w:r>
    </w:p>
    <w:p>
      <w:pPr>
        <w:spacing w:after="0" w:line="144"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 xml:space="preserve">Section 3.26 </w:t>
      </w:r>
      <w:r>
        <w:rPr>
          <w:rFonts w:ascii="Arial" w:cs="Arial" w:eastAsia="Arial" w:hAnsi="Arial"/>
          <w:sz w:val="22"/>
          <w:szCs w:val="22"/>
          <w:u w:val="single" w:color="auto"/>
          <w:color w:val="auto"/>
        </w:rPr>
        <w:t>Inventory</w:t>
      </w:r>
      <w:r>
        <w:rPr>
          <w:rFonts w:ascii="Arial" w:cs="Arial" w:eastAsia="Arial" w:hAnsi="Arial"/>
          <w:sz w:val="22"/>
          <w:szCs w:val="22"/>
          <w:color w:val="auto"/>
        </w:rPr>
        <w:t>. All Inventory is owned by the Company free and clear of all Encumbrances except Permitted Encumbrances.</w:t>
      </w:r>
    </w:p>
    <w:p>
      <w:pPr>
        <w:spacing w:after="0" w:line="159" w:lineRule="exact"/>
        <w:rPr>
          <w:sz w:val="20"/>
          <w:szCs w:val="20"/>
          <w:color w:val="auto"/>
        </w:rPr>
      </w:pPr>
    </w:p>
    <w:p>
      <w:pPr>
        <w:ind w:right="260" w:firstLine="648"/>
        <w:spacing w:after="0" w:line="216" w:lineRule="auto"/>
        <w:rPr>
          <w:sz w:val="20"/>
          <w:szCs w:val="20"/>
          <w:color w:val="auto"/>
        </w:rPr>
      </w:pPr>
      <w:r>
        <w:rPr>
          <w:rFonts w:ascii="Arial" w:cs="Arial" w:eastAsia="Arial" w:hAnsi="Arial"/>
          <w:sz w:val="22"/>
          <w:szCs w:val="22"/>
          <w:color w:val="auto"/>
        </w:rPr>
        <w:t xml:space="preserve">Section 3.27 </w:t>
      </w:r>
      <w:r>
        <w:rPr>
          <w:rFonts w:ascii="Arial" w:cs="Arial" w:eastAsia="Arial" w:hAnsi="Arial"/>
          <w:sz w:val="22"/>
          <w:szCs w:val="22"/>
          <w:u w:val="single" w:color="auto"/>
          <w:color w:val="auto"/>
        </w:rPr>
        <w:t>Exclusivity of Representations and Warranties</w:t>
      </w:r>
      <w:r>
        <w:rPr>
          <w:rFonts w:ascii="Arial" w:cs="Arial" w:eastAsia="Arial" w:hAnsi="Arial"/>
          <w:sz w:val="22"/>
          <w:szCs w:val="22"/>
          <w:color w:val="auto"/>
        </w:rPr>
        <w:t>. Neither the Company nor any of its Affiliates or Representatives is making any representation or warranty of any kind or nature whatsoever, oral or written, express or implied, relating to the Company (including, but not limited to, any relating to financial condition, results of operations, assets or liabilities of the Company), except as expressly set forth in this Article III and the Company hereby disclaims any such other representations or warranties.</w:t>
      </w:r>
    </w:p>
    <w:p>
      <w:pPr>
        <w:spacing w:after="0" w:line="158"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 xml:space="preserve">Section 3.28 </w:t>
      </w:r>
      <w:r>
        <w:rPr>
          <w:rFonts w:ascii="Arial" w:cs="Arial" w:eastAsia="Arial" w:hAnsi="Arial"/>
          <w:sz w:val="21"/>
          <w:szCs w:val="21"/>
          <w:u w:val="single" w:color="auto"/>
          <w:color w:val="auto"/>
        </w:rPr>
        <w:t>Limited Reliance Disclaimer</w:t>
      </w:r>
      <w:r>
        <w:rPr>
          <w:rFonts w:ascii="Arial" w:cs="Arial" w:eastAsia="Arial" w:hAnsi="Arial"/>
          <w:sz w:val="21"/>
          <w:szCs w:val="21"/>
          <w:color w:val="auto"/>
        </w:rPr>
        <w:t>. The Company acknowledges and agrees that in making its decision to enter into this Agreement and to consummate the Transactions, it has not relied on any statement, representation or warranty, oral or written, express or implied, made by the Acquiror or Merger Sub or of any of their respective Affiliates or Representatives other than those representations and warranties expressly made in Article V of this Agreement (including the related portions of the Schedules) (the “</w:t>
      </w:r>
      <w:r>
        <w:rPr>
          <w:rFonts w:ascii="Arial" w:cs="Arial" w:eastAsia="Arial" w:hAnsi="Arial"/>
          <w:sz w:val="21"/>
          <w:szCs w:val="21"/>
          <w:b w:val="1"/>
          <w:bCs w:val="1"/>
          <w:color w:val="auto"/>
        </w:rPr>
        <w:t>Express Acquiror Representations</w:t>
      </w:r>
      <w:r>
        <w:rPr>
          <w:rFonts w:ascii="Arial" w:cs="Arial" w:eastAsia="Arial" w:hAnsi="Arial"/>
          <w:sz w:val="21"/>
          <w:szCs w:val="21"/>
          <w:color w:val="auto"/>
        </w:rPr>
        <w:t>”). The Company acknowledges and agrees that, except with respect to the Express Acquiror Representations, neither the Acquiror nor Merger Sub (nor any of their respective Representatives) shall have or be subject to any liability to the Company, any Stockholder, or any other Person resulting from the distribution to the Company or to any Stockholder, or for the Company’s or any Stockholder’s use or reliance on, any information, documents, or material furnished or made available to the Company or any Stockholder in any form in expectation of, or in connection with, the Transactions.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jc w:val="center"/>
        <w:ind w:right="-19"/>
        <w:spacing w:after="0"/>
        <w:rPr>
          <w:sz w:val="20"/>
          <w:szCs w:val="20"/>
          <w:color w:val="auto"/>
        </w:rPr>
      </w:pPr>
      <w:r>
        <w:rPr>
          <w:rFonts w:ascii="Arial" w:cs="Arial" w:eastAsia="Arial" w:hAnsi="Arial"/>
          <w:sz w:val="22"/>
          <w:szCs w:val="22"/>
          <w:b w:val="1"/>
          <w:bCs w:val="1"/>
          <w:color w:val="auto"/>
        </w:rPr>
        <w:t>REPRESENTATIONS AND WARRANTIES OF STOCKHOLDERS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Stockholder, jointly and severally, represents and warrants to Acquiror and Merger Sub as follows:</w:t>
      </w:r>
    </w:p>
    <w:p>
      <w:pPr>
        <w:spacing w:after="0" w:line="179" w:lineRule="exact"/>
        <w:rPr>
          <w:sz w:val="20"/>
          <w:szCs w:val="20"/>
          <w:color w:val="auto"/>
        </w:rPr>
      </w:pPr>
    </w:p>
    <w:p>
      <w:pPr>
        <w:ind w:right="100" w:firstLine="648"/>
        <w:spacing w:after="0" w:line="243"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Authority</w:t>
      </w:r>
      <w:r>
        <w:rPr>
          <w:rFonts w:ascii="Arial" w:cs="Arial" w:eastAsia="Arial" w:hAnsi="Arial"/>
          <w:sz w:val="19"/>
          <w:szCs w:val="19"/>
          <w:color w:val="auto"/>
        </w:rPr>
        <w:t>. Such Stockholder has full legal right and all requisite power and authority to enter into, execute, deliver, and perform its obligations under this Agreement and to consummate the Transactions. No approval, authorization, consent, order, filing, registration, or notification is required to be obtained by such Stockholder from, or made or given by such Stockholder to, any Governmental Authority or any other Person in connection with the execution, delivery, and performance of this Agreement or any other Transaction Agreement to which such Stockholder is a party, other than such consents or approvals as have been duly obtained and are in full force and effect. To the extent such Stockholder is not a natural person, such Stockholder has the power and authority to enter into, execute, and perform this Agreement and such execution and performance have been duly authorized by all proper and necessary corporate, trust, limited liability company, or partnership action, as the case may be. This Agreement has been duly and validly executed and delivered by such Stockholder and constitutes the legal, valid, and binding obligation of such Stockholder enforceable against such Stockholder in accordance with its terms, except as limited by the Enforceability Exceptions.</w:t>
      </w:r>
    </w:p>
    <w:p>
      <w:pPr>
        <w:spacing w:after="0" w:line="380"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Title to Shares</w:t>
      </w:r>
      <w:r>
        <w:rPr>
          <w:rFonts w:ascii="Arial" w:cs="Arial" w:eastAsia="Arial" w:hAnsi="Arial"/>
          <w:sz w:val="22"/>
          <w:szCs w:val="22"/>
          <w:color w:val="auto"/>
        </w:rPr>
        <w:t>; Consideration Allocation. Such Stockholder is the holder of record of the Shares set forth opposite his, her, or its name on Schedule 3.4 of the Disclosure</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7" w:lineRule="exact"/>
        <w:rPr>
          <w:sz w:val="20"/>
          <w:szCs w:val="20"/>
          <w:color w:val="auto"/>
        </w:rPr>
      </w:pPr>
    </w:p>
    <w:p>
      <w:pPr>
        <w:ind w:right="40"/>
        <w:spacing w:after="0" w:line="222" w:lineRule="auto"/>
        <w:rPr>
          <w:sz w:val="20"/>
          <w:szCs w:val="20"/>
          <w:color w:val="auto"/>
        </w:rPr>
      </w:pPr>
      <w:r>
        <w:rPr>
          <w:rFonts w:ascii="Arial" w:cs="Arial" w:eastAsia="Arial" w:hAnsi="Arial"/>
          <w:sz w:val="21"/>
          <w:szCs w:val="21"/>
          <w:color w:val="auto"/>
        </w:rPr>
        <w:t>Schedules and such Shares will, as of the Closing, be free and clear of any and all restrictions on transfer or Encumbrance (other than restrictions under applicable securities laws or the organizational documents of the Company or that arise under any finance Contracts or other Contracts of Acquiror or any of its Affiliates). Except for this Agreement, such Stockholder is not a party to any option, warrant, purchase right, or other contract or commitment that would require such Stockholder to sell, transfer, or otherwise dispose of, or create any Encumbrance on, any such Shares. The Stockholders have agreed to and have authorized the allocation of the Closing Stock Merger Consideration and Estimated Closing Cash Merger Consideration to Stockholders as set forth in Schedule 3.4.</w:t>
      </w:r>
    </w:p>
    <w:p>
      <w:pPr>
        <w:spacing w:after="0" w:line="164"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u w:val="single" w:color="auto"/>
          <w:color w:val="auto"/>
        </w:rPr>
        <w:t>Accredited Investor</w:t>
      </w:r>
      <w:r>
        <w:rPr>
          <w:rFonts w:ascii="Arial" w:cs="Arial" w:eastAsia="Arial" w:hAnsi="Arial"/>
          <w:sz w:val="21"/>
          <w:szCs w:val="21"/>
          <w:color w:val="auto"/>
        </w:rPr>
        <w:t>. Such Stockholder is an “accredited investor” within the meaning of Regulation D under the Securities Act. Such Stockholder is acquiring the Acquiror Common Stock solely for such Stockholder’s own account for investment purposes and not with a view to, or for offer or sale in connection with, any distribution thereof. Such Stockholder acknowledges that the issuance of Acquiror Common Stock to Stockholder will not be registered under the Securities Act, or any state securities laws, and that the Acquiror Common Stock may not be transferred or sold by such Stockholder except pursuant to the registration provisions of the Securities Act or pursuant to an applicable exemption therefrom and subject to state securities laws and regulations, as applicable.</w:t>
      </w:r>
    </w:p>
    <w:p>
      <w:pPr>
        <w:spacing w:after="0" w:line="164" w:lineRule="exact"/>
        <w:rPr>
          <w:sz w:val="20"/>
          <w:szCs w:val="20"/>
          <w:color w:val="auto"/>
        </w:rPr>
      </w:pPr>
    </w:p>
    <w:p>
      <w:pPr>
        <w:ind w:right="100" w:firstLine="648"/>
        <w:spacing w:after="0" w:line="241"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Information; Consultation with Counsel and Advisors</w:t>
      </w:r>
      <w:r>
        <w:rPr>
          <w:rFonts w:ascii="Arial" w:cs="Arial" w:eastAsia="Arial" w:hAnsi="Arial"/>
          <w:sz w:val="19"/>
          <w:szCs w:val="19"/>
          <w:color w:val="auto"/>
        </w:rPr>
        <w:t>. Such Stockholder is entering into this Agreement with a full understanding of the terms, conditions, and risks thereof and such Stockholder is capable of and willing to assume those risks. Such Stockholder (a) has consulted with such Stockholder’s own legal, regulatory, tax, business, investment, financial, and accounting advisers in connection herewith to the extent such Stockholder has deemed necessary, (b) has received from Acquiror all necessary information relating to Acquiror and its business and had a reasonable opportunity to ask questions of and receive answers from officers and representatives of Acquiror concerning its financial condition and results of operations and the transactions to which this Agreement relates, and any such questions have been answered to such Stockholder’s satisfaction, (c) has had the opportunity to review all publicly available records and filings and all other documents concerning Acquiror that such Stockholder considers necessary or appropriate in making an investment decision, (d) has reviewed all information that such Stockholder believes is necessary or appropriate in connection with the issuance of the Closing Stock Merger Consideration and (e) has conducted such Stockholder’s own due diligence on Acquiror and the transactions contemplated hereby and has made such Stockholder’s own investment decisions based upon its own judgment, due diligence and advice from such advisers as such Stockholder has deemed necessary and not upon any view expressed by or on behalf of Acquiror. Such Stockholder acknowledges that it has declined and does hereby decline to receive non-public information concerning Acquiror that may or may not be independently known to such Stockholder which may constitute material information with respect to Acquiror or the transactions contemplated hereby.</w:t>
      </w:r>
    </w:p>
    <w:p>
      <w:pPr>
        <w:spacing w:after="0" w:line="162" w:lineRule="exact"/>
        <w:rPr>
          <w:sz w:val="20"/>
          <w:szCs w:val="20"/>
          <w:color w:val="auto"/>
        </w:rPr>
      </w:pPr>
    </w:p>
    <w:p>
      <w:pPr>
        <w:ind w:right="160" w:firstLine="648"/>
        <w:spacing w:after="0" w:line="218"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Brokers</w:t>
      </w:r>
      <w:r>
        <w:rPr>
          <w:rFonts w:ascii="Arial" w:cs="Arial" w:eastAsia="Arial" w:hAnsi="Arial"/>
          <w:sz w:val="22"/>
          <w:szCs w:val="22"/>
          <w:color w:val="auto"/>
        </w:rPr>
        <w:t>. Except for Bank of America Securities LLC, the fees, commissions and expenses of which will constitute Transaction Expenses and be paid at Closing, no broker, finder or investment banker is entitled to any brokerage, finder’s or other fee or commission in connection with the transactions contemplated hereby based upon arrangements made by or on behalf of such Stockholder.</w:t>
      </w:r>
    </w:p>
    <w:p>
      <w:pPr>
        <w:spacing w:after="0" w:line="161"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u w:val="single" w:color="auto"/>
          <w:color w:val="auto"/>
        </w:rPr>
        <w:t>Ultimate Parent Entity and Size of Person</w:t>
      </w:r>
      <w:r>
        <w:rPr>
          <w:rFonts w:ascii="Arial" w:cs="Arial" w:eastAsia="Arial" w:hAnsi="Arial"/>
          <w:sz w:val="19"/>
          <w:szCs w:val="19"/>
          <w:color w:val="auto"/>
        </w:rPr>
        <w:t>. The following conditions relating to the HSR Act are met: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Singh is the Company’s ultimate parent entity (as such term is defined in 16 C.F.R. 801.1(a)(3)).</w:t>
      </w:r>
    </w:p>
    <w:p>
      <w:pPr>
        <w:sectPr>
          <w:pgSz w:w="11900" w:h="16838" w:orient="portrait"/>
          <w:cols w:equalWidth="0" w:num="1">
            <w:col w:w="11180"/>
          </w:cols>
          <w:pgMar w:left="320" w:top="1440" w:right="399" w:bottom="1440" w:gutter="0" w:footer="0" w:header="0"/>
        </w:sectPr>
      </w:pPr>
    </w:p>
    <w:bookmarkStart w:id="90" w:name="page91"/>
    <w:bookmarkEnd w:id="90"/>
    <w:p>
      <w:pPr>
        <w:spacing w:after="0" w:line="177" w:lineRule="exact"/>
        <w:rPr>
          <w:sz w:val="20"/>
          <w:szCs w:val="20"/>
          <w:color w:val="auto"/>
        </w:rPr>
      </w:pPr>
    </w:p>
    <w:p>
      <w:pPr>
        <w:ind w:firstLine="1304"/>
        <w:spacing w:after="0" w:line="223" w:lineRule="auto"/>
        <w:tabs>
          <w:tab w:leader="none" w:pos="1818" w:val="left"/>
        </w:tabs>
        <w:numPr>
          <w:ilvl w:val="0"/>
          <w:numId w:val="61"/>
        </w:numPr>
        <w:rPr>
          <w:rFonts w:ascii="Arial" w:cs="Arial" w:eastAsia="Arial" w:hAnsi="Arial"/>
          <w:sz w:val="22"/>
          <w:szCs w:val="22"/>
          <w:color w:val="auto"/>
        </w:rPr>
      </w:pPr>
      <w:r>
        <w:rPr>
          <w:rFonts w:ascii="Arial" w:cs="Arial" w:eastAsia="Arial" w:hAnsi="Arial"/>
          <w:sz w:val="22"/>
          <w:szCs w:val="22"/>
          <w:color w:val="auto"/>
        </w:rPr>
        <w:t>As of the Closing Date, Singh’s (together with his spouse and all the entities they jointly or severally control pursuant to 16 C.F.R. 801.1(a)(2) and (b)) annual net sales (as such term is defined in, and determined in accordance with, 16 C.F.R. 801.11) are below US$20,200,000.00.</w:t>
      </w:r>
    </w:p>
    <w:p>
      <w:pPr>
        <w:spacing w:after="0" w:line="158" w:lineRule="exact"/>
        <w:rPr>
          <w:rFonts w:ascii="Arial" w:cs="Arial" w:eastAsia="Arial" w:hAnsi="Arial"/>
          <w:sz w:val="22"/>
          <w:szCs w:val="22"/>
          <w:color w:val="auto"/>
        </w:rPr>
      </w:pPr>
    </w:p>
    <w:p>
      <w:pPr>
        <w:ind w:right="80" w:firstLine="1304"/>
        <w:spacing w:after="0" w:line="223" w:lineRule="auto"/>
        <w:tabs>
          <w:tab w:leader="none" w:pos="17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As of the Closing Date, Singh’s (together with his spouse and all the entities they jointly or severally control pursuant to 16 C.F.R. 801.1(a)(2) and (b)) total assets (as such term is defined in, and determined in accordance with, 16 C.F.R. 801.11) are below $20,200,000.</w:t>
      </w:r>
    </w:p>
    <w:p>
      <w:pPr>
        <w:spacing w:after="0" w:line="158" w:lineRule="exact"/>
        <w:rPr>
          <w:rFonts w:ascii="Arial" w:cs="Arial" w:eastAsia="Arial" w:hAnsi="Arial"/>
          <w:sz w:val="22"/>
          <w:szCs w:val="22"/>
          <w:color w:val="auto"/>
        </w:rPr>
      </w:pPr>
    </w:p>
    <w:p>
      <w:pPr>
        <w:ind w:right="40" w:firstLine="1304"/>
        <w:spacing w:after="0" w:line="249" w:lineRule="auto"/>
        <w:tabs>
          <w:tab w:leader="none" w:pos="1764"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Singh and Company acknowledge and understand that Acquiror is relying on this Section 4.6 to ensure Acquiror’s compliance with the HSR Act.Section 4.7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Except for the representations and warranties expressly contained in this Article IV, no such Stockholder has made or makes (and no other Person on behalf of such Stockholder has made or makes) any other express or implied representation or warranty, either written or oral, on behalf of such Stockholder or the Company, including any representation or warranty as to the accuracy or completeness of any information regarding the Company or such Stockholder furnished or made available to Acquiror or Merger Sub.</w:t>
      </w:r>
    </w:p>
    <w:p>
      <w:pPr>
        <w:spacing w:after="0" w:line="152"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 xml:space="preserve">Section 4.8 </w:t>
      </w:r>
      <w:r>
        <w:rPr>
          <w:rFonts w:ascii="Arial" w:cs="Arial" w:eastAsia="Arial" w:hAnsi="Arial"/>
          <w:sz w:val="21"/>
          <w:szCs w:val="21"/>
          <w:u w:val="single" w:color="auto"/>
          <w:color w:val="auto"/>
        </w:rPr>
        <w:t>Limited Reliance Disclaimer</w:t>
      </w:r>
      <w:r>
        <w:rPr>
          <w:rFonts w:ascii="Arial" w:cs="Arial" w:eastAsia="Arial" w:hAnsi="Arial"/>
          <w:sz w:val="21"/>
          <w:szCs w:val="21"/>
          <w:color w:val="auto"/>
        </w:rPr>
        <w:t>. Each such Stockholder acknowledges and agrees that in making his, her, or its decision to enter into this Agreement and to consummate the Transactions, such Stockholder has not relied on any statement, representation or warranty, oral or written, express or implied, made by Acquiror or Merger Sub or any of their respective Affiliates or Representatives other than the Express Acquiror Representations. Each such Stockholder acknowledges and agrees that, except with respect to the Express Acquiror Representations, neither the Acquiror nor Merger Sub (nor of any of their respective Representatives) shall have or be subject to any liability to the Company, any Stockholder, or any other Person resulting from the distribution to the Company or to any Stockholder, or the Company’s or the Stockholder’s use or reliance on, any information, documents, or material furnished or made available to the Company or any Stockholder in any form in expectation of, or in connection with, the Transactions.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w:t>
      </w:r>
    </w:p>
    <w:p>
      <w:pPr>
        <w:jc w:val="center"/>
        <w:ind w:right="-39"/>
        <w:spacing w:after="0"/>
        <w:rPr>
          <w:sz w:val="20"/>
          <w:szCs w:val="20"/>
          <w:color w:val="auto"/>
        </w:rPr>
      </w:pPr>
      <w:r>
        <w:rPr>
          <w:rFonts w:ascii="Arial" w:cs="Arial" w:eastAsia="Arial" w:hAnsi="Arial"/>
          <w:sz w:val="22"/>
          <w:szCs w:val="22"/>
          <w:b w:val="1"/>
          <w:bCs w:val="1"/>
          <w:color w:val="auto"/>
        </w:rPr>
        <w:t>REPRESENTATIONS AND WARRANTIES OF ACQUIROR AND MERGER SUB</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Acquiror and Merger Sub hereby represent and warrant to the Company as follows:</w:t>
      </w:r>
    </w:p>
    <w:p>
      <w:pPr>
        <w:spacing w:after="0" w:line="179" w:lineRule="exact"/>
        <w:rPr>
          <w:sz w:val="20"/>
          <w:szCs w:val="20"/>
          <w:color w:val="auto"/>
        </w:rPr>
      </w:pPr>
    </w:p>
    <w:p>
      <w:pPr>
        <w:ind w:right="20" w:firstLine="648"/>
        <w:spacing w:after="0" w:line="214"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 and Qualification</w:t>
      </w:r>
      <w:r>
        <w:rPr>
          <w:rFonts w:ascii="Arial" w:cs="Arial" w:eastAsia="Arial" w:hAnsi="Arial"/>
          <w:sz w:val="22"/>
          <w:szCs w:val="22"/>
          <w:color w:val="auto"/>
        </w:rPr>
        <w:t>. Acquiror is a corporation duly organized, validly existing and in good standing under the laws of Delaware, and has all necessary corporate power and authority to own, lease and operate its properties and to carry on its business as it is now being conducted. Merger Sub is a limited liability company duly organized, validly existing and in good standing under the laws of Delaware, the sole member of which is Acquiror, and has all necessary limited liability company power and authority to own, lease and operate its properties and to carry on its business as it is now being conducted.</w:t>
      </w:r>
    </w:p>
    <w:p>
      <w:pPr>
        <w:spacing w:after="0" w:line="159"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Authority</w:t>
      </w:r>
      <w:r>
        <w:rPr>
          <w:rFonts w:ascii="Arial" w:cs="Arial" w:eastAsia="Arial" w:hAnsi="Arial"/>
          <w:sz w:val="19"/>
          <w:szCs w:val="19"/>
          <w:color w:val="auto"/>
        </w:rPr>
        <w:t>. Each of Acquiror and Merger Sub has the corporate or limited liability company power and authority to execute and deliver this Agreement, to perform its obligations hereunder and to consummate the transactions contemplated hereby. The execution, delivery and performance by Acquiror and Merger Sub of this Agreement and the consummation by Acquiror and Merger Sub of the transactions contemplated hereby have been duly and validly authorized by the Boards of Directors of Acquiror and Merger Sub and by Acquiror as the sole member of Merger Sub. No other corporate or limited liability company proceedings on the part of Acquiror or Merger Sub are necessary to authorize the execution, delivery or performance of this Agreement or to consummate the transactions contemplated hereby. This Agreement has</w:t>
      </w:r>
    </w:p>
    <w:p>
      <w:pPr>
        <w:sectPr>
          <w:pgSz w:w="11900" w:h="16838" w:orient="portrait"/>
          <w:cols w:equalWidth="0" w:num="1">
            <w:col w:w="11200"/>
          </w:cols>
          <w:pgMar w:left="320" w:top="1440" w:right="379" w:bottom="1440" w:gutter="0" w:footer="0" w:header="0"/>
        </w:sectPr>
      </w:pPr>
    </w:p>
    <w:bookmarkStart w:id="91" w:name="page92"/>
    <w:bookmarkEnd w:id="91"/>
    <w:p>
      <w:pPr>
        <w:spacing w:after="0" w:line="177" w:lineRule="exact"/>
        <w:rPr>
          <w:sz w:val="20"/>
          <w:szCs w:val="20"/>
          <w:color w:val="auto"/>
        </w:rPr>
      </w:pPr>
    </w:p>
    <w:p>
      <w:pPr>
        <w:ind w:right="120"/>
        <w:spacing w:after="0" w:line="222" w:lineRule="auto"/>
        <w:rPr>
          <w:sz w:val="20"/>
          <w:szCs w:val="20"/>
          <w:color w:val="auto"/>
        </w:rPr>
      </w:pPr>
      <w:r>
        <w:rPr>
          <w:rFonts w:ascii="Arial" w:cs="Arial" w:eastAsia="Arial" w:hAnsi="Arial"/>
          <w:sz w:val="21"/>
          <w:szCs w:val="21"/>
          <w:color w:val="auto"/>
        </w:rPr>
        <w:t>been duly executed and delivered by Acquiror and Merger Sub, as applicable and, assuming due execution and delivery by each of the other parties hereto, constitutes the legal, valid and binding obligations of Acquiror and Merger Sub, as applicable, enforceable against Acquiror and Merger Sub, as applicable, in accordance with its terms, except as enforcement may be limited by the Enforceability Exceptions. The transactions contemplated hereby do not require the vote or consent of the holders of any class of capital stock of the Acquiror. As of the date hereof, the Board of Directors of the Acquiror has unanimously approved and declared advisable the transactions contemplated hereby, including the issuance of shares of Acquiror Common Stock to the Stockholders at Closing.</w:t>
      </w:r>
    </w:p>
    <w:p>
      <w:pPr>
        <w:spacing w:after="0" w:line="16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179" w:lineRule="exact"/>
        <w:rPr>
          <w:sz w:val="20"/>
          <w:szCs w:val="20"/>
          <w:color w:val="auto"/>
        </w:rPr>
      </w:pPr>
    </w:p>
    <w:p>
      <w:pPr>
        <w:ind w:right="380" w:firstLine="1304"/>
        <w:spacing w:after="0" w:line="232" w:lineRule="auto"/>
        <w:tabs>
          <w:tab w:leader="none" w:pos="174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execution, delivery and performance by each of Acquiror and Merger Sub of this Agreement and the consummation of the transactions contemplated hereby do not and will not:</w:t>
      </w:r>
    </w:p>
    <w:p>
      <w:pPr>
        <w:spacing w:after="0" w:line="158" w:lineRule="exact"/>
        <w:rPr>
          <w:rFonts w:ascii="Arial" w:cs="Arial" w:eastAsia="Arial" w:hAnsi="Arial"/>
          <w:sz w:val="22"/>
          <w:szCs w:val="22"/>
          <w:color w:val="auto"/>
        </w:rPr>
      </w:pPr>
    </w:p>
    <w:p>
      <w:pPr>
        <w:ind w:left="660" w:right="280" w:firstLine="1292"/>
        <w:spacing w:after="0" w:line="232" w:lineRule="auto"/>
        <w:tabs>
          <w:tab w:leader="none" w:pos="2376" w:val="left"/>
        </w:tabs>
        <w:numPr>
          <w:ilvl w:val="1"/>
          <w:numId w:val="62"/>
        </w:numPr>
        <w:rPr>
          <w:rFonts w:ascii="Arial" w:cs="Arial" w:eastAsia="Arial" w:hAnsi="Arial"/>
          <w:sz w:val="22"/>
          <w:szCs w:val="22"/>
          <w:color w:val="010000"/>
        </w:rPr>
      </w:pPr>
      <w:r>
        <w:rPr>
          <w:rFonts w:ascii="Arial" w:cs="Arial" w:eastAsia="Arial" w:hAnsi="Arial"/>
          <w:sz w:val="22"/>
          <w:szCs w:val="22"/>
          <w:color w:val="auto"/>
        </w:rPr>
        <w:t>conflict with or violate the certificate of incorporation or bylaws of Acquiror or the limited liability company agreement of Merger Sub;</w:t>
      </w:r>
    </w:p>
    <w:p>
      <w:pPr>
        <w:spacing w:after="0" w:line="158" w:lineRule="exact"/>
        <w:rPr>
          <w:rFonts w:ascii="Arial" w:cs="Arial" w:eastAsia="Arial" w:hAnsi="Arial"/>
          <w:sz w:val="22"/>
          <w:szCs w:val="22"/>
          <w:color w:val="010000"/>
        </w:rPr>
      </w:pPr>
    </w:p>
    <w:p>
      <w:pPr>
        <w:ind w:left="660" w:right="240" w:firstLine="1292"/>
        <w:spacing w:after="0" w:line="232" w:lineRule="auto"/>
        <w:tabs>
          <w:tab w:leader="none" w:pos="2436" w:val="left"/>
        </w:tabs>
        <w:numPr>
          <w:ilvl w:val="1"/>
          <w:numId w:val="62"/>
        </w:numPr>
        <w:rPr>
          <w:rFonts w:ascii="Arial" w:cs="Arial" w:eastAsia="Arial" w:hAnsi="Arial"/>
          <w:sz w:val="22"/>
          <w:szCs w:val="22"/>
          <w:color w:val="010000"/>
        </w:rPr>
      </w:pPr>
      <w:r>
        <w:rPr>
          <w:rFonts w:ascii="Arial" w:cs="Arial" w:eastAsia="Arial" w:hAnsi="Arial"/>
          <w:sz w:val="22"/>
          <w:szCs w:val="22"/>
          <w:color w:val="auto"/>
        </w:rPr>
        <w:t>conflict with or violate any Law applicable to Acquiror or Merger Sub or by which any property or asset of Acquiror or Merger Sub is bound or affected; or</w:t>
      </w:r>
    </w:p>
    <w:p>
      <w:pPr>
        <w:spacing w:after="0" w:line="158" w:lineRule="exact"/>
        <w:rPr>
          <w:rFonts w:ascii="Arial" w:cs="Arial" w:eastAsia="Arial" w:hAnsi="Arial"/>
          <w:sz w:val="22"/>
          <w:szCs w:val="22"/>
          <w:color w:val="010000"/>
        </w:rPr>
      </w:pPr>
    </w:p>
    <w:p>
      <w:pPr>
        <w:ind w:left="660" w:right="260" w:firstLine="1292"/>
        <w:spacing w:after="0" w:line="223" w:lineRule="auto"/>
        <w:tabs>
          <w:tab w:leader="none" w:pos="2496" w:val="left"/>
        </w:tabs>
        <w:numPr>
          <w:ilvl w:val="1"/>
          <w:numId w:val="62"/>
        </w:numPr>
        <w:rPr>
          <w:rFonts w:ascii="Arial" w:cs="Arial" w:eastAsia="Arial" w:hAnsi="Arial"/>
          <w:sz w:val="22"/>
          <w:szCs w:val="22"/>
          <w:color w:val="010000"/>
        </w:rPr>
      </w:pPr>
      <w:r>
        <w:rPr>
          <w:rFonts w:ascii="Arial" w:cs="Arial" w:eastAsia="Arial" w:hAnsi="Arial"/>
          <w:sz w:val="22"/>
          <w:szCs w:val="22"/>
          <w:color w:val="auto"/>
        </w:rPr>
        <w:t>conflict with, result in any breach of, constitute a default (or an event that, with notice or lapse of time or both, would become a default) under, or require any consent of any Person pursuant to, any material contract or agreement to which Acquiror or Merger Sub is a party;</w:t>
      </w:r>
    </w:p>
    <w:p>
      <w:pPr>
        <w:spacing w:after="0" w:line="159"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except, in the case of clause (ii) or (iii), for any such conflicts, violations, breaches, defaults or other occurrences that would not have an Acquiror Material Adverse Effect or that arise as a result of any facts or circumstances relating to the Company or any of its Affiliates.</w:t>
      </w:r>
    </w:p>
    <w:p>
      <w:pPr>
        <w:spacing w:after="0" w:line="159" w:lineRule="exact"/>
        <w:rPr>
          <w:sz w:val="20"/>
          <w:szCs w:val="20"/>
          <w:color w:val="auto"/>
        </w:rPr>
      </w:pPr>
    </w:p>
    <w:p>
      <w:pPr>
        <w:ind w:right="20" w:firstLine="1304"/>
        <w:spacing w:after="0" w:line="247" w:lineRule="auto"/>
        <w:tabs>
          <w:tab w:leader="none" w:pos="1764" w:val="left"/>
        </w:tabs>
        <w:numPr>
          <w:ilvl w:val="0"/>
          <w:numId w:val="63"/>
        </w:numPr>
        <w:rPr>
          <w:rFonts w:ascii="Arial" w:cs="Arial" w:eastAsia="Arial" w:hAnsi="Arial"/>
          <w:sz w:val="19"/>
          <w:szCs w:val="19"/>
          <w:color w:val="auto"/>
        </w:rPr>
      </w:pPr>
      <w:r>
        <w:rPr>
          <w:rFonts w:ascii="Arial" w:cs="Arial" w:eastAsia="Arial" w:hAnsi="Arial"/>
          <w:sz w:val="19"/>
          <w:szCs w:val="19"/>
          <w:color w:val="auto"/>
        </w:rPr>
        <w:t>Neither Acquiror nor Merger Sub is required to file, seek or obtain any notice, authorization, approval, order, permit or consent of or with any Governmental Authority in connection with the execution, delivery and performance by Acquiror and Merger Sub of this Agreement or the consummation of the transactions contemplated hereby, except (i) for the filing of the Certificate of Merger with the Secretary of State of the State of Delaware, (ii) for such filings as may be required by any applicable federal or state securities or “blue sky” laws, (iii) where failure to obtain such consent, approval, authorization or action, or to make such filing or notification, would not have an Acquiror Material Adverse Effect or (iv) as may be necessary as a result of any facts or circumstances relating to the Company or any of its Affiliates.</w:t>
      </w:r>
    </w:p>
    <w:p>
      <w:pPr>
        <w:spacing w:after="0" w:line="154"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Capitalization</w:t>
      </w:r>
      <w:r>
        <w:rPr>
          <w:rFonts w:ascii="Arial" w:cs="Arial" w:eastAsia="Arial" w:hAnsi="Arial"/>
          <w:sz w:val="19"/>
          <w:szCs w:val="19"/>
          <w:color w:val="auto"/>
        </w:rPr>
        <w:t>. As of August 12, 2022, the Acquiror’s authorized and outstanding capital stock is as set forth on Schedule 5.4 of the Acquiror Disclosure Schedules. All of the Company’s issued and outstanding capital stock is validly issued, fully paid and nonassessable. Except as set forth on Schedule 5.4 of the Acquiror Disclosure Schedules, (a) there are no outstanding obligations, options, warrants, convertible securities, stock appreciation rights, profit interests or other rights, agreements, arrangements or commitments of any kind relating to the capital stock of the Acquiror or obligating the Acquiror to issue or sell any shares of capital stock of, or any other interest in, the Acquiror, (b) there are no outstanding contractual obligations of the Acquiror to repurchase, redeem or otherwise acquire any shares of capital stock of the Acquiror and (c) there are no agreements or understandings in effect with respect to the voting or transfer of any of the capital stock of the Acquiror. The shares of Acquiror Common Stock to be issued by the Acquiror at the Closing are and shall be duly authorized and</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77" w:lineRule="exact"/>
        <w:rPr>
          <w:sz w:val="20"/>
          <w:szCs w:val="20"/>
          <w:color w:val="auto"/>
        </w:rPr>
      </w:pPr>
    </w:p>
    <w:p>
      <w:pPr>
        <w:spacing w:after="0" w:line="222" w:lineRule="auto"/>
        <w:rPr>
          <w:sz w:val="20"/>
          <w:szCs w:val="20"/>
          <w:color w:val="auto"/>
        </w:rPr>
      </w:pPr>
      <w:r>
        <w:rPr>
          <w:rFonts w:ascii="Arial" w:cs="Arial" w:eastAsia="Arial" w:hAnsi="Arial"/>
          <w:sz w:val="21"/>
          <w:szCs w:val="21"/>
          <w:color w:val="auto"/>
        </w:rPr>
        <w:t>validly issued in compliance with all applicable federal and state securities Laws. Upon issuance, the shares of Acquiror Common Stock issuable to the Stockholders at the Closing shall be fully paid, non-assessable and free and clear of any Encumbrances other than restrictions on transfer imposed by applicable securities Laws, this Agreement, the Registration Rights Agreement, and restrictions applicable to executive officers of Acquiror under Acquiror’s Insider Trading Policy. Following the issuance of the shares of Acquiror Common Stock issuable to the Stockholders at the Closing hereunder, the Stockholders shall acquire good, valid and marketable title to such shares of Acquiror Common Stock, free and clear of any Encumbrances except as set forth in the preceding sentence.</w:t>
      </w:r>
    </w:p>
    <w:p>
      <w:pPr>
        <w:spacing w:after="0" w:line="16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Acquiror Public Documents; Financial Statements</w:t>
      </w:r>
      <w:r>
        <w:rPr>
          <w:rFonts w:ascii="Arial" w:cs="Arial" w:eastAsia="Arial" w:hAnsi="Arial"/>
          <w:sz w:val="19"/>
          <w:szCs w:val="19"/>
          <w:color w:val="auto"/>
        </w:rPr>
        <w:t>.</w:t>
      </w:r>
    </w:p>
    <w:p>
      <w:pPr>
        <w:spacing w:after="0" w:line="179" w:lineRule="exact"/>
        <w:rPr>
          <w:sz w:val="20"/>
          <w:szCs w:val="20"/>
          <w:color w:val="auto"/>
        </w:rPr>
      </w:pPr>
    </w:p>
    <w:p>
      <w:pPr>
        <w:ind w:right="100" w:firstLine="1304"/>
        <w:spacing w:after="0" w:line="241" w:lineRule="auto"/>
        <w:tabs>
          <w:tab w:leader="none" w:pos="17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Acquiror has filed or otherwise transmitted on a timely basis all forms, reports, statements, certifications and other documents (including all exhibits, amendments and supplements thereto) required to be filed by it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or other applicable Governmental Authority since September 18, 2020 (all such forms, reports, statements, certificates and other documents filed since September 18, 2020 and prior to the date hereof, collectively, the “</w:t>
      </w:r>
      <w:r>
        <w:rPr>
          <w:rFonts w:ascii="Arial" w:cs="Arial" w:eastAsia="Arial" w:hAnsi="Arial"/>
          <w:sz w:val="19"/>
          <w:szCs w:val="19"/>
          <w:b w:val="1"/>
          <w:bCs w:val="1"/>
          <w:color w:val="auto"/>
        </w:rPr>
        <w:t>Acquiror Public Documents</w:t>
      </w:r>
      <w:r>
        <w:rPr>
          <w:rFonts w:ascii="Arial" w:cs="Arial" w:eastAsia="Arial" w:hAnsi="Arial"/>
          <w:sz w:val="19"/>
          <w:szCs w:val="19"/>
          <w:color w:val="auto"/>
        </w:rPr>
        <w:t>”). As of their respective dates, or, if amended, as of the date of the last such amendment or supplement, each of the Acquiror Public Documents complied as to form in all material respects with the applicable requirements of the Securities Act and the Exchange Act, and the applicable rules and regulations promulgated thereunder, as the case may be, each as in effect on the date so filed. As of their respective filing dates (or, if amended or superseded by a subsequent filing prior to the date hereof, as of the date of such amendment or superseding filing), none of the Acquiror Public Documents contained any untrue statement of a material fact or omitted to state a material fact required to be stated or incorporated by reference therein or necessary in order to make the statements therein, in the light of the circumstances under which they were made, not misleading, except to the extent corrected by a subsequently filed Acquiror Public Document. There are no outstanding or unresolved comments in comment letters received from the SEC or its staff or any other foreign Governmental Authority with jurisdiction over the Acquiror and, to the knowledge of the Acquiror, none of the Acquiror Public Documents is the subject of ongoing SEC or other regulatory review. Since September 18, 2020, the Acquiror has been in compliance in all material respects with the applicable listing and corporate governance rules and regulations of Nasdaq Stock Market or any other applicable securities exchange.</w:t>
      </w:r>
    </w:p>
    <w:p>
      <w:pPr>
        <w:spacing w:after="0" w:line="158" w:lineRule="exact"/>
        <w:rPr>
          <w:rFonts w:ascii="Arial" w:cs="Arial" w:eastAsia="Arial" w:hAnsi="Arial"/>
          <w:sz w:val="19"/>
          <w:szCs w:val="19"/>
          <w:color w:val="auto"/>
        </w:rPr>
      </w:pPr>
    </w:p>
    <w:p>
      <w:pPr>
        <w:ind w:right="20" w:firstLine="1304"/>
        <w:spacing w:after="0" w:line="219" w:lineRule="auto"/>
        <w:tabs>
          <w:tab w:leader="none" w:pos="17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audited consolidated financial statements of the Acquiror (including any related notes thereto) included in the Acquiror’s Annual Report on Form 10 K for the fiscal year ended December 31, 2021 filed with the SEC have been prepared in accordance with GAAP applied on a consistent basis throughout the periods involved (except as may be indicated in the notes thereto) and fairly present in all material respects the consolidated financial position of the Acquiror and its Subsidiaries at the respective dates thereof and the results of their operations and cash flows for the periods indicated. The unaudited consolidated financial statements of the Acquiror (including any related notes thereto) included in the Acquiror’s Quarterly Reports on Form 10 Q filed with the SEC since December 31, 2021 have been prepared in accordance with GAAP applied on a consistent basis throughout the periods involved (except as may be indicated in the notes thereto or may be permitted by the SEC under the Exchange Act) and fairly present in all material respects the consolidated financial position of the Acquiror and its Subsidiaries as of the respective dates thereof and the results of their operations and cash flows for the periods indicated (subject to normal period-end adjustments).</w:t>
      </w:r>
    </w:p>
    <w:p>
      <w:pPr>
        <w:spacing w:after="0" w:line="168" w:lineRule="exact"/>
        <w:rPr>
          <w:rFonts w:ascii="Arial" w:cs="Arial" w:eastAsia="Arial" w:hAnsi="Arial"/>
          <w:sz w:val="21"/>
          <w:szCs w:val="21"/>
          <w:color w:val="auto"/>
        </w:rPr>
      </w:pPr>
    </w:p>
    <w:p>
      <w:pPr>
        <w:ind w:right="60" w:firstLine="1304"/>
        <w:spacing w:after="0" w:line="268" w:lineRule="auto"/>
        <w:tabs>
          <w:tab w:leader="none" w:pos="1752"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Acquiror nor any of its Subsidiaries has any material liabilities or obligations of any nature, whether or not accrued, contingent or otherwise, that would be required by GAAP to be reflected on a consolidated balance sheet (or the notes thereto) of the Acquiror and its Subsidiaries, except for liabilities and obligations (a) reflected or reserved</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against in the Acquiror’s consolidated balance sheet as of December 31, 2021 (or the notes thereto) included in Acquiror Public Documents, (b) incurred in the Ordinary Course of Business since December 31, 2021, (c) which have been discharged or paid in full prior to the date of this Agreement, (d) incurred pursuant to the transactions contemplated by this Agreement and (e) that would not, individually or in the aggregate, reasonably be expected to have an Acquiror Material Adverse Effect.</w:t>
      </w:r>
    </w:p>
    <w:p>
      <w:pPr>
        <w:spacing w:after="0" w:line="144"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Litigation</w:t>
      </w:r>
      <w:r>
        <w:rPr>
          <w:rFonts w:ascii="Arial" w:cs="Arial" w:eastAsia="Arial" w:hAnsi="Arial"/>
          <w:sz w:val="22"/>
          <w:szCs w:val="22"/>
          <w:color w:val="auto"/>
        </w:rPr>
        <w:t>. Except as would not, individually or in the aggregate, reasonably be expected to have an Acquiror Material Adverse Effect, (a) there is no Action pending or, to the knowledge of the Acquiror, threatened against the Acquiror or any of its Subsidiaries or any of their respective properties by or before any Governmental Authority and (b) neither the Acquiror nor any of its Subsidiaries nor any of their respective properties is or are subject to any judgment, order, injunction, rule or decree of any Governmental Authority.</w:t>
      </w:r>
    </w:p>
    <w:p>
      <w:pPr>
        <w:spacing w:after="0" w:line="158" w:lineRule="exact"/>
        <w:rPr>
          <w:sz w:val="20"/>
          <w:szCs w:val="20"/>
          <w:color w:val="auto"/>
        </w:rPr>
      </w:pPr>
    </w:p>
    <w:p>
      <w:pPr>
        <w:ind w:right="500" w:firstLine="648"/>
        <w:spacing w:after="0" w:line="268"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Since March 31, 2022, Acquiror has conducted its businesses only in the Ordinary Course of Business consistent with past practice and there has not been any change, event or development that, individually or in the aggregate, has had or is reasonably likely to have an Acquiror Material Adverse Effect.</w:t>
      </w:r>
    </w:p>
    <w:p>
      <w:pPr>
        <w:spacing w:after="0" w:line="132" w:lineRule="exact"/>
        <w:rPr>
          <w:sz w:val="20"/>
          <w:szCs w:val="20"/>
          <w:color w:val="auto"/>
        </w:rPr>
      </w:pPr>
    </w:p>
    <w:p>
      <w:pPr>
        <w:ind w:right="100" w:firstLine="648"/>
        <w:spacing w:after="0" w:line="234"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u w:val="single" w:color="auto"/>
          <w:color w:val="auto"/>
        </w:rPr>
        <w:t>No Prior Activities</w:t>
      </w:r>
      <w:r>
        <w:rPr>
          <w:rFonts w:ascii="Arial" w:cs="Arial" w:eastAsia="Arial" w:hAnsi="Arial"/>
          <w:sz w:val="21"/>
          <w:szCs w:val="21"/>
          <w:color w:val="auto"/>
        </w:rPr>
        <w:t>. Except for obligations incurred in connection with its organization and the transactions contemplated hereby, Merger Sub has neither incurred any obligation or liability nor engaged in any business or activity of any type or kind whatsoever or entered into any agreement or arrangement with any Person.</w:t>
      </w:r>
    </w:p>
    <w:p>
      <w:pPr>
        <w:spacing w:after="0" w:line="158"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Sufficiency of Funds</w:t>
      </w:r>
      <w:r>
        <w:rPr>
          <w:rFonts w:ascii="Arial" w:cs="Arial" w:eastAsia="Arial" w:hAnsi="Arial"/>
          <w:sz w:val="22"/>
          <w:szCs w:val="22"/>
          <w:color w:val="auto"/>
        </w:rPr>
        <w:t>. Parent has sufficient cash on hand or other sources of immediately available funds to enable it to consummate the Merger upon the terms contemplated by this Agreement, including the payment of all amounts payable hereunder or otherwise as a result of the Merger.</w:t>
      </w:r>
    </w:p>
    <w:p>
      <w:pPr>
        <w:spacing w:after="0" w:line="159" w:lineRule="exact"/>
        <w:rPr>
          <w:sz w:val="20"/>
          <w:szCs w:val="20"/>
          <w:color w:val="auto"/>
        </w:rPr>
      </w:pPr>
    </w:p>
    <w:p>
      <w:pPr>
        <w:ind w:right="80" w:firstLine="648"/>
        <w:spacing w:after="0" w:line="218"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Brokers</w:t>
      </w:r>
      <w:r>
        <w:rPr>
          <w:rFonts w:ascii="Arial" w:cs="Arial" w:eastAsia="Arial" w:hAnsi="Arial"/>
          <w:sz w:val="22"/>
          <w:szCs w:val="22"/>
          <w:color w:val="auto"/>
        </w:rPr>
        <w:t>. Except for Jefferies LLC, the fees, commissions and expenses of which will be paid by Acquiror in the event of a Closing, no broker, finder or investment banker is entitled to any brokerage, finder’s or other fee or commission in connection with the transactions contemplated hereby based upon arrangements made by or on behalf of Acquiror or Merger Sub.</w:t>
      </w:r>
    </w:p>
    <w:p>
      <w:pPr>
        <w:spacing w:after="0" w:line="161" w:lineRule="exact"/>
        <w:rPr>
          <w:sz w:val="20"/>
          <w:szCs w:val="20"/>
          <w:color w:val="auto"/>
        </w:rPr>
      </w:pPr>
    </w:p>
    <w:p>
      <w:pPr>
        <w:ind w:right="60" w:firstLine="648"/>
        <w:spacing w:after="0" w:line="249"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Acquiror’s Investigation</w:t>
      </w:r>
      <w:r>
        <w:rPr>
          <w:rFonts w:ascii="Arial" w:cs="Arial" w:eastAsia="Arial" w:hAnsi="Arial"/>
          <w:sz w:val="19"/>
          <w:szCs w:val="19"/>
          <w:color w:val="auto"/>
        </w:rPr>
        <w:t xml:space="preserve"> . Acquiror is a sophisticated purchaser and has made its own independent investigation, review and analysis regarding the Company and the transactions contemplated hereby, which investigation, review and analysis were conducted by Acquiror together with expert advisors, including legal counsel, that it has engaged for such purpose. Acquiror and its Representatives have been provided with full and complete access to the Representatives, properties, offices, plants and other facilities, books and records of the Company and other information that they have requested in connection with their investigation of the Company and the transactions contemplated hereby.</w:t>
      </w:r>
    </w:p>
    <w:p>
      <w:pPr>
        <w:spacing w:after="0" w:line="152" w:lineRule="exact"/>
        <w:rPr>
          <w:sz w:val="20"/>
          <w:szCs w:val="20"/>
          <w:color w:val="auto"/>
        </w:rPr>
      </w:pPr>
    </w:p>
    <w:p>
      <w:pPr>
        <w:ind w:right="260" w:firstLine="648"/>
        <w:spacing w:after="0" w:line="218"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No Other Representations and Warranties</w:t>
      </w:r>
      <w:r>
        <w:rPr>
          <w:rFonts w:ascii="Arial" w:cs="Arial" w:eastAsia="Arial" w:hAnsi="Arial"/>
          <w:sz w:val="22"/>
          <w:szCs w:val="22"/>
          <w:color w:val="auto"/>
        </w:rPr>
        <w:t>. Except for the representations and warranties expressly contained in this Article V or in any certificate delivered by the Acquiror or Merger Sub pursuant to this Agreement, neither Acquiror nor Merger Sub (nor any other Person on behalf of Acquiror or Merger Sub) has made or makes any other express or implied representation or warranty, either written or oral.</w:t>
      </w:r>
    </w:p>
    <w:p>
      <w:pPr>
        <w:spacing w:after="0" w:line="161"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Limited Reliance Disclaimer</w:t>
      </w:r>
      <w:r>
        <w:rPr>
          <w:rFonts w:ascii="Arial" w:cs="Arial" w:eastAsia="Arial" w:hAnsi="Arial"/>
          <w:sz w:val="19"/>
          <w:szCs w:val="19"/>
          <w:color w:val="auto"/>
        </w:rPr>
        <w:t>. Acquiror and Merger Sub acknowledge and agree that in making their decision to enter into this Agreement and to consummate the Transactions, neither Acquiror nor Merger Sub, nor any of their respective Representatives, has relied on any statement, representation or warranty, oral or written, express or implied, made by</w:t>
      </w:r>
    </w:p>
    <w:p>
      <w:pPr>
        <w:sectPr>
          <w:pgSz w:w="11900" w:h="16838" w:orient="portrait"/>
          <w:cols w:equalWidth="0" w:num="1">
            <w:col w:w="11200"/>
          </w:cols>
          <w:pgMar w:left="320" w:top="1440" w:right="379" w:bottom="1440" w:gutter="0" w:footer="0" w:header="0"/>
        </w:sectPr>
      </w:pPr>
    </w:p>
    <w:bookmarkStart w:id="94" w:name="page95"/>
    <w:bookmarkEnd w:id="94"/>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Company or any of its Affiliates or Representatives, other than those representations and warranties expressly set forth in </w:t>
      </w:r>
      <w:r>
        <w:rPr>
          <w:rFonts w:ascii="Arial" w:cs="Arial" w:eastAsia="Arial" w:hAnsi="Arial"/>
          <w:sz w:val="19"/>
          <w:szCs w:val="19"/>
          <w:u w:val="single" w:color="auto"/>
          <w:color w:val="auto"/>
        </w:rPr>
        <w:t>Articles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this Agreement (including the related portions of the Schedules) (the “</w:t>
      </w:r>
      <w:r>
        <w:rPr>
          <w:rFonts w:ascii="Arial" w:cs="Arial" w:eastAsia="Arial" w:hAnsi="Arial"/>
          <w:sz w:val="19"/>
          <w:szCs w:val="19"/>
          <w:b w:val="1"/>
          <w:bCs w:val="1"/>
          <w:color w:val="auto"/>
        </w:rPr>
        <w:t>Express Stockholder Party</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Representations</w:t>
      </w:r>
      <w:r>
        <w:rPr>
          <w:rFonts w:ascii="Arial" w:cs="Arial" w:eastAsia="Arial" w:hAnsi="Arial"/>
          <w:sz w:val="19"/>
          <w:szCs w:val="19"/>
          <w:color w:val="auto"/>
        </w:rPr>
        <w:t>”). Each of Acquiror and Merger Sub acknowledges and agrees that: (a) except with respect to the Express</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 Party Representations, none of the Company, any Stockholder or any of their respective Representatives or any other Person acting on their behalf shall have or be subject to any liability to Acquiror or Merger Sub or any other Person resulting from the distribution to Acquiror or Merger Sub, or Acquiror’s or Merger Sub’s use or reliance on, any information, documents or material made available to Acquiror or Merger Sub in any form in expectation of or in connection with the Transactions; and</w:t>
      </w:r>
    </w:p>
    <w:p>
      <w:pPr>
        <w:spacing w:after="0" w:line="1" w:lineRule="exact"/>
        <w:rPr>
          <w:sz w:val="20"/>
          <w:szCs w:val="20"/>
          <w:color w:val="auto"/>
        </w:rPr>
      </w:pPr>
    </w:p>
    <w:p>
      <w:pPr>
        <w:ind w:right="660" w:firstLine="8"/>
        <w:spacing w:after="0" w:line="224" w:lineRule="auto"/>
        <w:tabs>
          <w:tab w:leader="none" w:pos="306" w:val="left"/>
        </w:tabs>
        <w:numPr>
          <w:ilvl w:val="0"/>
          <w:numId w:val="65"/>
        </w:numPr>
        <w:rPr>
          <w:rFonts w:ascii="Arial" w:cs="Arial" w:eastAsia="Arial" w:hAnsi="Arial"/>
          <w:sz w:val="22"/>
          <w:szCs w:val="22"/>
          <w:color w:val="auto"/>
        </w:rPr>
      </w:pPr>
      <w:r>
        <w:rPr>
          <w:rFonts w:ascii="Arial" w:cs="Arial" w:eastAsia="Arial" w:hAnsi="Arial"/>
          <w:sz w:val="22"/>
          <w:szCs w:val="22"/>
          <w:color w:val="auto"/>
        </w:rPr>
        <w:t>neither the Company nor any of its Affiliates or Representatives is making, directly or indirectly, any representation or warranty with respect to any estimates, projections or forecasts involving the Company.</w:t>
      </w:r>
    </w:p>
    <w:p>
      <w:pPr>
        <w:spacing w:after="0" w:line="13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w:t>
      </w: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61" w:lineRule="exact"/>
        <w:rPr>
          <w:sz w:val="20"/>
          <w:szCs w:val="20"/>
          <w:color w:val="auto"/>
        </w:rPr>
      </w:pPr>
    </w:p>
    <w:p>
      <w:pPr>
        <w:ind w:right="40" w:firstLine="648"/>
        <w:spacing w:after="0" w:line="247"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Covenants Regarding Information</w:t>
      </w:r>
      <w:r>
        <w:rPr>
          <w:rFonts w:ascii="Arial" w:cs="Arial" w:eastAsia="Arial" w:hAnsi="Arial"/>
          <w:sz w:val="19"/>
          <w:szCs w:val="19"/>
          <w:color w:val="auto"/>
        </w:rPr>
        <w:t xml:space="preserve">. For a period of seven years after the Closing or, if shorter, the applicable period specified in the Company’s document retention policy, the Company shall (i) retain the books and records relating to the Company relating to periods prior to the Closing and (ii) afford the Stockholders reasonable access (including the right to make, at the Stockholders’ expense, photocopies), subject to any limitations resulting from any Public Health Measures, during normal business hours, to such books and records;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notify the Stockholders in writing at least 30 days in advance of destroying any such books and records prior to the seventh anniversary of the Closing Date in order to provide the Stockholders the opportunity to copy such books and records in accordance with this Section 6.1(b).</w:t>
      </w:r>
    </w:p>
    <w:p>
      <w:pPr>
        <w:spacing w:after="0" w:line="15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173" w:lineRule="exact"/>
        <w:rPr>
          <w:sz w:val="20"/>
          <w:szCs w:val="20"/>
          <w:color w:val="auto"/>
        </w:rPr>
      </w:pPr>
    </w:p>
    <w:p>
      <w:pPr>
        <w:ind w:right="100" w:firstLine="1304"/>
        <w:spacing w:after="0" w:line="220" w:lineRule="auto"/>
        <w:tabs>
          <w:tab w:leader="none" w:pos="17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Acquiror shall provide, or cause to be provided, to each employee (the “</w:t>
      </w:r>
      <w:r>
        <w:rPr>
          <w:rFonts w:ascii="Arial" w:cs="Arial" w:eastAsia="Arial" w:hAnsi="Arial"/>
          <w:sz w:val="22"/>
          <w:szCs w:val="22"/>
          <w:b w:val="1"/>
          <w:bCs w:val="1"/>
          <w:color w:val="auto"/>
        </w:rPr>
        <w:t>Affected Employees</w:t>
      </w:r>
      <w:r>
        <w:rPr>
          <w:rFonts w:ascii="Arial" w:cs="Arial" w:eastAsia="Arial" w:hAnsi="Arial"/>
          <w:sz w:val="22"/>
          <w:szCs w:val="22"/>
          <w:color w:val="auto"/>
        </w:rPr>
        <w:t>”) or former employees (presently entitled to benefits) of the Company, for a period of one year following the Effective Time, a base salary, annual cash bonus opportunity and other employee benefits that are comparable, in the aggregate, to those currently provided by the Company to its employees.</w:t>
      </w:r>
    </w:p>
    <w:p>
      <w:pPr>
        <w:spacing w:after="0" w:line="158" w:lineRule="exact"/>
        <w:rPr>
          <w:rFonts w:ascii="Arial" w:cs="Arial" w:eastAsia="Arial" w:hAnsi="Arial"/>
          <w:sz w:val="22"/>
          <w:szCs w:val="22"/>
          <w:color w:val="auto"/>
        </w:rPr>
      </w:pPr>
    </w:p>
    <w:p>
      <w:pPr>
        <w:ind w:right="40" w:firstLine="1304"/>
        <w:spacing w:after="0" w:line="242" w:lineRule="auto"/>
        <w:tabs>
          <w:tab w:leader="none" w:pos="1752" w:val="left"/>
        </w:tabs>
        <w:numPr>
          <w:ilvl w:val="0"/>
          <w:numId w:val="66"/>
        </w:numPr>
        <w:rPr>
          <w:rFonts w:ascii="Arial" w:cs="Arial" w:eastAsia="Arial" w:hAnsi="Arial"/>
          <w:sz w:val="19"/>
          <w:szCs w:val="19"/>
          <w:color w:val="auto"/>
        </w:rPr>
      </w:pPr>
      <w:r>
        <w:rPr>
          <w:rFonts w:ascii="Arial" w:cs="Arial" w:eastAsia="Arial" w:hAnsi="Arial"/>
          <w:sz w:val="19"/>
          <w:szCs w:val="19"/>
          <w:color w:val="auto"/>
        </w:rPr>
        <w:t>Acquiror shall, or shall cause the Surviving Entity to, honor all unused vacation, holiday, sickness and personal days accrued by the employees of the Company under the policies and practices of the Company. In the event of any change in the welfare benefits provided to any employee of the Company under any plan, Acquiror shall, or shall cause the Surviving Entity to, (i) waive all limitations as to preexisting conditions, exclusions and waiting periods with respect to participation and coverage requirements applicable to the Affected Employees and their covered dependents under such plan (except to the extent that such conditions, exclusions or waiting periods would apply under the Company’s then existing plans absent any change in such welfare coverage plan) and (ii) provide or cause to be provided to each Affected Employee and his or her covered dependents with credit for any co-payments and deductibles paid prior to any such change in coverage in satisfying any applicable deductible or out-of-pocket requirements under such new or changed plan. Acquiror shall, or shall cause the Surviving Entity to, provide each Affected Employee with credit for all service with the Company and its Affiliates under each employee benefit plan, policy, program or arrangement in which such Affected Employee is eligible to participate, except (i) to the extent that it would result in a duplication of benefits with respect to the same period of services or (ii) with respect to benefit accruals under a pension or similar plan.</w:t>
      </w:r>
    </w:p>
    <w:p>
      <w:pPr>
        <w:sectPr>
          <w:pgSz w:w="11900" w:h="16838" w:orient="portrait"/>
          <w:cols w:equalWidth="0" w:num="1">
            <w:col w:w="11200"/>
          </w:cols>
          <w:pgMar w:left="320" w:top="1440" w:right="379" w:bottom="1440" w:gutter="0" w:footer="0" w:header="0"/>
        </w:sectPr>
      </w:pPr>
    </w:p>
    <w:bookmarkStart w:id="95" w:name="page96"/>
    <w:bookmarkEnd w:id="95"/>
    <w:p>
      <w:pPr>
        <w:spacing w:after="0" w:line="177" w:lineRule="exact"/>
        <w:rPr>
          <w:sz w:val="20"/>
          <w:szCs w:val="20"/>
          <w:color w:val="auto"/>
        </w:rPr>
      </w:pPr>
    </w:p>
    <w:p>
      <w:pPr>
        <w:ind w:right="120" w:firstLine="1304"/>
        <w:spacing w:after="0" w:line="214" w:lineRule="auto"/>
        <w:tabs>
          <w:tab w:leader="none" w:pos="17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This Section 6.2 is intended to benefit and bind Acquiror, the Surviving Entity and any Person referenced in this Section 6.2, each of whom may enforce the provision of this Section 6.2 whether or not parties to this Agreement. Except as provided in Section 6.2(a), nothing contained in this Section 6.2 shall be construed to create any beneficiary rights in any employee or former employee (including any dependent thereof) of the Company or the Surviving Entity in respect of continued employment for any specified period, nor to require Acquiror or the Surviving Entity to continue any specific employee benefit plans.</w:t>
      </w:r>
    </w:p>
    <w:p>
      <w:pPr>
        <w:spacing w:after="0" w:line="159"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On and after the Closing Date, the parties shall consult with each other before issuing any press release or otherwise making any public statements with respect to this Agreement or the transactions contemplated hereby, and none of the parties shall issue any press release or make any public statement prior to obtaining the other parties’ written approval, which approval shall not be unreasonably withheld, except that no such approval shall be necessary to the extent disclosure may be required by applicable Law or any listing agreement of any party hereto, including with respect to the filing of the HSR Pre-Merger Notice or with respect to seeking any other approval of a Governmental Authority required to close the Merger, provided that the party required to make such disclosure under applicable Law gives the other Parties reasonable prior notice of such required disclosure to the extent reasonably practicable.</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Intentionally Omitted.</w:t>
      </w:r>
    </w:p>
    <w:p>
      <w:pPr>
        <w:spacing w:after="0" w:line="179"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u w:val="single" w:color="auto"/>
          <w:color w:val="auto"/>
        </w:rPr>
        <w:t>R&amp;W Insurance</w:t>
      </w:r>
      <w:r>
        <w:rPr>
          <w:rFonts w:ascii="Arial" w:cs="Arial" w:eastAsia="Arial" w:hAnsi="Arial"/>
          <w:sz w:val="21"/>
          <w:szCs w:val="21"/>
          <w:color w:val="auto"/>
        </w:rPr>
        <w:t>. Attached as Exhibit B is an agreement dated as of the date hereof between Acquiror and R&amp;W Insurer pursuant to which Acquiror shall obtain at the Closing the R&amp;W Insurance Policy from the R&amp;W Insurer (the “</w:t>
      </w:r>
      <w:r>
        <w:rPr>
          <w:rFonts w:ascii="Arial" w:cs="Arial" w:eastAsia="Arial" w:hAnsi="Arial"/>
          <w:sz w:val="21"/>
          <w:szCs w:val="21"/>
          <w:b w:val="1"/>
          <w:bCs w:val="1"/>
          <w:color w:val="auto"/>
        </w:rPr>
        <w:t>R&amp;W Binder Agreement</w:t>
      </w:r>
      <w:r>
        <w:rPr>
          <w:rFonts w:ascii="Arial" w:cs="Arial" w:eastAsia="Arial" w:hAnsi="Arial"/>
          <w:sz w:val="21"/>
          <w:szCs w:val="21"/>
          <w:color w:val="auto"/>
        </w:rPr>
        <w:t>”). At the Closing, Acquiror shall cause the R&amp;W Insurance Policy to be issued to Acquiror in accordance with the terms of the Binder Agreement. Acquiror shall pay 100% of the R&amp;W Insurance Fees. The Binder Agreement and the R&amp;W Insurance Policy shall expressly provide that the insurers issuing such policies shall have no right, and shall expressly waive any right, of subrogation, contribution or any other claim against the Company Indemnitors based upon, arising out of, or in any way resulting from this Agreement, the Merger, the Binder Agreement or the R&amp;W Insurance Policy, except in respect of Fraud. The Acquiror Indemnified Parties shall not amend, waive, modify, or otherwise revise any of the terms of the Binder Agreement or the R&amp;W Insurance Policy, including the anti-subrogation waiver contained in the R&amp;W Insurance Policy, in any manner adverse to the Company Indemnitors without the prior written consent of the Company, prior to Closing, or the Stockholders’ Representative, after Closing. Prior to or concurrently with the Closing, Acquiror shall pay 100% of the outstanding R&amp;W Insurance Fees.</w:t>
      </w:r>
    </w:p>
    <w:p>
      <w:pPr>
        <w:spacing w:after="0" w:line="16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79" w:lineRule="exact"/>
        <w:rPr>
          <w:sz w:val="20"/>
          <w:szCs w:val="20"/>
          <w:color w:val="auto"/>
        </w:rPr>
      </w:pPr>
    </w:p>
    <w:p>
      <w:pPr>
        <w:ind w:right="80" w:firstLine="1304"/>
        <w:spacing w:after="0" w:line="243" w:lineRule="auto"/>
        <w:tabs>
          <w:tab w:leader="none" w:pos="1752" w:val="left"/>
        </w:tabs>
        <w:numPr>
          <w:ilvl w:val="0"/>
          <w:numId w:val="68"/>
        </w:numPr>
        <w:rPr>
          <w:rFonts w:ascii="Arial" w:cs="Arial" w:eastAsia="Arial" w:hAnsi="Arial"/>
          <w:sz w:val="19"/>
          <w:szCs w:val="19"/>
          <w:color w:val="auto"/>
        </w:rPr>
      </w:pPr>
      <w:r>
        <w:rPr>
          <w:rFonts w:ascii="Arial" w:cs="Arial" w:eastAsia="Arial" w:hAnsi="Arial"/>
          <w:sz w:val="19"/>
          <w:szCs w:val="19"/>
          <w:color w:val="auto"/>
        </w:rPr>
        <w:t>Effective as of the Closing, the each Stockholder, on each Stockholder’s own behalf and on behalf of the each Stockholder’s past, present and future agents, attorneys, administrators, heirs, executors, spouses, trustees, beneficiaries, representatives, successors and assigns claiming by or through the such Stockholder (each, a “</w:t>
      </w:r>
      <w:r>
        <w:rPr>
          <w:rFonts w:ascii="Arial" w:cs="Arial" w:eastAsia="Arial" w:hAnsi="Arial"/>
          <w:sz w:val="19"/>
          <w:szCs w:val="19"/>
          <w:b w:val="1"/>
          <w:bCs w:val="1"/>
          <w:color w:val="auto"/>
        </w:rPr>
        <w:t>Releasing Party</w:t>
      </w:r>
      <w:r>
        <w:rPr>
          <w:rFonts w:ascii="Arial" w:cs="Arial" w:eastAsia="Arial" w:hAnsi="Arial"/>
          <w:sz w:val="19"/>
          <w:szCs w:val="19"/>
          <w:color w:val="auto"/>
        </w:rPr>
        <w:t>”), hereby absolutely, unconditionally and irrevocably releases and forever discharges the Company and its past, present and future directors, managers, members, shareholders, officers, employees, agents, Subsidiaries, Affiliates (including Merger Sub and Company), attorneys, representatives, successors and assigns, from any and all claims (including any derivative claim on behalf of any Person), Actions, causes of action, suits, arbitrations, proceedings, debts, liabilities, obligations, sums of money, accounts, covenants, contracts, controversies, agreements, promises, damages, fees, expenses, judgments, executions, indemnification rights, claims and demands arising out, relating to, against or in any way connected with the Company, in respect of any and all agreements, liabilities or obligations entered into or incurred on or prior to the Closing Date, or in respect of any event occurring or circumstances existing on or prior to the Closing Date,</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7" w:lineRule="exact"/>
        <w:rPr>
          <w:sz w:val="20"/>
          <w:szCs w:val="20"/>
          <w:color w:val="auto"/>
        </w:rPr>
      </w:pPr>
    </w:p>
    <w:p>
      <w:pPr>
        <w:ind w:right="60"/>
        <w:spacing w:after="0" w:line="221" w:lineRule="auto"/>
        <w:rPr>
          <w:sz w:val="20"/>
          <w:szCs w:val="20"/>
          <w:color w:val="auto"/>
        </w:rPr>
      </w:pPr>
      <w:r>
        <w:rPr>
          <w:rFonts w:ascii="Arial" w:cs="Arial" w:eastAsia="Arial" w:hAnsi="Arial"/>
          <w:sz w:val="21"/>
          <w:szCs w:val="21"/>
          <w:color w:val="auto"/>
        </w:rPr>
        <w:t xml:space="preserve">whether or not relating to claims pending on, or asserted after, the Closing Date, including any claims relating to the entry into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release does not extend to, include, restrict or limit in any way any claims, rights or remedies available to Stockholders under this Agreement, or any other Transaction Agreement or any third party beneficiary rights Stockholders may have with respect to the R&amp;W Policy. Effective as of the Closing, the Releasing Parties expressly waive all rights afforded by any statute which limits the effect of a release with respect to unknown claims. Without limiting the generality of the foregoing, each Releasing Party waives all rights under, and acknowledges and agrees that it has read and understands and has been fully advised by its attorneys as to the contents of, Section 1542 of the Civil Code of the State of California, which provides:</w:t>
      </w:r>
    </w:p>
    <w:p>
      <w:pPr>
        <w:spacing w:after="0" w:line="165" w:lineRule="exact"/>
        <w:rPr>
          <w:sz w:val="20"/>
          <w:szCs w:val="20"/>
          <w:color w:val="auto"/>
        </w:rPr>
      </w:pPr>
    </w:p>
    <w:p>
      <w:pPr>
        <w:ind w:right="140" w:firstLine="1304"/>
        <w:spacing w:after="0" w:line="234" w:lineRule="auto"/>
        <w:tabs>
          <w:tab w:leader="none" w:pos="1752" w:val="left"/>
        </w:tabs>
        <w:numPr>
          <w:ilvl w:val="0"/>
          <w:numId w:val="69"/>
        </w:numPr>
        <w:rPr>
          <w:rFonts w:ascii="Arial" w:cs="Arial" w:eastAsia="Arial" w:hAnsi="Arial"/>
          <w:sz w:val="21"/>
          <w:szCs w:val="21"/>
          <w:color w:val="auto"/>
        </w:rPr>
      </w:pPr>
      <w:r>
        <w:rPr>
          <w:rFonts w:ascii="Arial" w:cs="Arial" w:eastAsia="Arial" w:hAnsi="Arial"/>
          <w:sz w:val="21"/>
          <w:szCs w:val="2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57" w:lineRule="exact"/>
        <w:rPr>
          <w:rFonts w:ascii="Arial" w:cs="Arial" w:eastAsia="Arial" w:hAnsi="Arial"/>
          <w:sz w:val="21"/>
          <w:szCs w:val="21"/>
          <w:color w:val="auto"/>
        </w:rPr>
      </w:pPr>
    </w:p>
    <w:p>
      <w:pPr>
        <w:ind w:right="60" w:firstLine="1304"/>
        <w:spacing w:after="0" w:line="214" w:lineRule="auto"/>
        <w:tabs>
          <w:tab w:leader="none" w:pos="1752"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Releasing Party understands the significance of this release of unknown claims and waiver of statutory protection against a release of unknown claims, and acknowledges and agrees that this waiver is an essential and material term of this Agreement. Each Releasing Party acknowledges that the Company and the Acquiror and the Merger Sub will be relying on the waiver and release provided in this Section 6.6 in connection with entering into this Agreement and that this Section 6.6 is intended for the benefit of, and to grant third party rights to the Acquiror and its Affiliates (including Merger Sub) to enforce this Section 6.6.</w:t>
      </w:r>
    </w:p>
    <w:p>
      <w:pPr>
        <w:spacing w:after="0" w:line="159"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 The parties acknowledge that the non-competition and non-solicitation covenants of Stockholders set forth below are material terms of this Agreement and that Acquiror would not enter into this Agreement without such covenants.</w:t>
      </w:r>
    </w:p>
    <w:p>
      <w:pPr>
        <w:spacing w:after="0" w:line="159" w:lineRule="exact"/>
        <w:rPr>
          <w:sz w:val="20"/>
          <w:szCs w:val="20"/>
          <w:color w:val="auto"/>
        </w:rPr>
      </w:pPr>
    </w:p>
    <w:p>
      <w:pPr>
        <w:ind w:firstLine="1304"/>
        <w:spacing w:after="0" w:line="246" w:lineRule="auto"/>
        <w:tabs>
          <w:tab w:leader="none" w:pos="175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For a period equal to five (5) years from and after the Closing Date, Stockholders shall not, directly or indirectly, own, manage, control, be employed by, operate, or otherwise be engaged a business which develops, produces, sells, licenses, or distributes products in competition with the Business. Notwithstanding the foregoing, nothing herein shall prohibit a Stockholder from (i) being a passive owner of not more than 2% of the outstanding stock of any class of securities of any publicly traded corporation, (ii) performing any services as an employee or consultant for Acquiror or the Company, (iii) engaging or participating in any activity consented to in writing in advance by Acquiror, or (iv) owning, managing, controlling, being employed by, operating, or otherwise being engaged in a business that assembles and tests semiconductors as long as such business does not have other business lines that compete with the Business.</w:t>
      </w:r>
    </w:p>
    <w:p>
      <w:pPr>
        <w:spacing w:after="0" w:line="152" w:lineRule="exact"/>
        <w:rPr>
          <w:rFonts w:ascii="Arial" w:cs="Arial" w:eastAsia="Arial" w:hAnsi="Arial"/>
          <w:sz w:val="19"/>
          <w:szCs w:val="19"/>
          <w:color w:val="auto"/>
        </w:rPr>
      </w:pPr>
    </w:p>
    <w:p>
      <w:pPr>
        <w:ind w:right="60" w:firstLine="1304"/>
        <w:spacing w:after="0" w:line="221" w:lineRule="auto"/>
        <w:tabs>
          <w:tab w:leader="none" w:pos="1764"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For a period equal to five (5) years from and after the Closing Date, neither Stockholder shall, directly or indirectly, (i) solicit, recruit, aid, or induce any of the Business Employee to leave his or her employment with the Company or hire any such Business Employee or (ii) solicit or seek to induce any customer of the Company as of the Closing Date to terminate, modify, or diminish in any way its business relationship with Acquiror. Notwithstanding the foregoing, a general, public solicitation for employment, the use of an employee recruiting or search firm to conduct a search that may be targeted to a particular geographic or technical area but that does not specifically target employees of the Company or the hiring of individuals who had their employment terminated by Acquiror within one year prior to such hiring shall not be a violation of this Section 6.8(b).</w:t>
      </w:r>
    </w:p>
    <w:p>
      <w:pPr>
        <w:spacing w:after="0" w:line="165"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Post-Closing Confidentiality</w:t>
      </w:r>
      <w:r>
        <w:rPr>
          <w:rFonts w:ascii="Arial" w:cs="Arial" w:eastAsia="Arial" w:hAnsi="Arial"/>
          <w:sz w:val="22"/>
          <w:szCs w:val="22"/>
          <w:color w:val="auto"/>
        </w:rPr>
        <w:t>. Notwithstanding anything to the contrary in this Agreement, the Stockholders shall hold in confidence and not disclose, publish or make use</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7"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of, without the prior written consent of Acquiror, any Confidential Information with respect to the business, operations, personnel, assets, or liabilities of the Company; provided that nothing in this sentence shall limit the disclosure by Stockholders of any information (a) to the extent required by applicable Law or judicial process or requested by a Governmental Authority (provided that if permitted by applicable Law, such Stockholder agrees to give Acquiror prior notice of such disclosure in reasonably sufficient time to permit, at its sole cost and expense, Acquiror to attempt to obtain a protective order should it so determine), (b) in connection with any litigation to which such Stockholder is a party (provided that Stockholders has taken all reasonable actions to limit the scope and degree of disclosure in any such litigation), (c) in an indemnity claim brought by a Party in pursuit of its rights or in the exercise of its remedies under this Agreement, (d) to a Governmental Authority or to its professional advisors in connection with the preparation or filing of a Tax Return or other filing or application required by applicable Law or in connection with its other financial reporting obligations, and (e) to the extent that such documents or information is publicly available through no violation of this Section 6.8 by the Stockholders or their Affiliates or was independently developed by a Stockholder without use of, or reference to, the non-public and proprietary information of the Company.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jc w:val="center"/>
        <w:ind w:right="-19"/>
        <w:spacing w:after="0"/>
        <w:rPr>
          <w:sz w:val="20"/>
          <w:szCs w:val="20"/>
          <w:color w:val="auto"/>
        </w:rPr>
      </w:pPr>
      <w:r>
        <w:rPr>
          <w:rFonts w:ascii="Arial" w:cs="Arial" w:eastAsia="Arial" w:hAnsi="Arial"/>
          <w:sz w:val="22"/>
          <w:szCs w:val="22"/>
          <w:b w:val="1"/>
          <w:bCs w:val="1"/>
          <w:color w:val="auto"/>
        </w:rPr>
        <w:t>TAX MATTERS</w:t>
      </w:r>
    </w:p>
    <w:p>
      <w:pPr>
        <w:spacing w:after="0" w:line="161" w:lineRule="exact"/>
        <w:rPr>
          <w:sz w:val="20"/>
          <w:szCs w:val="20"/>
          <w:color w:val="auto"/>
        </w:rPr>
      </w:pPr>
    </w:p>
    <w:p>
      <w:pPr>
        <w:ind w:right="40" w:firstLine="648"/>
        <w:spacing w:after="0"/>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Return Preparation</w:t>
      </w:r>
      <w:r>
        <w:rPr>
          <w:rFonts w:ascii="Arial" w:cs="Arial" w:eastAsia="Arial" w:hAnsi="Arial"/>
          <w:sz w:val="19"/>
          <w:szCs w:val="19"/>
          <w:color w:val="auto"/>
        </w:rPr>
        <w:t xml:space="preserve">. From and after the Closing Date, the Stockholder Representative will cause to be timely prepared and filed with the appropriate Governmental Authority all Pass-Through Income Tax Returns of the Company that are required to be filed after the Closing Date (or, if required by applicable Law, the Acquiror shall file any such Pass-Through Income Tax Returns prepared and delivered by the Stockholder Representative to the Acquiror) and the Acquiror will cause to be timely prepared and filed with the appropriate Governmental Authority all other Returns of the Company for all Pre-Closing Tax Periods that are required to be filed after the Closing Date. All such Returns for any Pre-Closing Tax Period or Straddle Tax Period shall be prepared in a manner consistent with the past practices of the Company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to the extent required under applicable Law. At least thirty (30) days prior to the due date for filing any such Return (taking into account extensions of time to file), to be prepared by the Stockholder Representative, the Stockholder Representative will deliver a draft of such Return to Acquiror to provide Acquiror with an opportunity to review and reasonably comment on such Return. Acquiror will provide any reasonable comments to any such draft Return no later than fifteen (15) days after receipt of such draft from the Stockholder Representative, and the Stockholder Representative will reasonably review and discuss any comments with Acquiror before the Stockholder Representative finalizes or causes to be finalized such Return and will revise such Return to reflect any comments reasonably agreed upon by the parties. Upon finalization, the Stockholder Representative (or Acquiror, if required by Applicable Law) shall cause such Return to be timely filed and will provide a copy to Acquiror. The parties will cooperate fully and promptly in connection with the preparation and filing of such Returns. Any Return described in this Section 7.1 shall be a “</w:t>
      </w:r>
      <w:r>
        <w:rPr>
          <w:rFonts w:ascii="Arial" w:cs="Arial" w:eastAsia="Arial" w:hAnsi="Arial"/>
          <w:sz w:val="19"/>
          <w:szCs w:val="19"/>
          <w:b w:val="1"/>
          <w:bCs w:val="1"/>
          <w:color w:val="auto"/>
        </w:rPr>
        <w:t xml:space="preserve">Pre-Closing Return </w:t>
      </w:r>
      <w:r>
        <w:rPr>
          <w:rFonts w:ascii="Arial" w:cs="Arial" w:eastAsia="Arial" w:hAnsi="Arial"/>
          <w:sz w:val="19"/>
          <w:szCs w:val="19"/>
          <w:color w:val="auto"/>
        </w:rPr>
        <w:t>.” The Stockholder Representative shall be solely responsible for timely filing, and bearing any Taxes or costs</w:t>
      </w:r>
      <w:r>
        <w:rPr>
          <w:rFonts w:ascii="Arial" w:cs="Arial" w:eastAsia="Arial" w:hAnsi="Arial"/>
          <w:sz w:val="19"/>
          <w:szCs w:val="19"/>
          <w:b w:val="1"/>
          <w:bCs w:val="1"/>
          <w:color w:val="auto"/>
        </w:rPr>
        <w:t xml:space="preserve"> </w:t>
      </w:r>
      <w:r>
        <w:rPr>
          <w:rFonts w:ascii="Arial" w:cs="Arial" w:eastAsia="Arial" w:hAnsi="Arial"/>
          <w:sz w:val="19"/>
          <w:szCs w:val="19"/>
          <w:color w:val="auto"/>
        </w:rPr>
        <w:t>associated with, any Pass-Through Income Tax Returns and shall pay or cause to be timely paid any Taxes, if any, which are shown as due and owing on any other Pre-Closing Return (except to the extent such Taxes were included in the calculation of Indebtedness or Net Working Capital and resulted in the reduction of the final Merger Consideration).</w:t>
      </w:r>
    </w:p>
    <w:p>
      <w:pPr>
        <w:spacing w:after="0" w:line="166"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Allocation</w:t>
      </w:r>
      <w:r>
        <w:rPr>
          <w:rFonts w:ascii="Arial" w:cs="Arial" w:eastAsia="Arial" w:hAnsi="Arial"/>
          <w:sz w:val="21"/>
          <w:szCs w:val="21"/>
          <w:color w:val="auto"/>
        </w:rPr>
        <w:t>. To the extent required or permitted by Law, the parties shall elect to close any taxable year of the Company as of the close of business on the Closing Date. If applicable Law does not permit the Company to close its taxable year on the Closing Date, or in any case in which a Tax is assessed with respect to a Straddle Tax Period, the amount of Taxes attributable to the Pre-Closing Tax Period shall be determined to be: (a) in the case of all Taxes</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7"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(other than those set forth in clause (b) below), equal to the amount that would be payable if the taxable period ended on the Closing Date based on an interim closing of the books; and (b) in the case of any property Taxes or other such ad valorem Taxes that are imposed on a periodic basis and are payable for a Straddle Tax Period, the amount of such Taxes for the entire period multiplied by a fraction (i) the numerator of which is the number of days in the taxable period prior to and including the Closing Date and (ii) the denominator of which is the total number of days in the entire taxable period. Any Transaction Tax Deductions shall be treated as deductible in the taxable period for the final S corporation Return ending on or before the Closing Date to the maximum extent permitted by Law based on a “more likely than not” or higher level of comfort, and it shall be assumed that none of the Acquiror or any of its Affiliates shall have applied the so called “next day rule” under Treasury Regulation Section</w:t>
      </w:r>
    </w:p>
    <w:p>
      <w:pPr>
        <w:spacing w:after="0" w:line="5" w:lineRule="exact"/>
        <w:rPr>
          <w:sz w:val="20"/>
          <w:szCs w:val="20"/>
          <w:color w:val="auto"/>
        </w:rPr>
      </w:pPr>
    </w:p>
    <w:p>
      <w:pPr>
        <w:spacing w:after="0" w:line="222" w:lineRule="auto"/>
        <w:rPr>
          <w:sz w:val="20"/>
          <w:szCs w:val="20"/>
          <w:color w:val="auto"/>
        </w:rPr>
      </w:pPr>
      <w:r>
        <w:rPr>
          <w:rFonts w:ascii="Arial" w:cs="Arial" w:eastAsia="Arial" w:hAnsi="Arial"/>
          <w:sz w:val="21"/>
          <w:szCs w:val="21"/>
          <w:color w:val="auto"/>
        </w:rPr>
        <w:t>1.1502-76(b)(1)(ii)(B) to such deductions, and the election under Revenue Procedure 2011-29, 2011-18 I.R.B. to apply the 70% safe harbor to any “success based fee” as defined in Treasury Regulation Section 1.263(a)-5(f) incurred in connection with the transactions contemplated by this Agreement shall be made for U.S. federal income Tax purposes (and, as applicable, applied for state and local income Tax purposes) unless a transaction cost study prepared by a nationally recognized accounting firm supports a higher deduction (in which case such higher deduction shall apply).</w:t>
      </w:r>
    </w:p>
    <w:p>
      <w:pPr>
        <w:spacing w:after="0" w:line="161" w:lineRule="exact"/>
        <w:rPr>
          <w:sz w:val="20"/>
          <w:szCs w:val="20"/>
          <w:color w:val="auto"/>
        </w:rPr>
      </w:pPr>
    </w:p>
    <w:p>
      <w:pPr>
        <w:ind w:right="140" w:firstLine="648"/>
        <w:spacing w:after="0" w:line="247"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Transfer Taxes</w:t>
      </w:r>
      <w:r>
        <w:rPr>
          <w:rFonts w:ascii="Arial" w:cs="Arial" w:eastAsia="Arial" w:hAnsi="Arial"/>
          <w:sz w:val="19"/>
          <w:szCs w:val="19"/>
          <w:color w:val="auto"/>
        </w:rPr>
        <w:t>. All transfer, documentary, sales, use, stamp, registration, recording, conveyance, and other such Taxes incurred in connection with the transactions contemplated by this Agreement shall be paid fifty percent (50%) by the Acquiror and fifty percent (50%) by the Stockholders, and the Acquiror will file all necessary Tax Returns and other documentation with respect to all such Taxes, with expenses related thereto to be shared equally by Acquiror and the Stockholders. All parties and their affiliates shall join in the execution of any such Tax Returns and other documentation to the extent necessary to prepare and file such Tax Returns. All parties shall use their commercially reasonable efforts to obtain or execute any certificates or other documentation to mitigate, reduce or eliminate any such Taxes.</w:t>
      </w:r>
    </w:p>
    <w:p>
      <w:pPr>
        <w:spacing w:after="0" w:line="154" w:lineRule="exact"/>
        <w:rPr>
          <w:sz w:val="20"/>
          <w:szCs w:val="20"/>
          <w:color w:val="auto"/>
        </w:rPr>
      </w:pPr>
    </w:p>
    <w:p>
      <w:pPr>
        <w:ind w:right="40" w:firstLine="648"/>
        <w:spacing w:after="0" w:line="247"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Cooperation on Tax Matters</w:t>
      </w:r>
      <w:r>
        <w:rPr>
          <w:rFonts w:ascii="Arial" w:cs="Arial" w:eastAsia="Arial" w:hAnsi="Arial"/>
          <w:sz w:val="19"/>
          <w:szCs w:val="19"/>
          <w:color w:val="auto"/>
        </w:rPr>
        <w:t>. The Acquiror shall use commercially reasonable efforts to provide to the Stockholders, and the Stockholders shall use commercially reasonable efforts to provide to Acquiror, such material documents and other relevant information, at the requesting party’s expense and in a timely fashion, as each may reasonably request of the other, in connection with the filing of Returns pursuant to Section 7.1 and any Tax claims. Such cooperation shall include the retention and, upon the other party’s request and expense, the provision of records and information that are reasonably relevant to any such audit, litigation or other proceeding and making employees available on a mutually convenient basis to provide additional information and explanation of any material provided hereunder.</w:t>
      </w:r>
    </w:p>
    <w:p>
      <w:pPr>
        <w:spacing w:after="0" w:line="154" w:lineRule="exact"/>
        <w:rPr>
          <w:sz w:val="20"/>
          <w:szCs w:val="20"/>
          <w:color w:val="auto"/>
        </w:rPr>
      </w:pPr>
    </w:p>
    <w:p>
      <w:pPr>
        <w:ind w:right="140" w:firstLine="648"/>
        <w:spacing w:after="0" w:line="211"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Intended Tax Treatment</w:t>
      </w:r>
      <w:r>
        <w:rPr>
          <w:rFonts w:ascii="Arial" w:cs="Arial" w:eastAsia="Arial" w:hAnsi="Arial"/>
          <w:sz w:val="22"/>
          <w:szCs w:val="22"/>
          <w:color w:val="auto"/>
        </w:rPr>
        <w:t>. The parties intend that the Merger qualify as a “reorganization” under Section 368(a) of the Code (the “</w:t>
      </w:r>
      <w:r>
        <w:rPr>
          <w:rFonts w:ascii="Arial" w:cs="Arial" w:eastAsia="Arial" w:hAnsi="Arial"/>
          <w:sz w:val="22"/>
          <w:szCs w:val="22"/>
          <w:b w:val="1"/>
          <w:bCs w:val="1"/>
          <w:color w:val="auto"/>
        </w:rPr>
        <w:t>Intended Tax Treatment</w:t>
      </w:r>
      <w:r>
        <w:rPr>
          <w:rFonts w:ascii="Arial" w:cs="Arial" w:eastAsia="Arial" w:hAnsi="Arial"/>
          <w:sz w:val="22"/>
          <w:szCs w:val="22"/>
          <w:color w:val="auto"/>
        </w:rPr>
        <w:t>”) and each party shall use its reasonable best efforts to cause the Merger to qualify for the Intended Tax Treatment. The parties shall file all returns consistent with, and take no position inconsistent with, the Intended Tax Treatment unless required to do so by applicable Law. None of the parties shall take any action, cause any action to be taken, fail to take any action or fail to cause any action to be taken (including any action or failure to act otherwise permitted by this Agreement) that would prevent the Merger from qualifying for the Intended Tax Treatment. The parties hereby adopt this Agreement as a “plan of reorganization” within the meaning of Treasury Regulations Section 1.368-2(g) with respect to the Merger.</w:t>
      </w:r>
    </w:p>
    <w:p>
      <w:pPr>
        <w:spacing w:after="0" w:line="165"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auto"/>
        </w:rPr>
        <w:t xml:space="preserve">Section 7.6 </w:t>
      </w:r>
      <w:r>
        <w:rPr>
          <w:rFonts w:ascii="Arial" w:cs="Arial" w:eastAsia="Arial" w:hAnsi="Arial"/>
          <w:sz w:val="21"/>
          <w:szCs w:val="21"/>
          <w:u w:val="single" w:color="auto"/>
          <w:color w:val="auto"/>
        </w:rPr>
        <w:t>Post-Closing Actions</w:t>
      </w:r>
      <w:r>
        <w:rPr>
          <w:rFonts w:ascii="Arial" w:cs="Arial" w:eastAsia="Arial" w:hAnsi="Arial"/>
          <w:sz w:val="21"/>
          <w:szCs w:val="21"/>
          <w:color w:val="auto"/>
        </w:rPr>
        <w:t xml:space="preserve">. Acquiror and its Affiliates (including on or after the Closing Date, the Surviving Entity) shall not (i) file (except as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or amend a Return of the Company for any Pre-Closing Tax Period including any Straddle Tax Period, (ii) extend or waive the applicable statute of limitations with respect to a Tax of the Company for any Pre-Closing Tax Period including any Straddle Tax Period, (iii) file any ruling</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or request with any taxing authority that relates to Taxes or Returns of the Company for any Pre-Closing Tax Period including any Straddle Tax Period, or (iv) make any Tax election with respect to the Company (including an election under Sections 336 or 338 of the Code or any similar provision of foreign, state or local law) that relates to, or is retroactive to, any Pre-Closing Tax Period including any Straddle Tax Period, in each case, without the prior written consent of the Stockholders.</w:t>
      </w:r>
    </w:p>
    <w:p>
      <w:pPr>
        <w:spacing w:after="0" w:line="144"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Merger Consideration Adjustments</w:t>
      </w:r>
      <w:r>
        <w:rPr>
          <w:rFonts w:ascii="Arial" w:cs="Arial" w:eastAsia="Arial" w:hAnsi="Arial"/>
          <w:sz w:val="19"/>
          <w:szCs w:val="19"/>
          <w:color w:val="auto"/>
        </w:rPr>
        <w:t>. Any payment made pursuant to the Escrow Agreement, if any, and the Contingent Payments made under Section 2.12, if any, shall be treated by the parties hereto and their respective Affiliates, for U.S. federal income Tax and other applicable Tax purposes, as an adjustment to the consideration received by the Stockholders in the transactions contemplated by this Agreement, unless otherwise required by a “determination” within the meaning of Section 1313 of the Code (or similar provision of state Law). Acquiror and Stockholder Representative agree that, for purposes of U.S. federal and other taxes based on income, the Acquiror will be treated as the owner of the Adjustment Escrow Fund and of 100% of the income derived therefrom, and the Acquiror shall report all such income as its taxable income in the taxable year or years in which such income is properly includible and pay any taxes attributable thereto.</w:t>
      </w:r>
    </w:p>
    <w:p>
      <w:pPr>
        <w:spacing w:after="0" w:line="133"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VIII</w:t>
      </w:r>
    </w:p>
    <w:p>
      <w:pPr>
        <w:ind w:left="4980"/>
        <w:spacing w:after="0"/>
        <w:rPr>
          <w:sz w:val="20"/>
          <w:szCs w:val="20"/>
          <w:color w:val="auto"/>
        </w:rPr>
      </w:pPr>
      <w:r>
        <w:rPr>
          <w:rFonts w:ascii="Arial" w:cs="Arial" w:eastAsia="Arial" w:hAnsi="Arial"/>
          <w:sz w:val="22"/>
          <w:szCs w:val="22"/>
          <w:b w:val="1"/>
          <w:bCs w:val="1"/>
          <w:color w:val="auto"/>
        </w:rPr>
        <w:t>INDEMNITY</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Stockholder Indemnity</w:t>
      </w:r>
      <w:r>
        <w:rPr>
          <w:rFonts w:ascii="Arial" w:cs="Arial" w:eastAsia="Arial" w:hAnsi="Arial"/>
          <w:sz w:val="19"/>
          <w:szCs w:val="19"/>
          <w:color w:val="auto"/>
        </w:rPr>
        <w:t>. Subject to the limitations set forth in this Article VIII (including Section 8.3), from and after the Closing Date, the Stockholders (collectively, “</w:t>
      </w:r>
      <w:r>
        <w:rPr>
          <w:rFonts w:ascii="Arial" w:cs="Arial" w:eastAsia="Arial" w:hAnsi="Arial"/>
          <w:sz w:val="19"/>
          <w:szCs w:val="19"/>
          <w:b w:val="1"/>
          <w:bCs w:val="1"/>
          <w:color w:val="auto"/>
        </w:rPr>
        <w:t>Stockholder Indemnitors</w:t>
      </w:r>
      <w:r>
        <w:rPr>
          <w:rFonts w:ascii="Arial" w:cs="Arial" w:eastAsia="Arial" w:hAnsi="Arial"/>
          <w:sz w:val="19"/>
          <w:szCs w:val="19"/>
          <w:color w:val="auto"/>
        </w:rPr>
        <w:t>”) shall, jointly and severally, indemnify, defend, and hold harmless Acquiror and its Affiliates (the “</w:t>
      </w:r>
      <w:r>
        <w:rPr>
          <w:rFonts w:ascii="Arial" w:cs="Arial" w:eastAsia="Arial" w:hAnsi="Arial"/>
          <w:sz w:val="19"/>
          <w:szCs w:val="19"/>
          <w:b w:val="1"/>
          <w:bCs w:val="1"/>
          <w:color w:val="auto"/>
        </w:rPr>
        <w:t>Acquiror Indemnified Parties</w:t>
      </w:r>
      <w:r>
        <w:rPr>
          <w:rFonts w:ascii="Arial" w:cs="Arial" w:eastAsia="Arial" w:hAnsi="Arial"/>
          <w:sz w:val="19"/>
          <w:szCs w:val="19"/>
          <w:color w:val="auto"/>
        </w:rPr>
        <w:t>”) from and against any and all Losses of the Acquiror Indemnified Parties arising out of: (a) any breach of any representation or warranty of the Company in Article III,</w:t>
      </w:r>
    </w:p>
    <w:p>
      <w:pPr>
        <w:spacing w:after="0" w:line="1" w:lineRule="exact"/>
        <w:rPr>
          <w:sz w:val="20"/>
          <w:szCs w:val="20"/>
          <w:color w:val="auto"/>
        </w:rPr>
      </w:pPr>
    </w:p>
    <w:p>
      <w:pPr>
        <w:ind w:right="80" w:firstLine="8"/>
        <w:spacing w:after="0" w:line="214" w:lineRule="auto"/>
        <w:tabs>
          <w:tab w:leader="none" w:pos="306"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breach of any representation or warranty of a Stockholder in Article IV of this Agreement, (c) any failure by the Company to fulfill prior to Closing any covenant or other obligation required to be fulfilled by the Company prior to Closing under the terms of this Agreement and (d) any failure by a Stockholder to comply with or fulfill any covenant or other obligation required to be fulfilled by such Stockholder under the terms of this Agreement.</w:t>
      </w:r>
    </w:p>
    <w:p>
      <w:pPr>
        <w:spacing w:after="0" w:line="160"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Acquiror Indemnity</w:t>
      </w:r>
      <w:r>
        <w:rPr>
          <w:rFonts w:ascii="Arial" w:cs="Arial" w:eastAsia="Arial" w:hAnsi="Arial"/>
          <w:sz w:val="19"/>
          <w:szCs w:val="19"/>
          <w:color w:val="auto"/>
        </w:rPr>
        <w:t>. Subject to the limitations set forth in this Article VIII (including Section 8.3), from and after the Closing Date, Acquiror shall indemnify, defend, and hold harmless each of the Stockholder Indemnitors, the Stockholder Representative, and their respective Affiliates (collectively, the “</w:t>
      </w:r>
      <w:r>
        <w:rPr>
          <w:rFonts w:ascii="Arial" w:cs="Arial" w:eastAsia="Arial" w:hAnsi="Arial"/>
          <w:sz w:val="19"/>
          <w:szCs w:val="19"/>
          <w:b w:val="1"/>
          <w:bCs w:val="1"/>
          <w:color w:val="auto"/>
        </w:rPr>
        <w:t>Stockholder Indemnified Parties</w:t>
      </w:r>
      <w:r>
        <w:rPr>
          <w:rFonts w:ascii="Arial" w:cs="Arial" w:eastAsia="Arial" w:hAnsi="Arial"/>
          <w:sz w:val="19"/>
          <w:szCs w:val="19"/>
          <w:color w:val="auto"/>
        </w:rPr>
        <w:t>”) harmless from and against any and all Loss incurred or sustained by the Stockholder Indemnified Parties arising out of (a) any breach of any representation or warranty of Acquiror in Article V of this Agreement, and (b) the failure by Acquiror to comply with any covenant or fulfill any covenant or other obligation required to be fulfilled by Acquiror under the terms of this Agreement.</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Indemnification Limitations and Qualification Exception</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22" w:lineRule="auto"/>
        <w:tabs>
          <w:tab w:leader="none" w:pos="1752"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Non-Fundamental Representations shall survive the Closing and remain in full force and effect for a period of two years after the Closing Date and the Fundamental Representations shall survive the Closing and remain in full force and effect for a period of six years after the Closing Date and no indemnification under this Article VIII for any breach of a representation or warranty shall be payable unless a claim therefor is made within the applicable survival period specified in this Section 8.3(a). The Post-Closing Covenants shall survive in accordance with their terms. Notwithstanding anything to the contrary in this Agreement, this Section 8.3(a) shall not alter the survival periods in the R&amp;W Insurance Policy or limit any rights that Acquiror has under the R&amp;W Insurance Policy.</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77" w:lineRule="exact"/>
        <w:rPr>
          <w:sz w:val="20"/>
          <w:szCs w:val="20"/>
          <w:color w:val="auto"/>
        </w:rPr>
      </w:pPr>
    </w:p>
    <w:p>
      <w:pPr>
        <w:ind w:left="-1120" w:right="40" w:firstLine="1304"/>
        <w:spacing w:after="0" w:line="226" w:lineRule="auto"/>
        <w:tabs>
          <w:tab w:leader="none" w:pos="644"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Materiality Scrape</w:t>
      </w:r>
      <w:r>
        <w:rPr>
          <w:rFonts w:ascii="Arial" w:cs="Arial" w:eastAsia="Arial" w:hAnsi="Arial"/>
          <w:sz w:val="21"/>
          <w:szCs w:val="21"/>
          <w:color w:val="auto"/>
        </w:rPr>
        <w:t>. For purposes of this Article VIII, when determining whether a representation or warranty is inaccurate or has been breached and the amount of Loss related thereto, any Material Adverse Effect or other materiality qualifier contained in such representation or warranty will be disregarded; provided that the foregoing shall not apply to (1) the word “Material” in the defined term “Material Contract”, (2) the use of the term “Company Material Adverse Effect” in Section 3.7(o) or (3) the use of the word material or any materiality qualifier in Section 3.6.</w:t>
      </w:r>
    </w:p>
    <w:p>
      <w:pPr>
        <w:spacing w:after="0" w:line="159" w:lineRule="exact"/>
        <w:rPr>
          <w:rFonts w:ascii="Arial" w:cs="Arial" w:eastAsia="Arial" w:hAnsi="Arial"/>
          <w:sz w:val="21"/>
          <w:szCs w:val="21"/>
          <w:color w:val="auto"/>
        </w:rPr>
      </w:pPr>
    </w:p>
    <w:p>
      <w:pPr>
        <w:ind w:left="-1120" w:right="80" w:firstLine="1304"/>
        <w:spacing w:after="0" w:line="246" w:lineRule="auto"/>
        <w:tabs>
          <w:tab w:leader="none" w:pos="63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Non-Fundamental Threshold</w:t>
      </w:r>
      <w:r>
        <w:rPr>
          <w:rFonts w:ascii="Arial" w:cs="Arial" w:eastAsia="Arial" w:hAnsi="Arial"/>
          <w:sz w:val="19"/>
          <w:szCs w:val="19"/>
          <w:color w:val="auto"/>
        </w:rPr>
        <w:t>. Except in the case of Fraud, the Acquiror Indemnified Parties shall not be entitled to indemnification for breach of a Stockholder Party Non-Fundamental Representation unless (i) the Loss for an individual claim of such breach exceeds $10,000 (the “</w:t>
      </w:r>
      <w:r>
        <w:rPr>
          <w:rFonts w:ascii="Arial" w:cs="Arial" w:eastAsia="Arial" w:hAnsi="Arial"/>
          <w:sz w:val="19"/>
          <w:szCs w:val="19"/>
          <w:b w:val="1"/>
          <w:bCs w:val="1"/>
          <w:color w:val="auto"/>
        </w:rPr>
        <w:t>Minimum Loss Amount</w:t>
      </w:r>
      <w:r>
        <w:rPr>
          <w:rFonts w:ascii="Arial" w:cs="Arial" w:eastAsia="Arial" w:hAnsi="Arial"/>
          <w:sz w:val="19"/>
          <w:szCs w:val="19"/>
          <w:color w:val="auto"/>
        </w:rPr>
        <w:t>”) and (b) the aggregate amount of Loss for all individual claims of such breaches exceeds $923,673.70 in the first year after Closing or $615,782.47 thereafter (the “</w:t>
      </w:r>
      <w:r>
        <w:rPr>
          <w:rFonts w:ascii="Arial" w:cs="Arial" w:eastAsia="Arial" w:hAnsi="Arial"/>
          <w:sz w:val="19"/>
          <w:szCs w:val="19"/>
          <w:b w:val="1"/>
          <w:bCs w:val="1"/>
          <w:color w:val="auto"/>
        </w:rPr>
        <w:t>Non-Fundamental Threshold</w:t>
      </w:r>
      <w:r>
        <w:rPr>
          <w:rFonts w:ascii="Arial" w:cs="Arial" w:eastAsia="Arial" w:hAnsi="Arial"/>
          <w:sz w:val="19"/>
          <w:szCs w:val="19"/>
          <w:color w:val="auto"/>
        </w:rPr>
        <w:t>”), provided that, once the Non-Fundamental Threshold has been exceeded, the Stockholders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liable only for the Losses in excess of the Non-Fundamental Threshold. Where there is a Loss for breach of a Stockholder Party Non-Fundamental Representation, but such Loss does not exceed the Minimum Loss Amount, such Loss shall be included in the aggregate calculation of whether the Non-Fundamental Threshold has been exceeded.</w:t>
      </w:r>
    </w:p>
    <w:p>
      <w:pPr>
        <w:spacing w:after="0" w:line="152" w:lineRule="exact"/>
        <w:rPr>
          <w:rFonts w:ascii="Arial" w:cs="Arial" w:eastAsia="Arial" w:hAnsi="Arial"/>
          <w:sz w:val="19"/>
          <w:szCs w:val="19"/>
          <w:color w:val="auto"/>
        </w:rPr>
      </w:pPr>
    </w:p>
    <w:p>
      <w:pPr>
        <w:ind w:left="-1120" w:right="20" w:firstLine="1304"/>
        <w:spacing w:after="0" w:line="252" w:lineRule="auto"/>
        <w:tabs>
          <w:tab w:leader="none" w:pos="64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Non-Fundamental Cap; Fundamental Caps</w:t>
      </w:r>
      <w:r>
        <w:rPr>
          <w:rFonts w:ascii="Arial" w:cs="Arial" w:eastAsia="Arial" w:hAnsi="Arial"/>
          <w:sz w:val="19"/>
          <w:szCs w:val="19"/>
          <w:color w:val="auto"/>
        </w:rPr>
        <w:t>. Except in the case of Fraud and subject to Section 8.3(e) below, the maximum aggregate indemnification liability of the Stockholder Indemnitors under this Agreement (i) for breach of the Stockholder Party Non-Fundamental Representations shall be an amount equal to $923,673.70 in the first year after Closing or $615,782.47 thereafter (the “</w:t>
      </w:r>
      <w:r>
        <w:rPr>
          <w:rFonts w:ascii="Arial" w:cs="Arial" w:eastAsia="Arial" w:hAnsi="Arial"/>
          <w:sz w:val="19"/>
          <w:szCs w:val="19"/>
          <w:b w:val="1"/>
          <w:bCs w:val="1"/>
          <w:color w:val="auto"/>
        </w:rPr>
        <w:t>Non-Fundamental Cap</w:t>
      </w:r>
      <w:r>
        <w:rPr>
          <w:rFonts w:ascii="Arial" w:cs="Arial" w:eastAsia="Arial" w:hAnsi="Arial"/>
          <w:sz w:val="19"/>
          <w:szCs w:val="19"/>
          <w:color w:val="auto"/>
        </w:rPr>
        <w:t>”) and (ii) for breach of the Stockholder Party Fundamental Representations shall be an amount equal to $1,847,347.40 in the first year after Closing or $1,231,564.93 thereafter (the “</w:t>
      </w:r>
      <w:r>
        <w:rPr>
          <w:rFonts w:ascii="Arial" w:cs="Arial" w:eastAsia="Arial" w:hAnsi="Arial"/>
          <w:sz w:val="19"/>
          <w:szCs w:val="19"/>
          <w:b w:val="1"/>
          <w:bCs w:val="1"/>
          <w:color w:val="auto"/>
        </w:rPr>
        <w:t>Fundamental Cap</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ind w:left="-1120" w:firstLine="1304"/>
        <w:spacing w:after="0" w:line="243" w:lineRule="auto"/>
        <w:tabs>
          <w:tab w:leader="none" w:pos="63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RWI Exclusions Cap</w:t>
      </w:r>
      <w:r>
        <w:rPr>
          <w:rFonts w:ascii="Arial" w:cs="Arial" w:eastAsia="Arial" w:hAnsi="Arial"/>
          <w:sz w:val="19"/>
          <w:szCs w:val="19"/>
          <w:color w:val="auto"/>
        </w:rPr>
        <w:t>. Notwithstanding anything to the contrary in Section 8.3(d) or elsewhere in this Agreement, to the extent that the Acquiror or any Acquiror Indemnified Party is entitled to indemnification under Section 8.1(a) or Section 8.1(b), Acquiror or such Acquiror Indemnified Party shall first seek recovery under the R&amp;W Insurance Policy for any such Loss. If recovery for such Loss is denied by the insurer under the R&amp;W Insurance Policy on the basis of such Loss being the subject of an RWI Exclusion or a Deemed Deletion under the R&amp;W Insurance Policy, the Acquiror or such Acquiror Indemnified Party shall be indemnified for such Loss directly by the Stockholders Indemnitors (subject to the limitations contained in this Section 8.3) pursuant to Section 8.1(a) or Section 8.1(b), provided that the maximum aggregate indemnification liability of the Stockholder Indemnitors for any such breaches shall be equal to $1,847,347 (the “</w:t>
      </w:r>
      <w:r>
        <w:rPr>
          <w:rFonts w:ascii="Arial" w:cs="Arial" w:eastAsia="Arial" w:hAnsi="Arial"/>
          <w:sz w:val="19"/>
          <w:szCs w:val="19"/>
          <w:b w:val="1"/>
          <w:bCs w:val="1"/>
          <w:color w:val="auto"/>
        </w:rPr>
        <w:t>RWI Exclusions Cap</w:t>
      </w:r>
      <w:r>
        <w:rPr>
          <w:rFonts w:ascii="Arial" w:cs="Arial" w:eastAsia="Arial" w:hAnsi="Arial"/>
          <w:sz w:val="19"/>
          <w:szCs w:val="19"/>
          <w:color w:val="auto"/>
        </w:rPr>
        <w:t>”), except with respect to such a breach of Section 4.5 (</w:t>
      </w:r>
      <w:r>
        <w:rPr>
          <w:rFonts w:ascii="Arial" w:cs="Arial" w:eastAsia="Arial" w:hAnsi="Arial"/>
          <w:sz w:val="19"/>
          <w:szCs w:val="19"/>
          <w:i w:val="1"/>
          <w:iCs w:val="1"/>
          <w:color w:val="auto"/>
        </w:rPr>
        <w:t>Ultimate Parent Entity and Size of Person</w:t>
      </w:r>
      <w:r>
        <w:rPr>
          <w:rFonts w:ascii="Arial" w:cs="Arial" w:eastAsia="Arial" w:hAnsi="Arial"/>
          <w:sz w:val="19"/>
          <w:szCs w:val="19"/>
          <w:color w:val="auto"/>
        </w:rPr>
        <w:t>) which shall be capped at an amount equal to the Merger Consideration (the “</w:t>
      </w:r>
      <w:r>
        <w:rPr>
          <w:rFonts w:ascii="Arial" w:cs="Arial" w:eastAsia="Arial" w:hAnsi="Arial"/>
          <w:sz w:val="19"/>
          <w:szCs w:val="19"/>
          <w:b w:val="1"/>
          <w:bCs w:val="1"/>
          <w:color w:val="auto"/>
        </w:rPr>
        <w:t>Section 4.5 Cap</w:t>
      </w:r>
      <w:r>
        <w:rPr>
          <w:rFonts w:ascii="Arial" w:cs="Arial" w:eastAsia="Arial" w:hAnsi="Arial"/>
          <w:sz w:val="19"/>
          <w:szCs w:val="19"/>
          <w:color w:val="auto"/>
        </w:rPr>
        <w:t>”). For greater clarity, but subject to the limitation in Section 8.3(f) below, payments under the Non-Fundamental Cap or the Fundamental Cap do not reduce the RWI Exclusions Cap or the Section 4.5 Cap.</w:t>
      </w:r>
    </w:p>
    <w:p>
      <w:pPr>
        <w:spacing w:after="0" w:line="158" w:lineRule="exact"/>
        <w:rPr>
          <w:rFonts w:ascii="Arial" w:cs="Arial" w:eastAsia="Arial" w:hAnsi="Arial"/>
          <w:sz w:val="19"/>
          <w:szCs w:val="19"/>
          <w:color w:val="auto"/>
        </w:rPr>
      </w:pPr>
    </w:p>
    <w:p>
      <w:pPr>
        <w:ind w:left="-1120" w:firstLine="1304"/>
        <w:spacing w:after="0" w:line="247" w:lineRule="auto"/>
        <w:tabs>
          <w:tab w:leader="none" w:pos="608"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Aggregate Limit</w:t>
      </w:r>
      <w:r>
        <w:rPr>
          <w:rFonts w:ascii="Arial" w:cs="Arial" w:eastAsia="Arial" w:hAnsi="Arial"/>
          <w:sz w:val="19"/>
          <w:szCs w:val="19"/>
          <w:color w:val="auto"/>
        </w:rPr>
        <w:t>. The maximum aggregate indemnification liability of the Stockholders, on the one hand, and of Acquiror, on the other hand, under this Agreement shall not exceed the Merger Consideration (the “</w:t>
      </w:r>
      <w:r>
        <w:rPr>
          <w:rFonts w:ascii="Arial" w:cs="Arial" w:eastAsia="Arial" w:hAnsi="Arial"/>
          <w:sz w:val="19"/>
          <w:szCs w:val="19"/>
          <w:b w:val="1"/>
          <w:bCs w:val="1"/>
          <w:color w:val="auto"/>
        </w:rPr>
        <w:t>Aggregate Limit</w:t>
      </w:r>
      <w:r>
        <w:rPr>
          <w:rFonts w:ascii="Arial" w:cs="Arial" w:eastAsia="Arial" w:hAnsi="Arial"/>
          <w:sz w:val="19"/>
          <w:szCs w:val="19"/>
          <w:color w:val="auto"/>
        </w:rPr>
        <w:t>”), except with respect to claims based on Fraud. For greater clarity, payments under the R&amp;W Insurance Policy shall count toward Sellers’ achievement of the Aggregate Limit. Subject to the limitations set forth in this Section 10.3(f), (i) the maximum aggregate indemnification liability of the Stockholder Indemnitors shall not exceed the aggregate Merger Consideration actually received by the Stockholder Indemnitors, except in the case of Fraud and (ii) the maximum aggregate liability of Acquiror to the Stockholder Indemnified Parties under this Agreement shall not exceed the</w:t>
      </w:r>
    </w:p>
    <w:p>
      <w:pPr>
        <w:sectPr>
          <w:pgSz w:w="11900" w:h="16838" w:orient="portrait"/>
          <w:cols w:equalWidth="0" w:num="1">
            <w:col w:w="10100"/>
          </w:cols>
          <w:pgMar w:left="1440" w:top="1440" w:right="359" w:bottom="1440" w:gutter="0" w:footer="0" w:header="0"/>
        </w:sectPr>
      </w:pPr>
    </w:p>
    <w:bookmarkStart w:id="101" w:name="page102"/>
    <w:bookmarkEnd w:id="101"/>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aggregate Merger Consideration paid by Acquiror to the Stockholders, except in the case of Fraud.</w:t>
      </w:r>
    </w:p>
    <w:p>
      <w:pPr>
        <w:spacing w:after="0" w:line="179" w:lineRule="exact"/>
        <w:rPr>
          <w:sz w:val="20"/>
          <w:szCs w:val="20"/>
          <w:color w:val="auto"/>
        </w:rPr>
      </w:pPr>
    </w:p>
    <w:p>
      <w:pPr>
        <w:ind w:right="380" w:firstLine="1304"/>
        <w:spacing w:after="0" w:line="223" w:lineRule="auto"/>
        <w:tabs>
          <w:tab w:leader="none" w:pos="17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Stockholders shall not be obligated to indemnify any Acquiror Indemnified Party with respect to any Loss to the extent that the Loss was incorporated in the calculation of the adjustment of the Merger Consideration, if any, as finally determined pursuant to Section 2.11.</w:t>
      </w:r>
    </w:p>
    <w:p>
      <w:pPr>
        <w:spacing w:after="0" w:line="158" w:lineRule="exact"/>
        <w:rPr>
          <w:rFonts w:ascii="Arial" w:cs="Arial" w:eastAsia="Arial" w:hAnsi="Arial"/>
          <w:sz w:val="22"/>
          <w:szCs w:val="22"/>
          <w:color w:val="auto"/>
        </w:rPr>
      </w:pPr>
    </w:p>
    <w:p>
      <w:pPr>
        <w:ind w:right="180" w:firstLine="1304"/>
        <w:spacing w:after="0" w:line="229" w:lineRule="auto"/>
        <w:tabs>
          <w:tab w:leader="none" w:pos="176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Stockholders shall not be obligated to indemnify any Acquiror Indemnified Party with respect to any Loss to the extent that a specific accrual or reserve for the amount of such Loss was reflected on the Financial Statements or the notes thereto, provided that such accrual or reserve was specified with sufficient detail in the Financial Statements or the notes thereto for it to be reasonably apparent on its face that it disclosed the Loss at issue.</w:t>
      </w:r>
    </w:p>
    <w:p>
      <w:pPr>
        <w:spacing w:after="0" w:line="158" w:lineRule="exact"/>
        <w:rPr>
          <w:rFonts w:ascii="Arial" w:cs="Arial" w:eastAsia="Arial" w:hAnsi="Arial"/>
          <w:sz w:val="21"/>
          <w:szCs w:val="21"/>
          <w:color w:val="auto"/>
        </w:rPr>
      </w:pPr>
    </w:p>
    <w:p>
      <w:pPr>
        <w:ind w:firstLine="1304"/>
        <w:spacing w:after="0" w:line="214" w:lineRule="auto"/>
        <w:tabs>
          <w:tab w:leader="none" w:pos="1712"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amount of Losses under this Article VIII shall be determined net of (i) any insurance or other recoveries actually recovered by the Acquiror Indemnified Parties or the Company Indemnified Parties, as applicable, or their Affiliates in connection with the facts giving rise to the right of indemnification (net of costs of collection, deductibles and retro-premium adjustments specifically applicable thereto and (ii) any tax benefit actually realized by the Acquiror Indemnified Parties or the Stockholder Indemnified Parties, as applicable, in connection with the accrual, incurrence or payment of any Losses in the year of occurrence of such Losses.</w:t>
      </w:r>
    </w:p>
    <w:p>
      <w:pPr>
        <w:spacing w:after="0" w:line="158" w:lineRule="exact"/>
        <w:rPr>
          <w:rFonts w:ascii="Arial" w:cs="Arial" w:eastAsia="Arial" w:hAnsi="Arial"/>
          <w:sz w:val="22"/>
          <w:szCs w:val="22"/>
          <w:color w:val="auto"/>
        </w:rPr>
      </w:pPr>
    </w:p>
    <w:p>
      <w:pPr>
        <w:ind w:right="140" w:firstLine="1304"/>
        <w:spacing w:after="0" w:line="232" w:lineRule="auto"/>
        <w:tabs>
          <w:tab w:leader="none" w:pos="1712" w:val="left"/>
        </w:tabs>
        <w:numPr>
          <w:ilvl w:val="0"/>
          <w:numId w:val="74"/>
        </w:numPr>
        <w:rPr>
          <w:rFonts w:ascii="Arial" w:cs="Arial" w:eastAsia="Arial" w:hAnsi="Arial"/>
          <w:sz w:val="22"/>
          <w:szCs w:val="22"/>
          <w:color w:val="auto"/>
        </w:rPr>
      </w:pPr>
      <w:r>
        <w:rPr>
          <w:rFonts w:ascii="Arial" w:cs="Arial" w:eastAsia="Arial" w:hAnsi="Arial"/>
          <w:sz w:val="22"/>
          <w:szCs w:val="22"/>
          <w:color w:val="auto"/>
        </w:rPr>
        <w:t>To the extent required by applicable Law, the Stockholder Indemnified Parties and the Acquiror Indemnified Parties shall use their respective commercially reasonable efforts to mitigate Losses.</w:t>
      </w:r>
    </w:p>
    <w:p>
      <w:pPr>
        <w:spacing w:after="0" w:line="158" w:lineRule="exact"/>
        <w:rPr>
          <w:rFonts w:ascii="Arial" w:cs="Arial" w:eastAsia="Arial" w:hAnsi="Arial"/>
          <w:sz w:val="22"/>
          <w:szCs w:val="22"/>
          <w:color w:val="auto"/>
        </w:rPr>
      </w:pPr>
    </w:p>
    <w:p>
      <w:pPr>
        <w:ind w:right="40" w:firstLine="1304"/>
        <w:spacing w:after="0" w:line="210" w:lineRule="auto"/>
        <w:tabs>
          <w:tab w:leader="none" w:pos="1764"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Except in the case of Fraud and the Acquiror’s right of recovery under the R&amp;W policy, the rights to indemnification provided under this Article VIII shall be the sole and exclusive remedy of the Parties for any Loss arising under this Agreement or relating to the transactions contemplated hereby, including with respect to any representations, warranties, covenants and agreements contained in this Agreement (or in any certificate delivered in connection herewith), whether sounding in contract, tort, warranty, strict liability or any other form, and no party shall be able to avoid the provisions set forth in this Article VIII by electing to pursue some other remedy;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the foregoing shall not prohibit specific performance if available under applicable law as a remedy exercisable by either Party with respect to any breach by the other Parties hereto of any provision of this Agreement and (ii) disputes regarding adjustments to the Merger Consideration contemplated by Section 2.11(g) shall be governed and determined in accordance with the terms and limitations set forth in Section 2.11.</w:t>
      </w:r>
    </w:p>
    <w:p>
      <w:pPr>
        <w:spacing w:after="0" w:line="162" w:lineRule="exact"/>
        <w:rPr>
          <w:rFonts w:ascii="Arial" w:cs="Arial" w:eastAsia="Arial" w:hAnsi="Arial"/>
          <w:sz w:val="22"/>
          <w:szCs w:val="22"/>
          <w:color w:val="auto"/>
        </w:rPr>
      </w:pPr>
    </w:p>
    <w:p>
      <w:pPr>
        <w:ind w:right="20" w:firstLine="1304"/>
        <w:spacing w:after="0" w:line="268" w:lineRule="auto"/>
        <w:tabs>
          <w:tab w:leader="none" w:pos="17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 Acquiror Indemnified Party and no Stockholder Indemnified Party shall be entitled to be compensated more than once for the same Loss, and any excess recovery by an Acquiror Indemnified Party or a Stockholder Indemnified Party with respect to any such Loss shall be paid over to the Stockholder Indemnitors or to the Acquiror, as applicable.</w:t>
      </w:r>
    </w:p>
    <w:p>
      <w:pPr>
        <w:spacing w:after="0" w:line="132" w:lineRule="exact"/>
        <w:rPr>
          <w:sz w:val="20"/>
          <w:szCs w:val="20"/>
          <w:color w:val="auto"/>
        </w:rPr>
      </w:pPr>
    </w:p>
    <w:p>
      <w:pPr>
        <w:ind w:right="60" w:firstLine="648"/>
        <w:spacing w:after="0" w:line="249"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Indemnification Notice and Procedure</w:t>
      </w:r>
      <w:r>
        <w:rPr>
          <w:rFonts w:ascii="Arial" w:cs="Arial" w:eastAsia="Arial" w:hAnsi="Arial"/>
          <w:sz w:val="19"/>
          <w:szCs w:val="19"/>
          <w:color w:val="auto"/>
        </w:rPr>
        <w:t xml:space="preserve">(a) . </w:t>
      </w:r>
      <w:r>
        <w:rPr>
          <w:rFonts w:ascii="Arial" w:cs="Arial" w:eastAsia="Arial" w:hAnsi="Arial"/>
          <w:sz w:val="19"/>
          <w:szCs w:val="19"/>
          <w:u w:val="single" w:color="auto"/>
          <w:color w:val="auto"/>
        </w:rPr>
        <w:t>–Direct Claims - Notice of Loss; Dispute</w:t>
      </w:r>
      <w:r>
        <w:rPr>
          <w:rFonts w:ascii="Arial" w:cs="Arial" w:eastAsia="Arial" w:hAnsi="Arial"/>
          <w:sz w:val="19"/>
          <w:szCs w:val="19"/>
          <w:color w:val="auto"/>
        </w:rPr>
        <w:t>. If an Indemnified Party incurs any Loss for which indemnification may be sought under this Article VIII against an Indemnifying Party, then the Indemnified Party shall assert a claim for indemnification by providing to the Indemnifying Party a written notice as promptly as practicable stating, in reasonable detail, the nature and amount of the Loss and the basis for indemnification under this Article VIII (the “</w:t>
      </w:r>
      <w:r>
        <w:rPr>
          <w:rFonts w:ascii="Arial" w:cs="Arial" w:eastAsia="Arial" w:hAnsi="Arial"/>
          <w:sz w:val="19"/>
          <w:szCs w:val="19"/>
          <w:b w:val="1"/>
          <w:bCs w:val="1"/>
          <w:color w:val="auto"/>
        </w:rPr>
        <w:t>Notice of Loss</w:t>
      </w:r>
      <w:r>
        <w:rPr>
          <w:rFonts w:ascii="Arial" w:cs="Arial" w:eastAsia="Arial" w:hAnsi="Arial"/>
          <w:sz w:val="19"/>
          <w:szCs w:val="19"/>
          <w:color w:val="auto"/>
        </w:rPr>
        <w:t>”) and any other information with respect to such Loss that is reasonably requested by the Indemnifying Party, provided, however, that (subject to Section 8.3(a) (</w:t>
      </w:r>
      <w:r>
        <w:rPr>
          <w:rFonts w:ascii="Arial" w:cs="Arial" w:eastAsia="Arial" w:hAnsi="Arial"/>
          <w:sz w:val="19"/>
          <w:szCs w:val="19"/>
          <w:i w:val="1"/>
          <w:iCs w:val="1"/>
          <w:color w:val="auto"/>
        </w:rPr>
        <w:t>Survival</w:t>
      </w:r>
      <w:r>
        <w:rPr>
          <w:rFonts w:ascii="Arial" w:cs="Arial" w:eastAsia="Arial" w:hAnsi="Arial"/>
          <w:sz w:val="19"/>
          <w:szCs w:val="19"/>
          <w:color w:val="auto"/>
        </w:rPr>
        <w:t>)) any delay by an Indemnified Party in so notifying the</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7" w:lineRule="exact"/>
        <w:rPr>
          <w:sz w:val="20"/>
          <w:szCs w:val="20"/>
          <w:color w:val="auto"/>
        </w:rPr>
      </w:pPr>
    </w:p>
    <w:p>
      <w:pPr>
        <w:ind w:right="100"/>
        <w:spacing w:after="0" w:line="222" w:lineRule="auto"/>
        <w:rPr>
          <w:sz w:val="20"/>
          <w:szCs w:val="20"/>
          <w:color w:val="auto"/>
        </w:rPr>
      </w:pPr>
      <w:r>
        <w:rPr>
          <w:rFonts w:ascii="Arial" w:cs="Arial" w:eastAsia="Arial" w:hAnsi="Arial"/>
          <w:sz w:val="21"/>
          <w:szCs w:val="21"/>
          <w:color w:val="auto"/>
        </w:rPr>
        <w:t>Indemnifying Party shall only relieve the Indemnifying Party of its obligations hereunder to the extent the Indemnifying Party is prejudiced by such delay. If the Indemnifying Party disputes the Indemnified Party’s entitlement to indemnification under a Notice of Loss and such dispute is not resolved within thirty (30) days after an Indemnifying Party’s receipt of a Notice of Loss, the Indemnifying Party and the Indemnified Party shall each have the right to submit such dispute to a court of competent jurisdiction in accordance with the provisions of this Agreement. Notwithstanding anything to the contrary in this Agreement, Acquiror shall only be required to furnish any such Notice of Loss to Stockholder Representative (and shall not be required to furnish such Notice of Loss to all Stockholders).</w:t>
      </w:r>
    </w:p>
    <w:p>
      <w:pPr>
        <w:spacing w:after="0" w:line="164" w:lineRule="exact"/>
        <w:rPr>
          <w:sz w:val="20"/>
          <w:szCs w:val="20"/>
          <w:color w:val="auto"/>
        </w:rPr>
      </w:pPr>
    </w:p>
    <w:p>
      <w:pPr>
        <w:ind w:left="1760" w:hanging="456"/>
        <w:spacing w:after="0"/>
        <w:tabs>
          <w:tab w:leader="none" w:pos="17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Third Party Claims.</w:t>
      </w:r>
    </w:p>
    <w:p>
      <w:pPr>
        <w:spacing w:after="0" w:line="173" w:lineRule="exact"/>
        <w:rPr>
          <w:rFonts w:ascii="Arial" w:cs="Arial" w:eastAsia="Arial" w:hAnsi="Arial"/>
          <w:sz w:val="22"/>
          <w:szCs w:val="22"/>
          <w:color w:val="auto"/>
        </w:rPr>
      </w:pPr>
    </w:p>
    <w:p>
      <w:pPr>
        <w:ind w:left="660" w:firstLine="1292"/>
        <w:spacing w:after="0" w:line="246" w:lineRule="auto"/>
        <w:tabs>
          <w:tab w:leader="none" w:pos="2376" w:val="left"/>
        </w:tabs>
        <w:numPr>
          <w:ilvl w:val="1"/>
          <w:numId w:val="75"/>
        </w:numPr>
        <w:rPr>
          <w:rFonts w:ascii="Arial" w:cs="Arial" w:eastAsia="Arial" w:hAnsi="Arial"/>
          <w:sz w:val="19"/>
          <w:szCs w:val="19"/>
          <w:color w:val="010000"/>
        </w:rPr>
      </w:pPr>
      <w:r>
        <w:rPr>
          <w:rFonts w:ascii="Arial" w:cs="Arial" w:eastAsia="Arial" w:hAnsi="Arial"/>
          <w:sz w:val="19"/>
          <w:szCs w:val="19"/>
          <w:u w:val="single" w:color="auto"/>
          <w:color w:val="auto"/>
        </w:rPr>
        <w:t>Notice</w:t>
      </w:r>
      <w:r>
        <w:rPr>
          <w:rFonts w:ascii="Arial" w:cs="Arial" w:eastAsia="Arial" w:hAnsi="Arial"/>
          <w:sz w:val="19"/>
          <w:szCs w:val="19"/>
          <w:color w:val="auto"/>
        </w:rPr>
        <w:t>. An Indemnified Party shall deliver a notice of claim (“</w:t>
      </w:r>
      <w:r>
        <w:rPr>
          <w:rFonts w:ascii="Arial" w:cs="Arial" w:eastAsia="Arial" w:hAnsi="Arial"/>
          <w:sz w:val="19"/>
          <w:szCs w:val="19"/>
          <w:b w:val="1"/>
          <w:bCs w:val="1"/>
          <w:color w:val="auto"/>
        </w:rPr>
        <w:t>Notice of Claim</w:t>
      </w:r>
      <w:r>
        <w:rPr>
          <w:rFonts w:ascii="Arial" w:cs="Arial" w:eastAsia="Arial" w:hAnsi="Arial"/>
          <w:sz w:val="19"/>
          <w:szCs w:val="19"/>
          <w:color w:val="auto"/>
        </w:rPr>
        <w:t>”), together with any other information with respect to such claim that is reasonably requested by the Indemnifying Party, to the Indemnifying Parties promptly after of becoming aware of the assertion of any claim or the commencement of any action, suit or proceeding by a third-party (a “</w:t>
      </w:r>
      <w:r>
        <w:rPr>
          <w:rFonts w:ascii="Arial" w:cs="Arial" w:eastAsia="Arial" w:hAnsi="Arial"/>
          <w:sz w:val="19"/>
          <w:szCs w:val="19"/>
          <w:b w:val="1"/>
          <w:bCs w:val="1"/>
          <w:color w:val="auto"/>
        </w:rPr>
        <w:t>Third Party Claim</w:t>
      </w:r>
      <w:r>
        <w:rPr>
          <w:rFonts w:ascii="Arial" w:cs="Arial" w:eastAsia="Arial" w:hAnsi="Arial"/>
          <w:sz w:val="19"/>
          <w:szCs w:val="19"/>
          <w:color w:val="auto"/>
        </w:rPr>
        <w:t>”) for which indemnification may be sought; provided, however, that (subject to Section 8.3(a) (</w:t>
      </w:r>
      <w:r>
        <w:rPr>
          <w:rFonts w:ascii="Arial" w:cs="Arial" w:eastAsia="Arial" w:hAnsi="Arial"/>
          <w:sz w:val="19"/>
          <w:szCs w:val="19"/>
          <w:i w:val="1"/>
          <w:iCs w:val="1"/>
          <w:color w:val="auto"/>
        </w:rPr>
        <w:t>Survival</w:t>
      </w:r>
      <w:r>
        <w:rPr>
          <w:rFonts w:ascii="Arial" w:cs="Arial" w:eastAsia="Arial" w:hAnsi="Arial"/>
          <w:sz w:val="19"/>
          <w:szCs w:val="19"/>
          <w:color w:val="auto"/>
        </w:rPr>
        <w:t>)) any delay to so notify the Indemnifying Party shall only relieve the Indemnifying Party of its obligations to the extent that it is prejudiced by reason of such delay. Notwithstanding anything to the contrary in this Agreement, Acquiror shall only be required to furnish any such Notice of Claim to Stockholders’ Representative (and shall not be required to furnish such Notice of Claim to all Stockholders).</w:t>
      </w:r>
    </w:p>
    <w:p>
      <w:pPr>
        <w:spacing w:after="0" w:line="158" w:lineRule="exact"/>
        <w:rPr>
          <w:rFonts w:ascii="Arial" w:cs="Arial" w:eastAsia="Arial" w:hAnsi="Arial"/>
          <w:sz w:val="19"/>
          <w:szCs w:val="19"/>
          <w:color w:val="010000"/>
        </w:rPr>
      </w:pPr>
    </w:p>
    <w:p>
      <w:pPr>
        <w:ind w:left="660" w:firstLine="1292"/>
        <w:spacing w:after="0"/>
        <w:tabs>
          <w:tab w:leader="none" w:pos="2436" w:val="left"/>
        </w:tabs>
        <w:numPr>
          <w:ilvl w:val="1"/>
          <w:numId w:val="75"/>
        </w:numPr>
        <w:rPr>
          <w:rFonts w:ascii="Arial" w:cs="Arial" w:eastAsia="Arial" w:hAnsi="Arial"/>
          <w:sz w:val="19"/>
          <w:szCs w:val="19"/>
          <w:color w:val="010000"/>
        </w:rPr>
      </w:pPr>
      <w:r>
        <w:rPr>
          <w:rFonts w:ascii="Arial" w:cs="Arial" w:eastAsia="Arial" w:hAnsi="Arial"/>
          <w:sz w:val="19"/>
          <w:szCs w:val="19"/>
          <w:u w:val="single" w:color="auto"/>
          <w:color w:val="auto"/>
        </w:rPr>
        <w:t>Defense of Claim</w:t>
      </w:r>
      <w:r>
        <w:rPr>
          <w:rFonts w:ascii="Arial" w:cs="Arial" w:eastAsia="Arial" w:hAnsi="Arial"/>
          <w:sz w:val="19"/>
          <w:szCs w:val="19"/>
          <w:color w:val="auto"/>
        </w:rPr>
        <w:t>. If the Indemnifying Party does not intend to assume the defense of the Third Party Claim, then it shall give written notice to the Indemnified Party within 30 days of its receipt of the Notice of Claim and request for defense (or such shorter period as is reasonably requested by the Indemnified Party and required in the circumstances) specifying its reasons for rejecting the request for indemnity and defense, together with supporting detail (the “</w:t>
      </w:r>
      <w:r>
        <w:rPr>
          <w:rFonts w:ascii="Arial" w:cs="Arial" w:eastAsia="Arial" w:hAnsi="Arial"/>
          <w:sz w:val="19"/>
          <w:szCs w:val="19"/>
          <w:b w:val="1"/>
          <w:bCs w:val="1"/>
          <w:color w:val="auto"/>
        </w:rPr>
        <w:t>Rejection Notice</w:t>
      </w:r>
      <w:r>
        <w:rPr>
          <w:rFonts w:ascii="Arial" w:cs="Arial" w:eastAsia="Arial" w:hAnsi="Arial"/>
          <w:sz w:val="19"/>
          <w:szCs w:val="19"/>
          <w:color w:val="auto"/>
        </w:rPr>
        <w:t>”). Otherwise, the Indemnifying Party shall assume the requested defense of the Third Party Claim with counsel reasonably satisfactory to the Indemnified Party by giving written notice thereof to the Indemnified Party within thirty (30) days after the Indemnifying Party’s receipt of the Notice of Claim(or such shorter period as is reasonably requested by the Indemnified Party and required in the circumstances), subject to the Indemnifying Party’s right to send a Rejection Notice at a later point and to withdraw from the defense and contest the indemnity obligation based on subsequently available information. If the Indemnifying Party does not assume the defense of the Third Party Claim with counsel reasonably satisfactory to the Indemnified Party by giving such Rejection Notice to the Indemnified Party, then the Indemnified Party may assume such defense. If the Indemnified Party so assumes the defense, then the reasonable out-of-pocket and documented fees and expenses of counsel to the Indemnified Party solely in connection therewith shall be considered “Loss” for purposes of this Agreement if it is determined by a court of applicable jurisdiction that the Indemnifying Party was required to indemnify the Indemnified Party for such claim under this Agreement. Notwithstanding anything to the contrary in this Agreement, Acquiror shall be entitled to assume the defense of any Third Party Claim relating to Intellectual Property and the reasonable out-of-pocket and documented fees and expenses of counsel to Acquiror solely in connection therewith shall be considered “Loss” for purposes of this Agreement if it is determined by a court of applicable jurisdiction that the Company Indemnitors were required to indemnify Acquiror for such claim under this Agreement.</w:t>
      </w:r>
    </w:p>
    <w:p>
      <w:pPr>
        <w:spacing w:after="0" w:line="384" w:lineRule="exact"/>
        <w:rPr>
          <w:rFonts w:ascii="Arial" w:cs="Arial" w:eastAsia="Arial" w:hAnsi="Arial"/>
          <w:sz w:val="19"/>
          <w:szCs w:val="19"/>
          <w:color w:val="010000"/>
        </w:rPr>
      </w:pPr>
    </w:p>
    <w:p>
      <w:pPr>
        <w:ind w:left="660" w:right="880" w:firstLine="1292"/>
        <w:spacing w:after="0" w:line="232" w:lineRule="auto"/>
        <w:tabs>
          <w:tab w:leader="none" w:pos="2496" w:val="left"/>
        </w:tabs>
        <w:numPr>
          <w:ilvl w:val="1"/>
          <w:numId w:val="75"/>
        </w:numPr>
        <w:rPr>
          <w:rFonts w:ascii="Arial" w:cs="Arial" w:eastAsia="Arial" w:hAnsi="Arial"/>
          <w:sz w:val="22"/>
          <w:szCs w:val="22"/>
          <w:color w:val="010000"/>
        </w:rPr>
      </w:pPr>
      <w:r>
        <w:rPr>
          <w:rFonts w:ascii="Arial" w:cs="Arial" w:eastAsia="Arial" w:hAnsi="Arial"/>
          <w:sz w:val="22"/>
          <w:szCs w:val="22"/>
          <w:u w:val="single" w:color="auto"/>
          <w:color w:val="auto"/>
        </w:rPr>
        <w:t>Participation in Defense</w:t>
      </w:r>
      <w:r>
        <w:rPr>
          <w:rFonts w:ascii="Arial" w:cs="Arial" w:eastAsia="Arial" w:hAnsi="Arial"/>
          <w:sz w:val="22"/>
          <w:szCs w:val="22"/>
          <w:color w:val="auto"/>
        </w:rPr>
        <w:t>. The party not controlling the defense of a Third Party Claim may participate therein at its own expense (in the case of the</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77" w:lineRule="exact"/>
        <w:rPr>
          <w:sz w:val="20"/>
          <w:szCs w:val="20"/>
          <w:color w:val="auto"/>
        </w:rPr>
      </w:pPr>
    </w:p>
    <w:p>
      <w:pPr>
        <w:ind w:right="140"/>
        <w:spacing w:after="0" w:line="222" w:lineRule="auto"/>
        <w:rPr>
          <w:sz w:val="20"/>
          <w:szCs w:val="20"/>
          <w:color w:val="auto"/>
        </w:rPr>
      </w:pPr>
      <w:r>
        <w:rPr>
          <w:rFonts w:ascii="Arial" w:cs="Arial" w:eastAsia="Arial" w:hAnsi="Arial"/>
          <w:sz w:val="21"/>
          <w:szCs w:val="21"/>
          <w:color w:val="auto"/>
        </w:rPr>
        <w:t>Stockholders’ Representative, solely on behalf of the Stockholder Indemnitors); provided that if the Indemnifying Party assumes control of such defense and the Indemnified Party reasonably concludes, based on advice from outside counsel, that the Indemnifying Party and the Indemnified Party have conflicting interests with respect to such Third Party Claim, the reasonable out-of-pocket and documented fees and expenses of counsel to the Indemnified Party solely in connection therewith shall be considered “Loss” for purposes of this Agreement unless it is determined by a court of applicable jurisdiction that the Indemnifying Party was not required to indemnify the Indemnified Party for such claim under this Agreement.</w:t>
      </w:r>
    </w:p>
    <w:p>
      <w:pPr>
        <w:spacing w:after="0" w:line="164" w:lineRule="exact"/>
        <w:rPr>
          <w:sz w:val="20"/>
          <w:szCs w:val="20"/>
          <w:color w:val="auto"/>
        </w:rPr>
      </w:pPr>
    </w:p>
    <w:p>
      <w:pPr>
        <w:ind w:right="60" w:firstLine="1292"/>
        <w:spacing w:after="0" w:line="247" w:lineRule="auto"/>
        <w:tabs>
          <w:tab w:leader="none" w:pos="1824" w:val="left"/>
        </w:tabs>
        <w:numPr>
          <w:ilvl w:val="1"/>
          <w:numId w:val="76"/>
        </w:numPr>
        <w:rPr>
          <w:rFonts w:ascii="Arial" w:cs="Arial" w:eastAsia="Arial" w:hAnsi="Arial"/>
          <w:sz w:val="19"/>
          <w:szCs w:val="19"/>
          <w:color w:val="010000"/>
        </w:rPr>
      </w:pPr>
      <w:r>
        <w:rPr>
          <w:rFonts w:ascii="Arial" w:cs="Arial" w:eastAsia="Arial" w:hAnsi="Arial"/>
          <w:sz w:val="19"/>
          <w:szCs w:val="19"/>
          <w:u w:val="single" w:color="auto"/>
          <w:color w:val="auto"/>
        </w:rPr>
        <w:t>Cooperation; Reasonable Access</w:t>
      </w:r>
      <w:r>
        <w:rPr>
          <w:rFonts w:ascii="Arial" w:cs="Arial" w:eastAsia="Arial" w:hAnsi="Arial"/>
          <w:sz w:val="19"/>
          <w:szCs w:val="19"/>
          <w:color w:val="auto"/>
        </w:rPr>
        <w:t>. The Indemnified Party and Indemnifying Party shall cooperate with each other in all reasonable respects in the defense of a Third Party Claim. The Indemnified Party shall promptly make available to the Indemnifying Party such information and documentation with respect to a Third Party Claim that the Indemnifying Party may reasonably request, to the extent such information and documentation is reasonably available to the Indemnified Party and at the Indemnifying Party’s expense. The Indemnified Party shall also make available to the Indemnifying Party, at reasonable times and places, such employees of the Indemnified Party as the Indemnifying Party may reasonably request and at the Indemnifying Party’s expense in connection with the defense of such claim.</w:t>
      </w:r>
    </w:p>
    <w:p>
      <w:pPr>
        <w:spacing w:after="0" w:line="153" w:lineRule="exact"/>
        <w:rPr>
          <w:rFonts w:ascii="Arial" w:cs="Arial" w:eastAsia="Arial" w:hAnsi="Arial"/>
          <w:sz w:val="19"/>
          <w:szCs w:val="19"/>
          <w:color w:val="010000"/>
        </w:rPr>
      </w:pPr>
    </w:p>
    <w:p>
      <w:pPr>
        <w:ind w:right="100" w:firstLine="1292"/>
        <w:spacing w:after="0" w:line="249" w:lineRule="auto"/>
        <w:tabs>
          <w:tab w:leader="none" w:pos="1764" w:val="left"/>
        </w:tabs>
        <w:numPr>
          <w:ilvl w:val="1"/>
          <w:numId w:val="76"/>
        </w:numPr>
        <w:rPr>
          <w:rFonts w:ascii="Arial" w:cs="Arial" w:eastAsia="Arial" w:hAnsi="Arial"/>
          <w:sz w:val="19"/>
          <w:szCs w:val="19"/>
          <w:color w:val="010000"/>
        </w:rPr>
      </w:pPr>
      <w:r>
        <w:rPr>
          <w:rFonts w:ascii="Arial" w:cs="Arial" w:eastAsia="Arial" w:hAnsi="Arial"/>
          <w:sz w:val="19"/>
          <w:szCs w:val="19"/>
          <w:u w:val="single" w:color="auto"/>
          <w:color w:val="auto"/>
        </w:rPr>
        <w:t>Settlement</w:t>
      </w:r>
      <w:r>
        <w:rPr>
          <w:rFonts w:ascii="Arial" w:cs="Arial" w:eastAsia="Arial" w:hAnsi="Arial"/>
          <w:sz w:val="19"/>
          <w:szCs w:val="19"/>
          <w:color w:val="auto"/>
        </w:rPr>
        <w:t>. The Party controlling the defense of the Third Party Claim shall keep the other Party advised of the status of such defense and shall consider in good faith recommendations made by the other Party with respect thereto. The Indemnifying Party shall not agree to any settlement of a Third Party Claim that does not include a complete release of the Indemnified Party from all liability with respect thereto or that imposes any liability or obligation on the Indemnified Party or is reasonably likely to be harmful to the reputation of the Indemnified Party without the prior written consent of the Indemnified Party, which consent shall not be unreasonably withheld, conditioned or delayed.</w:t>
      </w:r>
    </w:p>
    <w:p>
      <w:pPr>
        <w:spacing w:after="0" w:line="151" w:lineRule="exact"/>
        <w:rPr>
          <w:rFonts w:ascii="Arial" w:cs="Arial" w:eastAsia="Arial" w:hAnsi="Arial"/>
          <w:sz w:val="19"/>
          <w:szCs w:val="19"/>
          <w:color w:val="010000"/>
        </w:rPr>
      </w:pPr>
    </w:p>
    <w:p>
      <w:pPr>
        <w:ind w:left="1100" w:hanging="456"/>
        <w:spacing w:after="0"/>
        <w:tabs>
          <w:tab w:leader="none" w:pos="11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Indemnity Escrow Fund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120" w:firstLine="1292"/>
        <w:spacing w:after="0" w:line="249" w:lineRule="auto"/>
        <w:tabs>
          <w:tab w:leader="none" w:pos="1716"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Subject to the limitations set forth in this Article VIII, and to the extent recovery is not then available under the R&amp;W Insurance Policy, Acquiror hereby agrees that it shall first seek recourse for indemnifiable Losses pursuant to this Article VIII from the Indemnity Escrow Account, to the extent of the amount then held in the Indemnity Escrow Fund, with respect to any indemnification claim asserted hereunder. If the Indemnity Escrow Fund is insufficient to cover the indemnifiable Loss for which the Stockholder Indemnitors are liable, the Stockholder Indemnitors shall be jointly and severally liable on the terms and subject to the limitations set forth in this Agreement.</w:t>
      </w:r>
    </w:p>
    <w:p>
      <w:pPr>
        <w:spacing w:after="0" w:line="151" w:lineRule="exact"/>
        <w:rPr>
          <w:rFonts w:ascii="Arial" w:cs="Arial" w:eastAsia="Arial" w:hAnsi="Arial"/>
          <w:sz w:val="19"/>
          <w:szCs w:val="19"/>
          <w:color w:val="010000"/>
        </w:rPr>
      </w:pPr>
    </w:p>
    <w:p>
      <w:pPr>
        <w:jc w:val="both"/>
        <w:ind w:right="20" w:firstLine="1292"/>
        <w:spacing w:after="0" w:line="229" w:lineRule="auto"/>
        <w:tabs>
          <w:tab w:leader="none" w:pos="1776" w:val="left"/>
        </w:tabs>
        <w:numPr>
          <w:ilvl w:val="1"/>
          <w:numId w:val="77"/>
        </w:numPr>
        <w:rPr>
          <w:rFonts w:ascii="Arial" w:cs="Arial" w:eastAsia="Arial" w:hAnsi="Arial"/>
          <w:sz w:val="21"/>
          <w:szCs w:val="21"/>
          <w:color w:val="010000"/>
        </w:rPr>
      </w:pPr>
      <w:r>
        <w:rPr>
          <w:rFonts w:ascii="Arial" w:cs="Arial" w:eastAsia="Arial" w:hAnsi="Arial"/>
          <w:sz w:val="21"/>
          <w:szCs w:val="21"/>
          <w:color w:val="auto"/>
        </w:rPr>
        <w:t>Within ten (10) Business Days following the Indemnity Escrow Expiration Date, the Acquiror and the Stockholders’ Representative shall deliver a joint instruction to the Escrow Agent, instructing the Escrow Agent to release and distribute from the Indemnity Escrow Fund to the Stockholders, in accordance with their Pro Rata Percentages or as otherwise directed by both Stockholders, an amount equal to:</w:t>
      </w:r>
    </w:p>
    <w:p>
      <w:pPr>
        <w:spacing w:after="0" w:line="158" w:lineRule="exact"/>
        <w:rPr>
          <w:rFonts w:ascii="Arial" w:cs="Arial" w:eastAsia="Arial" w:hAnsi="Arial"/>
          <w:sz w:val="21"/>
          <w:szCs w:val="21"/>
          <w:color w:val="010000"/>
        </w:rPr>
      </w:pPr>
    </w:p>
    <w:p>
      <w:pPr>
        <w:ind w:left="2460" w:hanging="520"/>
        <w:spacing w:after="0"/>
        <w:tabs>
          <w:tab w:leader="none" w:pos="2460" w:val="left"/>
        </w:tabs>
        <w:numPr>
          <w:ilvl w:val="2"/>
          <w:numId w:val="77"/>
        </w:numPr>
        <w:rPr>
          <w:rFonts w:ascii="Arial" w:cs="Arial" w:eastAsia="Arial" w:hAnsi="Arial"/>
          <w:sz w:val="22"/>
          <w:szCs w:val="22"/>
          <w:color w:val="010000"/>
        </w:rPr>
      </w:pPr>
      <w:r>
        <w:rPr>
          <w:rFonts w:ascii="Arial" w:cs="Arial" w:eastAsia="Arial" w:hAnsi="Arial"/>
          <w:sz w:val="22"/>
          <w:szCs w:val="22"/>
          <w:color w:val="auto"/>
        </w:rPr>
        <w:t>$923,673.70,</w:t>
      </w:r>
    </w:p>
    <w:p>
      <w:pPr>
        <w:spacing w:after="0" w:line="179" w:lineRule="exact"/>
        <w:rPr>
          <w:rFonts w:ascii="Arial" w:cs="Arial" w:eastAsia="Arial" w:hAnsi="Arial"/>
          <w:sz w:val="22"/>
          <w:szCs w:val="22"/>
          <w:color w:val="010000"/>
        </w:rPr>
      </w:pPr>
    </w:p>
    <w:p>
      <w:pPr>
        <w:ind w:left="-660" w:firstLine="2600"/>
        <w:spacing w:after="0" w:line="298" w:lineRule="auto"/>
        <w:tabs>
          <w:tab w:leader="none" w:pos="2436" w:val="left"/>
        </w:tabs>
        <w:numPr>
          <w:ilvl w:val="2"/>
          <w:numId w:val="77"/>
        </w:numPr>
        <w:rPr>
          <w:rFonts w:ascii="Arial" w:cs="Arial" w:eastAsia="Arial" w:hAnsi="Arial"/>
          <w:sz w:val="19"/>
          <w:szCs w:val="19"/>
          <w:color w:val="010000"/>
        </w:rPr>
      </w:pPr>
      <w:r>
        <w:rPr>
          <w:rFonts w:ascii="Arial" w:cs="Arial" w:eastAsia="Arial" w:hAnsi="Arial"/>
          <w:sz w:val="19"/>
          <w:szCs w:val="19"/>
          <w:color w:val="auto"/>
        </w:rPr>
        <w:t>minus the aggregate amount of distributions, if any, made from the Indemnity Escrow Fund to Acquiror in satisfaction of any indemnification claims made by Acquiror prior to the Indemnity Escrow Expiration Date;</w:t>
      </w:r>
    </w:p>
    <w:p>
      <w:pPr>
        <w:sectPr>
          <w:pgSz w:w="11900" w:h="16838" w:orient="portrait"/>
          <w:cols w:equalWidth="0" w:num="1">
            <w:col w:w="10580"/>
          </w:cols>
          <w:pgMar w:left="980" w:top="1440" w:right="339" w:bottom="1440" w:gutter="0" w:footer="0" w:header="0"/>
        </w:sectPr>
      </w:pPr>
    </w:p>
    <w:bookmarkStart w:id="104" w:name="page105"/>
    <w:bookmarkEnd w:id="104"/>
    <w:p>
      <w:pPr>
        <w:spacing w:after="0" w:line="177" w:lineRule="exact"/>
        <w:rPr>
          <w:sz w:val="20"/>
          <w:szCs w:val="20"/>
          <w:color w:val="auto"/>
        </w:rPr>
      </w:pPr>
    </w:p>
    <w:p>
      <w:pPr>
        <w:ind w:right="320" w:firstLine="2600"/>
        <w:spacing w:after="0" w:line="223" w:lineRule="auto"/>
        <w:tabs>
          <w:tab w:leader="none" w:pos="3096"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minus the then-outstanding amount, if any, under any pending Notice of Loss or Notice of Claim delivered in good faith by Acquiror in accordance with Section 8.4(a) or Section 8.4(b), respectively, prior to the Indemnity Escrow Expiration Date (each, as applicable, a “</w:t>
      </w:r>
      <w:r>
        <w:rPr>
          <w:rFonts w:ascii="Arial" w:cs="Arial" w:eastAsia="Arial" w:hAnsi="Arial"/>
          <w:sz w:val="22"/>
          <w:szCs w:val="22"/>
          <w:b w:val="1"/>
          <w:bCs w:val="1"/>
          <w:color w:val="auto"/>
        </w:rPr>
        <w:t>Continuing Claim</w:t>
      </w:r>
      <w:r>
        <w:rPr>
          <w:rFonts w:ascii="Arial" w:cs="Arial" w:eastAsia="Arial" w:hAnsi="Arial"/>
          <w:sz w:val="22"/>
          <w:szCs w:val="22"/>
          <w:color w:val="auto"/>
        </w:rPr>
        <w:t>”).</w:t>
      </w:r>
    </w:p>
    <w:p>
      <w:pPr>
        <w:spacing w:after="0" w:line="158" w:lineRule="exact"/>
        <w:rPr>
          <w:rFonts w:ascii="Arial" w:cs="Arial" w:eastAsia="Arial" w:hAnsi="Arial"/>
          <w:sz w:val="22"/>
          <w:szCs w:val="22"/>
          <w:color w:val="010000"/>
        </w:rPr>
      </w:pPr>
    </w:p>
    <w:p>
      <w:pPr>
        <w:ind w:left="660" w:right="280" w:firstLine="1292"/>
        <w:spacing w:after="0" w:line="257" w:lineRule="auto"/>
        <w:tabs>
          <w:tab w:leader="none" w:pos="2496"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Within 5 days after each Continuing Claim is resolved, Acquiror and the Stockholders’ Representative shall deliver a joint instruction to the Escrow Agent, instructing the Escrow Agent to release from the Indemnity Escrow Fund to the Stockholders, in accordance with their Pro Rata Percentages or as otherwise directed by both Stockholders, an amount equal the amount retained in respect of such resolved Continuing Claim.</w:t>
      </w:r>
    </w:p>
    <w:p>
      <w:pPr>
        <w:spacing w:after="0" w:line="144" w:lineRule="exact"/>
        <w:rPr>
          <w:sz w:val="20"/>
          <w:szCs w:val="20"/>
          <w:color w:val="auto"/>
        </w:rPr>
      </w:pPr>
    </w:p>
    <w:p>
      <w:pPr>
        <w:ind w:right="320" w:firstLine="648"/>
        <w:spacing w:after="0" w:line="298" w:lineRule="auto"/>
        <w:rPr>
          <w:sz w:val="20"/>
          <w:szCs w:val="20"/>
          <w:color w:val="auto"/>
        </w:rPr>
      </w:pPr>
      <w:r>
        <w:rPr>
          <w:rFonts w:ascii="Arial" w:cs="Arial" w:eastAsia="Arial" w:hAnsi="Arial"/>
          <w:sz w:val="19"/>
          <w:szCs w:val="19"/>
          <w:color w:val="auto"/>
        </w:rPr>
        <w:t xml:space="preserve">Section 8.5 </w:t>
      </w:r>
      <w:r>
        <w:rPr>
          <w:rFonts w:ascii="Arial" w:cs="Arial" w:eastAsia="Arial" w:hAnsi="Arial"/>
          <w:sz w:val="19"/>
          <w:szCs w:val="19"/>
          <w:u w:val="single" w:color="auto"/>
          <w:color w:val="auto"/>
        </w:rPr>
        <w:t>Tax Treatment of Indemnity Payments</w:t>
      </w:r>
      <w:r>
        <w:rPr>
          <w:rFonts w:ascii="Arial" w:cs="Arial" w:eastAsia="Arial" w:hAnsi="Arial"/>
          <w:sz w:val="19"/>
          <w:szCs w:val="19"/>
          <w:color w:val="auto"/>
        </w:rPr>
        <w:t>. Stockholders and Acquiror agree to treat any indemnity payment made pursuant to this Article VIII as an adjustment to the Merger Consideration for all applicable Tax purposes.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IX</w:t>
      </w:r>
    </w:p>
    <w:p>
      <w:pPr>
        <w:jc w:val="center"/>
        <w:ind w:right="-39"/>
        <w:spacing w:after="0"/>
        <w:rPr>
          <w:sz w:val="20"/>
          <w:szCs w:val="20"/>
          <w:color w:val="auto"/>
        </w:rPr>
      </w:pPr>
      <w:r>
        <w:rPr>
          <w:rFonts w:ascii="Arial" w:cs="Arial" w:eastAsia="Arial" w:hAnsi="Arial"/>
          <w:sz w:val="22"/>
          <w:szCs w:val="22"/>
          <w:b w:val="1"/>
          <w:bCs w:val="1"/>
          <w:color w:val="auto"/>
        </w:rPr>
        <w:t>CLOSING DELIVERIES</w:t>
      </w:r>
    </w:p>
    <w:p>
      <w:pPr>
        <w:spacing w:after="0" w:line="14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Stockholders’ Deliveries</w:t>
      </w:r>
      <w:r>
        <w:rPr>
          <w:rFonts w:ascii="Arial" w:cs="Arial" w:eastAsia="Arial" w:hAnsi="Arial"/>
          <w:sz w:val="19"/>
          <w:szCs w:val="19"/>
          <w:color w:val="auto"/>
        </w:rPr>
        <w:t>. As a condition of Closing, Stockholders shall deliver, or cause to be delivered, to</w:t>
      </w:r>
    </w:p>
    <w:p>
      <w:pPr>
        <w:spacing w:after="0"/>
        <w:rPr>
          <w:sz w:val="20"/>
          <w:szCs w:val="20"/>
          <w:color w:val="auto"/>
        </w:rPr>
      </w:pPr>
      <w:r>
        <w:rPr>
          <w:rFonts w:ascii="Arial" w:cs="Arial" w:eastAsia="Arial" w:hAnsi="Arial"/>
          <w:sz w:val="22"/>
          <w:szCs w:val="22"/>
          <w:color w:val="auto"/>
        </w:rPr>
        <w:t>Acquiror the following (unless waived by Acquiror):</w:t>
      </w:r>
    </w:p>
    <w:p>
      <w:pPr>
        <w:spacing w:after="0" w:line="161" w:lineRule="exact"/>
        <w:rPr>
          <w:sz w:val="20"/>
          <w:szCs w:val="20"/>
          <w:color w:val="auto"/>
        </w:rPr>
      </w:pPr>
    </w:p>
    <w:p>
      <w:pPr>
        <w:ind w:firstLine="1304"/>
        <w:spacing w:after="0" w:line="252" w:lineRule="auto"/>
        <w:tabs>
          <w:tab w:leader="none" w:pos="1752"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certificate of an officer of the Company dated the Closing Date, which attaches and certifies the written consents of the stockholders and board of directors of the Company consenting to the Merger, waiving all dissenters’ rights, authorizing and approving the execution, delivery, and performance of this Agreement, all other Transaction Agreements, and the consummation of the Transactions, and certifying as to the incumbency of each person executing (as a corporate officer or otherwise) any document executed by the Company and delivered to Acquiror pursuant to this Agreement;</w:t>
      </w:r>
    </w:p>
    <w:p>
      <w:pPr>
        <w:spacing w:after="0" w:line="148" w:lineRule="exact"/>
        <w:rPr>
          <w:rFonts w:ascii="Arial" w:cs="Arial" w:eastAsia="Arial" w:hAnsi="Arial"/>
          <w:sz w:val="19"/>
          <w:szCs w:val="19"/>
          <w:color w:val="auto"/>
        </w:rPr>
      </w:pPr>
    </w:p>
    <w:p>
      <w:pPr>
        <w:ind w:left="1780" w:hanging="476"/>
        <w:spacing w:after="0"/>
        <w:tabs>
          <w:tab w:leader="none" w:pos="17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Preliminary Closing Statement;</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Employment Agreements, duly executed by the Key Employees;</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Option Agreements, duly executed by each of the Optionees;</w:t>
      </w:r>
    </w:p>
    <w:p>
      <w:pPr>
        <w:spacing w:after="0" w:line="171" w:lineRule="exact"/>
        <w:rPr>
          <w:rFonts w:ascii="Arial" w:cs="Arial" w:eastAsia="Arial" w:hAnsi="Arial"/>
          <w:sz w:val="22"/>
          <w:szCs w:val="22"/>
          <w:color w:val="auto"/>
        </w:rPr>
      </w:pPr>
    </w:p>
    <w:p>
      <w:pPr>
        <w:ind w:left="1760" w:hanging="456"/>
        <w:spacing w:after="0"/>
        <w:tabs>
          <w:tab w:leader="none" w:pos="17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Registration Rights Agreement in the form attached as Exhibit J, duly executed by each of the</w:t>
      </w:r>
    </w:p>
    <w:p>
      <w:pPr>
        <w:spacing w:after="0"/>
        <w:rPr>
          <w:rFonts w:ascii="Arial" w:cs="Arial" w:eastAsia="Arial" w:hAnsi="Arial"/>
          <w:sz w:val="21"/>
          <w:szCs w:val="21"/>
          <w:color w:val="auto"/>
        </w:rPr>
      </w:pPr>
      <w:r>
        <w:rPr>
          <w:rFonts w:ascii="Arial" w:cs="Arial" w:eastAsia="Arial" w:hAnsi="Arial"/>
          <w:sz w:val="22"/>
          <w:szCs w:val="22"/>
          <w:color w:val="auto"/>
        </w:rPr>
        <w:t>Stockholders;</w:t>
      </w:r>
    </w:p>
    <w:p>
      <w:pPr>
        <w:spacing w:after="0" w:line="161" w:lineRule="exact"/>
        <w:rPr>
          <w:rFonts w:ascii="Arial" w:cs="Arial" w:eastAsia="Arial" w:hAnsi="Arial"/>
          <w:sz w:val="21"/>
          <w:szCs w:val="21"/>
          <w:color w:val="auto"/>
        </w:rPr>
      </w:pPr>
    </w:p>
    <w:p>
      <w:pPr>
        <w:ind w:left="1740" w:hanging="436"/>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Invention Assignment Agreement, duly executed by Company and Singh;</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Escrow Agreement, duly executed by each of the Stockholders; and</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duly and fully executed IRS Form W-9 from the Company and the Stockholders.</w:t>
      </w:r>
    </w:p>
    <w:p>
      <w:pPr>
        <w:spacing w:after="0" w:line="179" w:lineRule="exact"/>
        <w:rPr>
          <w:sz w:val="20"/>
          <w:szCs w:val="20"/>
          <w:color w:val="auto"/>
        </w:rPr>
      </w:pPr>
    </w:p>
    <w:p>
      <w:pPr>
        <w:ind w:right="280" w:firstLine="648"/>
        <w:spacing w:after="0" w:line="223"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Deliveries by Acquiror</w:t>
      </w:r>
      <w:r>
        <w:rPr>
          <w:rFonts w:ascii="Arial" w:cs="Arial" w:eastAsia="Arial" w:hAnsi="Arial"/>
          <w:sz w:val="22"/>
          <w:szCs w:val="22"/>
          <w:color w:val="auto"/>
        </w:rPr>
        <w:t>. As a condition of Closing, Acquiror shall deliver, or cause to be delivered, to the Stockholders (with respect to clause 9.2(a)) and to the Stockholders’ Representative (with respect to all other clauses of this Section 9.2) the following, (unless waived by Stockholders’ Representative):</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77" w:lineRule="exact"/>
        <w:rPr>
          <w:sz w:val="20"/>
          <w:szCs w:val="20"/>
          <w:color w:val="auto"/>
        </w:rPr>
      </w:pPr>
    </w:p>
    <w:p>
      <w:pPr>
        <w:ind w:right="440" w:firstLine="1304"/>
        <w:spacing w:after="0" w:line="232" w:lineRule="auto"/>
        <w:tabs>
          <w:tab w:leader="none" w:pos="1752" w:val="left"/>
        </w:tabs>
        <w:numPr>
          <w:ilvl w:val="0"/>
          <w:numId w:val="81"/>
        </w:numPr>
        <w:rPr>
          <w:rFonts w:ascii="Arial" w:cs="Arial" w:eastAsia="Arial" w:hAnsi="Arial"/>
          <w:sz w:val="22"/>
          <w:szCs w:val="22"/>
          <w:color w:val="auto"/>
        </w:rPr>
      </w:pPr>
      <w:r>
        <w:rPr>
          <w:rFonts w:ascii="Arial" w:cs="Arial" w:eastAsia="Arial" w:hAnsi="Arial"/>
          <w:sz w:val="22"/>
          <w:szCs w:val="22"/>
          <w:color w:val="auto"/>
        </w:rPr>
        <w:t>payment of the Estimated Closing Cash Merger Consideration and issuance of the Closing Stock Merger Consideration, in each case in accordance with Section 2.8(a) of this Agreement;</w:t>
      </w:r>
    </w:p>
    <w:p>
      <w:pPr>
        <w:spacing w:after="0" w:line="158" w:lineRule="exact"/>
        <w:rPr>
          <w:rFonts w:ascii="Arial" w:cs="Arial" w:eastAsia="Arial" w:hAnsi="Arial"/>
          <w:sz w:val="22"/>
          <w:szCs w:val="22"/>
          <w:color w:val="auto"/>
        </w:rPr>
      </w:pPr>
    </w:p>
    <w:p>
      <w:pPr>
        <w:ind w:firstLine="1304"/>
        <w:spacing w:after="0" w:line="214" w:lineRule="auto"/>
        <w:tabs>
          <w:tab w:leader="none" w:pos="1764"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certificate of an officer of the Acquiror and Merger Sub, dated the Closing Date, which attaches and certifies the resolutions duly adopted at a meeting or by written consent of the board of directors or managing member, as applicable, of the Acquiror and Merger Sub consenting to the Merger, authorizing and approving the execution, delivery, and performance of this Agreement, all other Transaction Agreements, and the consummation of the Transactions, and certifying as to the incumbency of each person executing (as a corporate officer or otherwise) any document executed and delivered by the Acquiror or Merger Sub pursuant to this Agreement;</w:t>
      </w:r>
    </w:p>
    <w:p>
      <w:pPr>
        <w:spacing w:after="0" w:line="158" w:lineRule="exact"/>
        <w:rPr>
          <w:rFonts w:ascii="Arial" w:cs="Arial" w:eastAsia="Arial" w:hAnsi="Arial"/>
          <w:sz w:val="22"/>
          <w:szCs w:val="22"/>
          <w:color w:val="auto"/>
        </w:rPr>
      </w:pPr>
    </w:p>
    <w:p>
      <w:pPr>
        <w:ind w:left="1760" w:hanging="456"/>
        <w:spacing w:after="0"/>
        <w:tabs>
          <w:tab w:leader="none" w:pos="17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Employment Agreements, duly executed by the Acquiror;</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Option Agreements, duly executed by the Acquiror;</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RSU Award Agreements, duly executed by the Acquiror;</w:t>
      </w:r>
    </w:p>
    <w:p>
      <w:pPr>
        <w:spacing w:after="0" w:line="179" w:lineRule="exact"/>
        <w:rPr>
          <w:rFonts w:ascii="Arial" w:cs="Arial" w:eastAsia="Arial" w:hAnsi="Arial"/>
          <w:sz w:val="22"/>
          <w:szCs w:val="22"/>
          <w:color w:val="auto"/>
        </w:rPr>
      </w:pPr>
    </w:p>
    <w:p>
      <w:pPr>
        <w:ind w:left="1740" w:hanging="436"/>
        <w:spacing w:after="0"/>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Registration Rights Agreement, duly executed by the Acquiror; and</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Escrow Agreement, duly executed by the Acquiror.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161" w:lineRule="exact"/>
        <w:rPr>
          <w:sz w:val="20"/>
          <w:szCs w:val="20"/>
          <w:color w:val="auto"/>
        </w:rPr>
      </w:pPr>
    </w:p>
    <w:p>
      <w:pPr>
        <w:jc w:val="both"/>
        <w:ind w:right="40" w:firstLine="648"/>
        <w:spacing w:after="0" w:line="252"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Except as otherwise provided herein, all fees and expenses incurred in connection with or related to this Agreement and the transactions contemplated hereby shall be paid by the party incurring such fees or expenses, whether or not such transactions are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Stockholders shall be responsible for the payment of all Transaction Expenses. In the event of termination of this Agreement, the obligation of each party to pay its own expenses will be subject to any rights of such party arising from a willful and material breach of this Agreement by the other.</w:t>
      </w:r>
    </w:p>
    <w:p>
      <w:pPr>
        <w:spacing w:after="0" w:line="149" w:lineRule="exact"/>
        <w:rPr>
          <w:sz w:val="20"/>
          <w:szCs w:val="20"/>
          <w:color w:val="auto"/>
        </w:rPr>
      </w:pPr>
    </w:p>
    <w:p>
      <w:pPr>
        <w:ind w:right="60" w:firstLine="648"/>
        <w:spacing w:after="0" w:line="229"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Amendment and Modification</w:t>
      </w:r>
      <w:r>
        <w:rPr>
          <w:rFonts w:ascii="Arial" w:cs="Arial" w:eastAsia="Arial" w:hAnsi="Arial"/>
          <w:sz w:val="21"/>
          <w:szCs w:val="21"/>
          <w:color w:val="auto"/>
        </w:rPr>
        <w:t>. This Agreement may be amended, modified or supplemented by the parties at any time prior to the Closing Date.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58" w:lineRule="exact"/>
        <w:rPr>
          <w:sz w:val="20"/>
          <w:szCs w:val="20"/>
          <w:color w:val="auto"/>
        </w:rPr>
      </w:pPr>
    </w:p>
    <w:p>
      <w:pPr>
        <w:ind w:right="60" w:firstLine="648"/>
        <w:spacing w:after="0" w:line="219"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Waiver; Extension</w:t>
      </w:r>
      <w:r>
        <w:rPr>
          <w:rFonts w:ascii="Arial" w:cs="Arial" w:eastAsia="Arial" w:hAnsi="Arial"/>
          <w:sz w:val="21"/>
          <w:szCs w:val="21"/>
          <w:color w:val="auto"/>
        </w:rPr>
        <w:t>. At any time prior to the Effective Time, Acquiror, on the one hand and on behalf of itself and Merger Sub, and the Company, on the other hand, may (a) extend the time for performance of any of the obligations or other acts of the other party contained herein, (b) waive any inaccuracies in the representations and warranties of the other party contained herein or in any document, certificate or writing delivered by such party pursuant hereto, or (c) waive compliance by the other party with any of the agreements or conditions contained herein. Any agreement on the part of any party to any such extension or waiver shall be valid only if set forth in a written agreement signed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Any agreement on the part of any party to any such waiver shall be valid only if set forth in a written instrument executed and delivered by a duly authorized officer on behalf of such party.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7"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duly given (a) on the date of delivery if delivered personally, or if by e-mail, upon written confirmation of receipt e-mail or otherwise,</w:t>
      </w:r>
    </w:p>
    <w:p>
      <w:pPr>
        <w:ind w:firstLine="8"/>
        <w:spacing w:after="0" w:line="251" w:lineRule="auto"/>
        <w:tabs>
          <w:tab w:leader="none" w:pos="306" w:val="left"/>
        </w:tabs>
        <w:numPr>
          <w:ilvl w:val="0"/>
          <w:numId w:val="82"/>
        </w:numPr>
        <w:rPr>
          <w:rFonts w:ascii="Arial" w:cs="Arial" w:eastAsia="Arial" w:hAnsi="Arial"/>
          <w:sz w:val="19"/>
          <w:szCs w:val="19"/>
          <w:color w:val="auto"/>
        </w:rPr>
      </w:pPr>
      <w:r>
        <w:rPr>
          <w:rFonts w:ascii="Arial" w:cs="Arial" w:eastAsia="Arial" w:hAnsi="Arial"/>
          <w:sz w:val="19"/>
          <w:szCs w:val="19"/>
          <w:color w:val="auto"/>
        </w:rPr>
        <w:t>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48" w:lineRule="exact"/>
        <w:rPr>
          <w:sz w:val="20"/>
          <w:szCs w:val="20"/>
          <w:color w:val="auto"/>
        </w:rPr>
      </w:pPr>
    </w:p>
    <w:p>
      <w:pPr>
        <w:ind w:left="2380" w:hanging="428"/>
        <w:spacing w:after="0"/>
        <w:tabs>
          <w:tab w:leader="none" w:pos="2380"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Genesic Semiconductor Inc.</w:t>
      </w:r>
    </w:p>
    <w:p>
      <w:pPr>
        <w:ind w:left="2600"/>
        <w:spacing w:after="0"/>
        <w:rPr>
          <w:sz w:val="20"/>
          <w:szCs w:val="20"/>
          <w:color w:val="auto"/>
        </w:rPr>
      </w:pPr>
      <w:r>
        <w:rPr>
          <w:rFonts w:ascii="Arial" w:cs="Arial" w:eastAsia="Arial" w:hAnsi="Arial"/>
          <w:sz w:val="22"/>
          <w:szCs w:val="22"/>
          <w:color w:val="auto"/>
        </w:rPr>
        <w:t>43670 Trade Center Place Ste. 155</w:t>
      </w:r>
    </w:p>
    <w:p>
      <w:pPr>
        <w:spacing w:after="0" w:line="1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Dulles, VA 20166 USA</w:t>
      </w:r>
    </w:p>
    <w:p>
      <w:pPr>
        <w:ind w:left="2600"/>
        <w:spacing w:after="0" w:line="204" w:lineRule="auto"/>
        <w:rPr>
          <w:sz w:val="20"/>
          <w:szCs w:val="20"/>
          <w:color w:val="auto"/>
        </w:rPr>
      </w:pPr>
      <w:r>
        <w:rPr>
          <w:rFonts w:ascii="Arial" w:cs="Arial" w:eastAsia="Arial" w:hAnsi="Arial"/>
          <w:sz w:val="22"/>
          <w:szCs w:val="22"/>
          <w:color w:val="auto"/>
        </w:rPr>
        <w:t>Attention: Ranbir Singh</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ranbir.singh@genesicsemi.com</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Gibson, Dunn &amp; Crutcher LLP</w:t>
      </w:r>
    </w:p>
    <w:p>
      <w:pPr>
        <w:ind w:left="2600"/>
        <w:spacing w:after="0" w:line="204" w:lineRule="auto"/>
        <w:rPr>
          <w:sz w:val="20"/>
          <w:szCs w:val="20"/>
          <w:color w:val="auto"/>
        </w:rPr>
      </w:pPr>
      <w:r>
        <w:rPr>
          <w:rFonts w:ascii="Arial" w:cs="Arial" w:eastAsia="Arial" w:hAnsi="Arial"/>
          <w:sz w:val="22"/>
          <w:szCs w:val="22"/>
          <w:color w:val="auto"/>
        </w:rPr>
        <w:t>200 Park Avenue</w:t>
      </w:r>
    </w:p>
    <w:p>
      <w:pPr>
        <w:ind w:left="2600"/>
        <w:spacing w:after="0" w:line="205" w:lineRule="auto"/>
        <w:rPr>
          <w:sz w:val="20"/>
          <w:szCs w:val="20"/>
          <w:color w:val="auto"/>
        </w:rPr>
      </w:pPr>
      <w:r>
        <w:rPr>
          <w:rFonts w:ascii="Arial" w:cs="Arial" w:eastAsia="Arial" w:hAnsi="Arial"/>
          <w:sz w:val="22"/>
          <w:szCs w:val="22"/>
          <w:color w:val="auto"/>
        </w:rPr>
        <w:t>New York, New York 10166-0193</w:t>
      </w:r>
    </w:p>
    <w:p>
      <w:pPr>
        <w:ind w:left="2600"/>
        <w:spacing w:after="0" w:line="205" w:lineRule="auto"/>
        <w:rPr>
          <w:sz w:val="20"/>
          <w:szCs w:val="20"/>
          <w:color w:val="auto"/>
        </w:rPr>
      </w:pPr>
      <w:r>
        <w:rPr>
          <w:rFonts w:ascii="Arial" w:cs="Arial" w:eastAsia="Arial" w:hAnsi="Arial"/>
          <w:sz w:val="22"/>
          <w:szCs w:val="22"/>
          <w:color w:val="auto"/>
        </w:rPr>
        <w:t>Attention: John Gaffney</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jgaffney@gibsondunn.com</w:t>
      </w:r>
    </w:p>
    <w:p>
      <w:pPr>
        <w:spacing w:after="0" w:line="161" w:lineRule="exact"/>
        <w:rPr>
          <w:sz w:val="20"/>
          <w:szCs w:val="20"/>
          <w:color w:val="auto"/>
        </w:rPr>
      </w:pPr>
    </w:p>
    <w:p>
      <w:pPr>
        <w:ind w:left="2440" w:hanging="488"/>
        <w:spacing w:after="0"/>
        <w:tabs>
          <w:tab w:leader="none" w:pos="2440"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if to the Stockholders, to:</w:t>
      </w:r>
    </w:p>
    <w:p>
      <w:pPr>
        <w:spacing w:after="0" w:line="179" w:lineRule="exact"/>
        <w:rPr>
          <w:rFonts w:ascii="Arial" w:cs="Arial" w:eastAsia="Arial" w:hAnsi="Arial"/>
          <w:sz w:val="22"/>
          <w:szCs w:val="22"/>
          <w:color w:val="010000"/>
        </w:rPr>
      </w:pPr>
    </w:p>
    <w:p>
      <w:pPr>
        <w:ind w:left="2500" w:hanging="548"/>
        <w:spacing w:after="0"/>
        <w:tabs>
          <w:tab w:leader="none" w:pos="2500"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if to Acquiror, Merger Sub or the Surviving Entity, to:</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Navitas Semiconductor Corporation</w:t>
      </w:r>
    </w:p>
    <w:p>
      <w:pPr>
        <w:ind w:left="2600"/>
        <w:spacing w:after="0" w:line="204" w:lineRule="auto"/>
        <w:rPr>
          <w:sz w:val="20"/>
          <w:szCs w:val="20"/>
          <w:color w:val="auto"/>
        </w:rPr>
      </w:pPr>
      <w:r>
        <w:rPr>
          <w:rFonts w:ascii="Arial" w:cs="Arial" w:eastAsia="Arial" w:hAnsi="Arial"/>
          <w:sz w:val="22"/>
          <w:szCs w:val="22"/>
          <w:color w:val="auto"/>
        </w:rPr>
        <w:t>2101 E. El Segundo Blvd., Suite 205</w:t>
      </w:r>
    </w:p>
    <w:p>
      <w:pPr>
        <w:ind w:left="2600"/>
        <w:spacing w:after="0" w:line="205" w:lineRule="auto"/>
        <w:rPr>
          <w:sz w:val="20"/>
          <w:szCs w:val="20"/>
          <w:color w:val="auto"/>
        </w:rPr>
      </w:pPr>
      <w:r>
        <w:rPr>
          <w:rFonts w:ascii="Arial" w:cs="Arial" w:eastAsia="Arial" w:hAnsi="Arial"/>
          <w:sz w:val="22"/>
          <w:szCs w:val="22"/>
          <w:color w:val="auto"/>
        </w:rPr>
        <w:t>El Segundo, CA 90245</w:t>
      </w:r>
    </w:p>
    <w:p>
      <w:pPr>
        <w:ind w:left="2600"/>
        <w:spacing w:after="0" w:line="205"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legalnotices@navitassemi.com</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TCF Law Group, PLLC</w:t>
      </w:r>
    </w:p>
    <w:p>
      <w:pPr>
        <w:ind w:left="2600"/>
        <w:spacing w:after="0" w:line="204" w:lineRule="auto"/>
        <w:rPr>
          <w:sz w:val="20"/>
          <w:szCs w:val="20"/>
          <w:color w:val="auto"/>
        </w:rPr>
      </w:pPr>
      <w:r>
        <w:rPr>
          <w:rFonts w:ascii="Arial" w:cs="Arial" w:eastAsia="Arial" w:hAnsi="Arial"/>
          <w:sz w:val="22"/>
          <w:szCs w:val="22"/>
          <w:color w:val="auto"/>
        </w:rPr>
        <w:t>21 Pleasant Street, Suite 237</w:t>
      </w:r>
    </w:p>
    <w:p>
      <w:pPr>
        <w:ind w:left="2600"/>
        <w:spacing w:after="0" w:line="205" w:lineRule="auto"/>
        <w:rPr>
          <w:sz w:val="20"/>
          <w:szCs w:val="20"/>
          <w:color w:val="auto"/>
        </w:rPr>
      </w:pPr>
      <w:r>
        <w:rPr>
          <w:rFonts w:ascii="Arial" w:cs="Arial" w:eastAsia="Arial" w:hAnsi="Arial"/>
          <w:sz w:val="22"/>
          <w:szCs w:val="22"/>
          <w:color w:val="auto"/>
        </w:rPr>
        <w:t>Newburyport, MA 01950</w:t>
      </w:r>
    </w:p>
    <w:p>
      <w:pPr>
        <w:ind w:left="2600"/>
        <w:spacing w:after="0" w:line="205" w:lineRule="auto"/>
        <w:rPr>
          <w:sz w:val="20"/>
          <w:szCs w:val="20"/>
          <w:color w:val="auto"/>
        </w:rPr>
      </w:pPr>
      <w:r>
        <w:rPr>
          <w:rFonts w:ascii="Arial" w:cs="Arial" w:eastAsia="Arial" w:hAnsi="Arial"/>
          <w:sz w:val="22"/>
          <w:szCs w:val="22"/>
          <w:color w:val="auto"/>
        </w:rPr>
        <w:t>Attention: Thomas Farrell, Esq.</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tfarrell@tcflaw.com</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w:t>
      </w:r>
    </w:p>
    <w:p>
      <w:pPr>
        <w:sectPr>
          <w:pgSz w:w="11900" w:h="16838" w:orient="portrait"/>
          <w:cols w:equalWidth="0" w:num="1">
            <w:col w:w="11160"/>
          </w:cols>
          <w:pgMar w:left="320" w:top="1440" w:right="419" w:bottom="1440" w:gutter="0" w:footer="0" w:header="0"/>
        </w:sectPr>
      </w:pPr>
    </w:p>
    <w:bookmarkStart w:id="107" w:name="page108"/>
    <w:bookmarkEnd w:id="107"/>
    <w:p>
      <w:pPr>
        <w:spacing w:after="0" w:line="177"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color w:val="auto"/>
        </w:rPr>
        <w:t>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w:t>
      </w:r>
    </w:p>
    <w:p>
      <w:pPr>
        <w:spacing w:after="0" w:line="158" w:lineRule="exact"/>
        <w:rPr>
          <w:sz w:val="20"/>
          <w:szCs w:val="20"/>
          <w:color w:val="auto"/>
        </w:rPr>
      </w:pPr>
    </w:p>
    <w:p>
      <w:pPr>
        <w:ind w:right="20" w:firstLine="648"/>
        <w:spacing w:after="0" w:line="243"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Exhibits and Schedules hereto)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including the Acquiror’s indications of interest dated January 17, 2022 and March 23, 2022 (as amended). This Agreement shall not be deemed to contain or imply any restriction, covenant, representation, warranty, agreement or undertaking of any party with respect to the transactions contemplated hereby or thereby other than those expressly set forth herein or therein or in any document required to be delivered hereunder or thereunder and none shall be deemed to exist or be inferred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 and such party’s closing conditions have been satisfied.</w:t>
      </w:r>
    </w:p>
    <w:p>
      <w:pPr>
        <w:spacing w:after="0" w:line="159" w:lineRule="exact"/>
        <w:rPr>
          <w:sz w:val="20"/>
          <w:szCs w:val="20"/>
          <w:color w:val="auto"/>
        </w:rPr>
      </w:pPr>
    </w:p>
    <w:p>
      <w:pPr>
        <w:ind w:right="180" w:firstLine="648"/>
        <w:spacing w:after="0" w:line="252"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Parties in Interest</w:t>
      </w:r>
      <w:r>
        <w:rPr>
          <w:rFonts w:ascii="Arial" w:cs="Arial" w:eastAsia="Arial" w:hAnsi="Arial"/>
          <w:sz w:val="19"/>
          <w:szCs w:val="19"/>
          <w:color w:val="auto"/>
        </w:rPr>
        <w:t>. This Agreement shall be binding upon and inure solely to the benefit of each party hereto, and nothing in this Agreement, express or implied, is intended to or shall confer upon any Person other than the parties and their respective successors and permitted assigns any rights, benefits or remedies of any nature whatsoever under or by reason of this Agreement, except with respect to the provisions of Section 6.5, Section 6.6 and Article VIII, which shall inure to the benefit of the Persons benefiting therefrom who are intended to be third-party beneficiaries thereof.</w:t>
      </w:r>
    </w:p>
    <w:p>
      <w:pPr>
        <w:spacing w:after="0" w:line="149" w:lineRule="exact"/>
        <w:rPr>
          <w:sz w:val="20"/>
          <w:szCs w:val="20"/>
          <w:color w:val="auto"/>
        </w:rPr>
      </w:pPr>
    </w:p>
    <w:p>
      <w:pPr>
        <w:ind w:right="180" w:firstLine="648"/>
        <w:spacing w:after="0" w:line="218"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xml:space="preserve">. Each of the parties irrevocably agrees that any legal action or proceeding arising out of or relating to this Agreement brought by any party or its successors or assigns against any other party shall be brought and determined in the Court of Chancery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44" w:lineRule="exact"/>
        <w:rPr>
          <w:sz w:val="20"/>
          <w:szCs w:val="20"/>
          <w:color w:val="auto"/>
        </w:rPr>
      </w:pPr>
    </w:p>
    <w:p>
      <w:pPr>
        <w:ind w:right="80" w:firstLine="648"/>
        <w:spacing w:after="0" w:line="247"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Disclosure Generally</w:t>
      </w:r>
      <w:r>
        <w:rPr>
          <w:rFonts w:ascii="Arial" w:cs="Arial" w:eastAsia="Arial" w:hAnsi="Arial"/>
          <w:sz w:val="19"/>
          <w:szCs w:val="19"/>
          <w:color w:val="auto"/>
        </w:rPr>
        <w:t>. Notwithstanding anything to the contrary contained in the Disclosure Schedules or in this Agreement, the information and disclosures contained in any Disclosure Schedule shall be deemed to be disclosed and incorporated by reference in any other Disclosure Schedule as though fully set forth in such Disclosure Schedule for which applicability of such information and disclosure is reasonably apparent on its face. The fact that any item of information is disclosed in any Disclosure Schedule shall not be construed to mean that such information is required to be disclosed by this Agreement. Such information and the dollar thresholds set forth herein shall not be used as a basis for interpreting the terms “material” or “</w:t>
      </w:r>
      <w:r>
        <w:rPr>
          <w:rFonts w:ascii="Arial" w:cs="Arial" w:eastAsia="Arial" w:hAnsi="Arial"/>
          <w:sz w:val="19"/>
          <w:szCs w:val="19"/>
          <w:b w:val="1"/>
          <w:bCs w:val="1"/>
          <w:color w:val="auto"/>
        </w:rPr>
        <w:t>Material Adverse Effect</w:t>
      </w:r>
      <w:r>
        <w:rPr>
          <w:rFonts w:ascii="Arial" w:cs="Arial" w:eastAsia="Arial" w:hAnsi="Arial"/>
          <w:sz w:val="19"/>
          <w:szCs w:val="19"/>
          <w:color w:val="auto"/>
        </w:rPr>
        <w:t>” or other similar terms in this Agreement.</w:t>
      </w:r>
    </w:p>
    <w:p>
      <w:pPr>
        <w:spacing w:after="0" w:line="154"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Personal Liability</w:t>
      </w:r>
      <w:r>
        <w:rPr>
          <w:rFonts w:ascii="Arial" w:cs="Arial" w:eastAsia="Arial" w:hAnsi="Arial"/>
          <w:sz w:val="22"/>
          <w:szCs w:val="22"/>
          <w:color w:val="auto"/>
        </w:rPr>
        <w:t>. This Agreement shall not create or be deemed to create or permit any personal liability or obligation on the part of any direct or indirect stockholder of the Acquiror or any officer, director, employee, Representative or investor of any party hereto.</w:t>
      </w:r>
    </w:p>
    <w:p>
      <w:pPr>
        <w:spacing w:after="0" w:line="15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Assignment; Successors</w:t>
      </w:r>
      <w:r>
        <w:rPr>
          <w:rFonts w:ascii="Arial" w:cs="Arial" w:eastAsia="Arial" w:hAnsi="Arial"/>
          <w:sz w:val="19"/>
          <w:szCs w:val="19"/>
          <w:color w:val="auto"/>
        </w:rPr>
        <w:t xml:space="preserve">. Neither this Agreement nor any of the rights, interests or obligations under this Agreement may be assigned or delegated, in whole or in part, by operation of law or otherwise, by any party without the prior written consent of Acquiror (in the case of an assignment by the Company) or the Company (in the case of an assignment by Acquiror or Sub) except that Acquiror may: (a) assign any or all of its rights and interests hereunder to one or more of its Affiliates and designate one or more of its Affiliates to perform its obligations hereunder (other than as set forth in Article II); (b) assign its rights under this Agreement for collateral security purposes to any lenders providing financing to Acquiror, or any of its respective Subsidiaries or Affiliates; or (c) assign its rights under this Agreement to any Person that acquires Acquiror or Company or substantially all of their respective assets (whether by merger, sale of equity, sale of all or substantially all assets, consolidation, recapitalization, or other business combination);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Acquiror shall give written notice of such assignment to the Stockholder Representative after such assignment and no assignment shall limit or relieve the Acquiror of its obligations hereunder. Any assignment in violation of this Section 10.12 shall be null and void. Subject to the preceding sentences of this Section, this Agreement will be binding upon, inure to the benefit of, and be enforceable by, the parties and their respective successors and assigns.</w:t>
      </w:r>
    </w:p>
    <w:p>
      <w:pPr>
        <w:spacing w:after="0" w:line="160" w:lineRule="exact"/>
        <w:rPr>
          <w:sz w:val="20"/>
          <w:szCs w:val="20"/>
          <w:color w:val="auto"/>
        </w:rPr>
      </w:pPr>
    </w:p>
    <w:p>
      <w:pPr>
        <w:ind w:right="100" w:firstLine="648"/>
        <w:spacing w:after="0" w:line="221"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u w:val="single" w:color="auto"/>
          <w:color w:val="auto"/>
        </w:rPr>
        <w:t>Enforcement</w:t>
      </w:r>
      <w:r>
        <w:rPr>
          <w:rFonts w:ascii="Arial" w:cs="Arial" w:eastAsia="Arial" w:hAnsi="Arial"/>
          <w:sz w:val="21"/>
          <w:szCs w:val="21"/>
          <w:color w:val="auto"/>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Court of Chancery of the State of Delaware, provided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59"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 xml:space="preserve">Section 10.14 </w:t>
      </w:r>
      <w:r>
        <w:rPr>
          <w:rFonts w:ascii="Arial" w:cs="Arial" w:eastAsia="Arial" w:hAnsi="Arial"/>
          <w:sz w:val="22"/>
          <w:szCs w:val="22"/>
          <w:u w:val="single" w:color="auto"/>
          <w:color w:val="auto"/>
        </w:rPr>
        <w:t>Currency</w:t>
      </w:r>
      <w:r>
        <w:rPr>
          <w:rFonts w:ascii="Arial" w:cs="Arial" w:eastAsia="Arial" w:hAnsi="Arial"/>
          <w:sz w:val="22"/>
          <w:szCs w:val="22"/>
          <w:color w:val="auto"/>
        </w:rPr>
        <w:t>. All references to “dollars” or “$” or “US$” in this Agreement refer to United States dollars, which is the currency used for all purposes in this Agreement.</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77" w:lineRule="exact"/>
        <w:rPr>
          <w:sz w:val="20"/>
          <w:szCs w:val="20"/>
          <w:color w:val="auto"/>
        </w:rPr>
      </w:pPr>
    </w:p>
    <w:p>
      <w:pPr>
        <w:ind w:right="120" w:firstLine="648"/>
        <w:spacing w:after="0" w:line="224"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60" w:lineRule="exact"/>
        <w:rPr>
          <w:sz w:val="20"/>
          <w:szCs w:val="20"/>
          <w:color w:val="auto"/>
        </w:rPr>
      </w:pPr>
    </w:p>
    <w:p>
      <w:pPr>
        <w:ind w:firstLine="648"/>
        <w:spacing w:after="0" w:line="234" w:lineRule="auto"/>
        <w:rPr>
          <w:sz w:val="20"/>
          <w:szCs w:val="20"/>
          <w:color w:val="auto"/>
        </w:rPr>
      </w:pPr>
      <w:r>
        <w:rPr>
          <w:rFonts w:ascii="Arial" w:cs="Arial" w:eastAsia="Arial" w:hAnsi="Arial"/>
          <w:sz w:val="21"/>
          <w:szCs w:val="21"/>
          <w:color w:val="auto"/>
        </w:rPr>
        <w:t xml:space="preserve">Section 10.16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58"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auto"/>
        </w:rPr>
        <w:t xml:space="preserve">Section 10.17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4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10.18</w:t>
      </w:r>
      <w:r>
        <w:rPr>
          <w:sz w:val="20"/>
          <w:szCs w:val="20"/>
          <w:color w:val="auto"/>
        </w:rPr>
        <w:tab/>
      </w:r>
      <w:r>
        <w:rPr>
          <w:rFonts w:ascii="Arial" w:cs="Arial" w:eastAsia="Arial" w:hAnsi="Arial"/>
          <w:sz w:val="19"/>
          <w:szCs w:val="19"/>
          <w:u w:val="single" w:color="auto"/>
          <w:color w:val="auto"/>
        </w:rPr>
        <w:t>Electronic, Facsimile or</w:t>
      </w:r>
      <w:r>
        <w:rPr>
          <w:rFonts w:ascii="Arial" w:cs="Arial" w:eastAsia="Arial" w:hAnsi="Arial"/>
          <w:sz w:val="19"/>
          <w:szCs w:val="19"/>
          <w:color w:val="auto"/>
        </w:rPr>
        <w:t>.pdf Signature. This Agreement may be executed electronically or by facsimile or</w:t>
      </w:r>
    </w:p>
    <w:p>
      <w:pPr>
        <w:jc w:val="both"/>
        <w:ind w:right="140"/>
        <w:spacing w:after="0" w:line="217" w:lineRule="auto"/>
        <w:rPr>
          <w:sz w:val="20"/>
          <w:szCs w:val="20"/>
          <w:color w:val="auto"/>
        </w:rPr>
      </w:pPr>
      <w:r>
        <w:rPr>
          <w:rFonts w:ascii="Arial" w:cs="Arial" w:eastAsia="Arial" w:hAnsi="Arial"/>
          <w:sz w:val="22"/>
          <w:szCs w:val="22"/>
          <w:color w:val="auto"/>
        </w:rPr>
        <w:t>.pdf signature and an electronic, facsimile, or .pdf signature shall constitute an original for all purposes. This Agreement may be delivered by transfer of such a signed document by e-mail or other electronic means, which will constitute effective delivery for purposes of this Agreement.</w:t>
      </w:r>
    </w:p>
    <w:p>
      <w:pPr>
        <w:spacing w:after="0" w:line="16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10.19</w:t>
      </w:r>
      <w:r>
        <w:rPr>
          <w:sz w:val="20"/>
          <w:szCs w:val="20"/>
          <w:color w:val="auto"/>
        </w:rPr>
        <w:tab/>
      </w:r>
      <w:r>
        <w:rPr>
          <w:rFonts w:ascii="Arial" w:cs="Arial" w:eastAsia="Arial" w:hAnsi="Arial"/>
          <w:sz w:val="19"/>
          <w:szCs w:val="19"/>
          <w:u w:val="single" w:color="auto"/>
          <w:color w:val="auto"/>
        </w:rPr>
        <w:t>Legal Representation</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16" w:lineRule="auto"/>
        <w:tabs>
          <w:tab w:leader="none" w:pos="17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Acquiror, on behalf of itself and its Affiliates (including, after the Closing, the Surviving Entity) acknowledges and agrees that Gibson, Dunn &amp; Crutcher LLP (“</w:t>
      </w:r>
      <w:r>
        <w:rPr>
          <w:rFonts w:ascii="Arial" w:cs="Arial" w:eastAsia="Arial" w:hAnsi="Arial"/>
          <w:sz w:val="22"/>
          <w:szCs w:val="22"/>
          <w:b w:val="1"/>
          <w:bCs w:val="1"/>
          <w:color w:val="auto"/>
        </w:rPr>
        <w:t>Gibson Dunn</w:t>
      </w:r>
      <w:r>
        <w:rPr>
          <w:rFonts w:ascii="Arial" w:cs="Arial" w:eastAsia="Arial" w:hAnsi="Arial"/>
          <w:sz w:val="22"/>
          <w:szCs w:val="22"/>
          <w:color w:val="auto"/>
        </w:rPr>
        <w:t>”) has acted as counsel for the Stockholders and for the Company in connection with this Agreement and the transactions contemplated hereby (the “</w:t>
      </w:r>
      <w:r>
        <w:rPr>
          <w:rFonts w:ascii="Arial" w:cs="Arial" w:eastAsia="Arial" w:hAnsi="Arial"/>
          <w:sz w:val="22"/>
          <w:szCs w:val="22"/>
          <w:b w:val="1"/>
          <w:bCs w:val="1"/>
          <w:color w:val="auto"/>
        </w:rPr>
        <w:t>Acquisition Engagement</w:t>
      </w:r>
      <w:r>
        <w:rPr>
          <w:rFonts w:ascii="Arial" w:cs="Arial" w:eastAsia="Arial" w:hAnsi="Arial"/>
          <w:sz w:val="22"/>
          <w:szCs w:val="22"/>
          <w:color w:val="auto"/>
        </w:rPr>
        <w:t>”), and in connection with this Agreement and the transactions contemplated hereby, Gibson Dunn has not acted as counsel for any other Person, including Acquiror.</w:t>
      </w:r>
    </w:p>
    <w:p>
      <w:pPr>
        <w:spacing w:after="0" w:line="157" w:lineRule="exact"/>
        <w:rPr>
          <w:rFonts w:ascii="Arial" w:cs="Arial" w:eastAsia="Arial" w:hAnsi="Arial"/>
          <w:sz w:val="22"/>
          <w:szCs w:val="22"/>
          <w:color w:val="auto"/>
        </w:rPr>
      </w:pPr>
    </w:p>
    <w:p>
      <w:pPr>
        <w:ind w:firstLine="1304"/>
        <w:spacing w:after="0" w:line="238" w:lineRule="auto"/>
        <w:tabs>
          <w:tab w:leader="none" w:pos="1764" w:val="left"/>
        </w:tabs>
        <w:numPr>
          <w:ilvl w:val="1"/>
          <w:numId w:val="85"/>
        </w:numPr>
        <w:rPr>
          <w:rFonts w:ascii="Arial" w:cs="Arial" w:eastAsia="Arial" w:hAnsi="Arial"/>
          <w:sz w:val="19"/>
          <w:szCs w:val="19"/>
          <w:color w:val="auto"/>
        </w:rPr>
      </w:pPr>
      <w:r>
        <w:rPr>
          <w:rFonts w:ascii="Arial" w:cs="Arial" w:eastAsia="Arial" w:hAnsi="Arial"/>
          <w:sz w:val="19"/>
          <w:szCs w:val="19"/>
          <w:color w:val="auto"/>
        </w:rPr>
        <w:t>Only the Stockholders, the Company and their respective Affiliates shall be considered clients of Gibson Dunn in the Acquisition Engagement. Acquiror, on behalf of itself and its Affiliates (including, after the Closing, the Surviving Entity) acknowledges and agrees that all confidential communications between the Stockholders, the Company and their respective Affiliates, on the one hand, and Gibson Dunn, on the other hand, in the course of the Acquisition Engagement, and any attendant attorney-client privilege, attorney work product protection, and expectation of client confidentiality applicable thereto, shall be deemed to belong solely to the Stockholders and their respective Affiliates (other than the Company), and not the Company, and shall not pass to or be claimed, held, or used by Acquiror or the Company (or, after the Closing, the Surviving Entity) upon or after the Closing. Accordingly, Acquiror shall not have access to any such communications, or to the files of Gibson Dunn relating to the Acquisition Engagement, whether or not the Closing occurs. If Sellers transfer any such communications to Acquiror or Merger Sub with the electronic records of the Company, it shall not be a violation of this provision for Acquiror or Merger Sub to inadvertently access such communications as long as such access is terminated promptly upon discovery by Acquiror or Merger Sub that such record is such a communication. Without limiting the generality of the foregoing, upon and after the Closing, (i) to the extent that files of Gibson Dunn in respect of the Acquisition Engagement constitute property of the client, only the Stockholders and their respective Affiliates shall hold such property rights and</w:t>
      </w:r>
    </w:p>
    <w:p>
      <w:pPr>
        <w:spacing w:after="0" w:line="8" w:lineRule="exact"/>
        <w:rPr>
          <w:rFonts w:ascii="Arial" w:cs="Arial" w:eastAsia="Arial" w:hAnsi="Arial"/>
          <w:sz w:val="19"/>
          <w:szCs w:val="19"/>
          <w:color w:val="auto"/>
        </w:rPr>
      </w:pPr>
    </w:p>
    <w:p>
      <w:pPr>
        <w:ind w:left="320" w:hanging="312"/>
        <w:spacing w:after="0"/>
        <w:tabs>
          <w:tab w:leader="none" w:pos="3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Gibson Dunn shall have no duty whatsoever to reveal or disclose any such attorney-client communications or files to the</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7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 xml:space="preserve">Company (or, after the Closing, the Surviving Entity) or Acquiror by reason of any attorney-client relationship between Gibson Dunn and the Company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Gibson Dunn shall not disclose any such attorney-client communications or files to any third parties (other than representatives, accountants and advisors of the Stockholders and their respective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representatives, accountants and advisors are instructed to maintain the confidence of such attorney-client communications). Acquiror, on behalf of itself and its Affiliates (including, after the Closing, the Surviving Entity) irrevocably waives any right it may have to discover or obtain information or documentation relating to the Acquisition Engagement, to the extent that such information or documentation was subject to an attorney-client privilege, work product protection or other expectation of confidentiality owed to the Stockholders and/or their respective Affiliates. If and to the extent that, at any time subsequent to Closing, Acquiror or any of its Affiliates (including, after the Closing, the Surviving Entity) shall have the right to assert or waive any attorney-client privilege with respect to any communication between the Company or its Affiliates and any Person representing them that occurred at any time prior to the Closing, Acquiror, on behalf of itself and its Affiliates (including, after the Closing, the Surviving Entity) shall be entitled to waive such privilege only with the prior written consent of the Stockholders (such consent not to be unreasonably withheld).</w:t>
      </w:r>
    </w:p>
    <w:p>
      <w:pPr>
        <w:spacing w:after="0" w:line="160" w:lineRule="exact"/>
        <w:rPr>
          <w:sz w:val="20"/>
          <w:szCs w:val="20"/>
          <w:color w:val="auto"/>
        </w:rPr>
      </w:pPr>
    </w:p>
    <w:p>
      <w:pPr>
        <w:ind w:right="120" w:firstLine="1304"/>
        <w:spacing w:after="0" w:line="242" w:lineRule="auto"/>
        <w:tabs>
          <w:tab w:leader="none" w:pos="17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Acquiror, on behalf of itself and its Affiliates (including, after the Closing, the Surviving Entity) acknowledges and agrees that Gibson Dunn has acted as counsel for the Stockholders, the Company and their respective Affiliates and that the Stockholders reasonably anticipate that Gibson Dunn will continue to represent him and/or his respective Affiliates in future matters. Accordingly, Acquiror, on behalf of itself and its Affiliates (including, after the Closing, the Surviving Entity) expressly (i) consents to Gibson Dunn’s representation of the Stockholders and/or their respective Affiliates and/or any of their respective agents (if any of the foregoing Persons so desire) in any matter, including, without limitation, any post-Closing matter in which the interests of Acquiror and the Surviving Entity, on the one hand, and the Stockholders or any of their respective Affiliates, on the other hand, are adverse, including any matter relating to the transactions contemplated by this Agreement, and whether or not such matter is one in which Gibson Dunn may have previously advised the Stockholders, the Company or their respective Affiliates and (ii) consents to the disclosure by Gibson Dunn to the Stockholders or their respective Affiliates of any information learned by Gibson Dunn in the course of its representation of the Stockholders, the Company or their respective Affiliates, whether or not such information is subject to attorney-client privilege, attorney work product protection, or Gibson Dunn’s duty of confidentiality.</w:t>
      </w:r>
    </w:p>
    <w:p>
      <w:pPr>
        <w:spacing w:after="0" w:line="380" w:lineRule="exact"/>
        <w:rPr>
          <w:rFonts w:ascii="Arial" w:cs="Arial" w:eastAsia="Arial" w:hAnsi="Arial"/>
          <w:sz w:val="19"/>
          <w:szCs w:val="19"/>
          <w:color w:val="auto"/>
        </w:rPr>
      </w:pPr>
    </w:p>
    <w:p>
      <w:pPr>
        <w:ind w:firstLine="1304"/>
        <w:spacing w:after="0" w:line="247" w:lineRule="auto"/>
        <w:tabs>
          <w:tab w:leader="none" w:pos="1764" w:val="left"/>
        </w:tabs>
        <w:numPr>
          <w:ilvl w:val="0"/>
          <w:numId w:val="87"/>
        </w:numPr>
        <w:rPr>
          <w:rFonts w:ascii="Arial" w:cs="Arial" w:eastAsia="Arial" w:hAnsi="Arial"/>
          <w:sz w:val="19"/>
          <w:szCs w:val="19"/>
          <w:color w:val="auto"/>
        </w:rPr>
      </w:pPr>
      <w:r>
        <w:rPr>
          <w:rFonts w:ascii="Arial" w:cs="Arial" w:eastAsia="Arial" w:hAnsi="Arial"/>
          <w:sz w:val="19"/>
          <w:szCs w:val="19"/>
          <w:color w:val="auto"/>
        </w:rPr>
        <w:t>From and after the Closing, the Surviving Entity shall cease to have any attorney-client relationship with Gibson Dunn, unless and to the extent Gibson Dunn is expressly engaged in writing by the Surviving Entity to represent the Surviving Entity after the Closing and either (i) such engagement involves no conflict of interest with respect to the Stockholders and/or any of their respective Affiliates or (ii) the Stockholders and/or any such Affiliate, as applicable, consent in writing to such engagement. Any such representation of the Surviving Entity by Gibson Dunn after the Closing shall not affect the foregoing provisions hereof. Furthermore, Gibson Dunn, in its sole discretion, shall be permitted to withdraw from representing the Surviving Entity in order to represent or continue so representing the Stockholders.</w:t>
      </w:r>
    </w:p>
    <w:p>
      <w:pPr>
        <w:spacing w:after="0" w:line="153" w:lineRule="exact"/>
        <w:rPr>
          <w:rFonts w:ascii="Arial" w:cs="Arial" w:eastAsia="Arial" w:hAnsi="Arial"/>
          <w:sz w:val="19"/>
          <w:szCs w:val="19"/>
          <w:color w:val="auto"/>
        </w:rPr>
      </w:pPr>
    </w:p>
    <w:p>
      <w:pPr>
        <w:ind w:right="240" w:firstLine="1304"/>
        <w:spacing w:after="0" w:line="223" w:lineRule="auto"/>
        <w:tabs>
          <w:tab w:leader="none" w:pos="1752" w:val="left"/>
        </w:tabs>
        <w:numPr>
          <w:ilvl w:val="0"/>
          <w:numId w:val="87"/>
        </w:numPr>
        <w:rPr>
          <w:rFonts w:ascii="Arial" w:cs="Arial" w:eastAsia="Arial" w:hAnsi="Arial"/>
          <w:sz w:val="22"/>
          <w:szCs w:val="22"/>
          <w:color w:val="auto"/>
        </w:rPr>
      </w:pPr>
      <w:r>
        <w:rPr>
          <w:rFonts w:ascii="Arial" w:cs="Arial" w:eastAsia="Arial" w:hAnsi="Arial"/>
          <w:sz w:val="22"/>
          <w:szCs w:val="22"/>
          <w:color w:val="auto"/>
        </w:rPr>
        <w:t>Each of the parties to this Agreement consents to the arrangements in this Section 10.19(e) and waives any actual or potential conflict of interest that may be involved in connection with any representation by Gibson Dunn permitted hereunder.</w:t>
      </w:r>
    </w:p>
    <w:p>
      <w:pPr>
        <w:spacing w:after="0" w:line="159"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u w:val="single" w:color="auto"/>
          <w:color w:val="auto"/>
        </w:rPr>
        <w:t>Stockholder Representative</w:t>
      </w:r>
      <w:r>
        <w:rPr>
          <w:rFonts w:ascii="Arial" w:cs="Arial" w:eastAsia="Arial" w:hAnsi="Arial"/>
          <w:sz w:val="22"/>
          <w:szCs w:val="22"/>
          <w:color w:val="auto"/>
        </w:rPr>
        <w:t>. Immediately upon the approval of this Agreement by the requisite vote or written consent of the Stockholders, each Stockholder shall</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be deemed to have consented to the appointment of Ranbir Singh as such Stockholder’s representative and attorney-in-fact, with full power of substitution to act on behalf of the Stockholders to the extent and in the manner set forth in this Agreement. All decisions, actions, consents and instructions by the Stockholder Representative shall be binding upon all of the Stockholders, and no Stockholder shall have the right to object to, dissent from, protest or otherwise contest the same. Acquiror shall not have the right to object to, dissent from, protest or otherwise contest the authority of the Stockholder Representative. Acquiror and Merger Sub shall be entitled to rely on any decision, action, consent or instruction of the Stockholder Representative as being the decision, action, consent or instruction of the Stockholders, and Acquiror and Merger Sub are hereby relieved from any liability to any Person for acts done by them in accordance with any such decision, act, consent or instruction. Each of the Stockholders hereby waives any claims they may have or assert, including those that may arise in the future, against the Stockholder Representative for any action or inaction taken or not taken by the Stockholder Representative in connection with such person’s capacity as Stockholder Representative except to the extent that such action or inaction shall have been held by a court of competent jurisdiction to constitute gross negligence or willful misconduct.</w:t>
      </w:r>
    </w:p>
    <w:p>
      <w:pPr>
        <w:spacing w:after="0" w:line="164"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 xml:space="preserve">Section 10.21 </w:t>
      </w:r>
      <w:r>
        <w:rPr>
          <w:rFonts w:ascii="Arial" w:cs="Arial" w:eastAsia="Arial" w:hAnsi="Arial"/>
          <w:sz w:val="22"/>
          <w:szCs w:val="22"/>
          <w:u w:val="single" w:color="auto"/>
          <w:color w:val="auto"/>
        </w:rPr>
        <w:t>No Presumption Against Drafting Party</w:t>
      </w:r>
      <w:r>
        <w:rPr>
          <w:rFonts w:ascii="Arial" w:cs="Arial" w:eastAsia="Arial" w:hAnsi="Arial"/>
          <w:sz w:val="22"/>
          <w:szCs w:val="22"/>
          <w:color w:val="auto"/>
        </w:rPr>
        <w:t>. Each of Acquiror, Merger Sub, the Company, and each Stockholder acknowledges that each party to this Agreement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[The remainder of this page is intentionally left blank.]</w:t>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77"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IN WITNESS WHEREOF, the parties have caused this Agreement to be executed as of the date first written above by their respective officers thereunto duly authorized.</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NAVITAS SEMICONDUCTOR CORPORATION</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Gene Sheridan</w:t>
      </w:r>
      <w:r>
        <w:rPr>
          <w:rFonts w:ascii="Arial" w:cs="Arial" w:eastAsia="Arial" w:hAnsi="Arial"/>
          <w:sz w:val="22"/>
          <w:szCs w:val="22"/>
          <w:color w:val="auto"/>
        </w:rPr>
        <w:t>___________________</w:t>
      </w:r>
    </w:p>
    <w:p>
      <w:pPr>
        <w:ind w:left="3900"/>
        <w:spacing w:after="0" w:line="204" w:lineRule="auto"/>
        <w:rPr>
          <w:sz w:val="20"/>
          <w:szCs w:val="20"/>
          <w:color w:val="auto"/>
        </w:rPr>
      </w:pPr>
      <w:r>
        <w:rPr>
          <w:rFonts w:ascii="Arial" w:cs="Arial" w:eastAsia="Arial" w:hAnsi="Arial"/>
          <w:sz w:val="22"/>
          <w:szCs w:val="22"/>
          <w:color w:val="auto"/>
        </w:rPr>
        <w:t>Name: Gene Sheridan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Executive Officer</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GEMINI ACQUISITION LLC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244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4090"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Gene Sheridan</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Executive Officer</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GENESIC SEMICONDUCTOR INC.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w:t>
      </w:r>
    </w:p>
    <w:p>
      <w:pPr>
        <w:ind w:left="3900"/>
        <w:spacing w:after="0" w:line="204" w:lineRule="auto"/>
        <w:rPr>
          <w:sz w:val="20"/>
          <w:szCs w:val="20"/>
          <w:color w:val="auto"/>
        </w:rPr>
      </w:pPr>
      <w:r>
        <w:rPr>
          <w:rFonts w:ascii="Arial" w:cs="Arial" w:eastAsia="Arial" w:hAnsi="Arial"/>
          <w:sz w:val="22"/>
          <w:szCs w:val="22"/>
          <w:color w:val="auto"/>
        </w:rPr>
        <w:t>Name: Ranbir Singh</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President/Chief Executive Officer</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RANBIR SINGH</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w:t>
      </w:r>
    </w:p>
    <w:p>
      <w:pPr>
        <w:ind w:left="3900"/>
        <w:spacing w:after="0"/>
        <w:rPr>
          <w:sz w:val="20"/>
          <w:szCs w:val="20"/>
          <w:color w:val="auto"/>
        </w:rPr>
      </w:pPr>
      <w:r>
        <w:rPr>
          <w:rFonts w:ascii="Arial" w:cs="Arial" w:eastAsia="Arial" w:hAnsi="Arial"/>
          <w:sz w:val="19"/>
          <w:szCs w:val="19"/>
          <w:color w:val="auto"/>
        </w:rPr>
        <w:t>Ranbir Singh, individually and in his capacity as the Stockholder Representative</w:t>
      </w: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THE RANBIR SINGH IRREVOCABLE TRUST DATED FEBRUARY 4, 2022</w:t>
      </w: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w:t>
      </w:r>
    </w:p>
    <w:p>
      <w:pPr>
        <w:ind w:left="3900"/>
        <w:spacing w:after="0" w:line="204" w:lineRule="auto"/>
        <w:rPr>
          <w:sz w:val="20"/>
          <w:szCs w:val="20"/>
          <w:color w:val="auto"/>
        </w:rPr>
      </w:pPr>
      <w:r>
        <w:rPr>
          <w:rFonts w:ascii="Arial" w:cs="Arial" w:eastAsia="Arial" w:hAnsi="Arial"/>
          <w:sz w:val="22"/>
          <w:szCs w:val="22"/>
          <w:color w:val="auto"/>
        </w:rPr>
        <w:t>Name: The Bryn Mawr Trust Company of Delaware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to Merger Agreement]</w:t>
      </w:r>
    </w:p>
    <w:p>
      <w:pPr>
        <w:sectPr>
          <w:pgSz w:w="11900" w:h="16838" w:orient="portrait"/>
          <w:cols w:equalWidth="0" w:num="1">
            <w:col w:w="11180"/>
          </w:cols>
          <w:pgMar w:left="320" w:top="1440" w:right="399" w:bottom="1440" w:gutter="0" w:footer="0" w:header="0"/>
        </w:sectPr>
      </w:pPr>
    </w:p>
    <w:bookmarkStart w:id="113" w:name="page114"/>
    <w:bookmarkEnd w:id="113"/>
    <w:p>
      <w:pPr>
        <w:spacing w:after="0" w:line="177"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IN WITNESS WHEREOF, the parties have caused this Agreement to be executed as of the date first written above by their respective officers thereunto duly authorized.</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NAVITAS SEMICONDUCTOR CORPORATION</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w:t>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GEMINI ACQUISITION LLC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w:t>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GENESIC SEMICONDUCTOR INC.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Ranbir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3317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Ranbir Singh</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President/Chief Executive Officer</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RANBIR SINGH</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Ranbir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3317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9"/>
          <w:szCs w:val="19"/>
          <w:color w:val="auto"/>
        </w:rPr>
        <w:t>Ranbir Singh, individually and in his capacity as the Stockholder Representative</w:t>
      </w: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THE RANBIR SINGH IRREVOCABLE TRUST DATED FEBRUARY 4, 2022</w:t>
      </w: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w:t>
      </w:r>
    </w:p>
    <w:p>
      <w:pPr>
        <w:ind w:left="3900"/>
        <w:spacing w:after="0" w:line="204" w:lineRule="auto"/>
        <w:rPr>
          <w:sz w:val="20"/>
          <w:szCs w:val="20"/>
          <w:color w:val="auto"/>
        </w:rPr>
      </w:pPr>
      <w:r>
        <w:rPr>
          <w:rFonts w:ascii="Arial" w:cs="Arial" w:eastAsia="Arial" w:hAnsi="Arial"/>
          <w:sz w:val="22"/>
          <w:szCs w:val="22"/>
          <w:color w:val="auto"/>
        </w:rPr>
        <w:t>Name: The Bryn Mawr Trust Company of Delaware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to Merger Agreement]</w:t>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177"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IN WITNESS WHEREOF, the parties have caused this Agreement to be executed as of the date first written above by their respective officers thereunto duly authorized.</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NAVITAS SEMICONDUCTOR CORPORATION</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w:t>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GEMINI ACQUISITION LLC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w:t>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GENESIC SEMICONDUCTOR INC.</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w:t>
      </w:r>
    </w:p>
    <w:p>
      <w:pPr>
        <w:ind w:left="3900"/>
        <w:spacing w:after="0" w:line="204" w:lineRule="auto"/>
        <w:rPr>
          <w:sz w:val="20"/>
          <w:szCs w:val="20"/>
          <w:color w:val="auto"/>
        </w:rPr>
      </w:pPr>
      <w:r>
        <w:rPr>
          <w:rFonts w:ascii="Arial" w:cs="Arial" w:eastAsia="Arial" w:hAnsi="Arial"/>
          <w:sz w:val="22"/>
          <w:szCs w:val="22"/>
          <w:color w:val="auto"/>
        </w:rPr>
        <w:t>Name: Ranbir Singh</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President/Chief Executive Officer</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RANBIR SINGH</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w:t>
      </w:r>
    </w:p>
    <w:p>
      <w:pPr>
        <w:ind w:left="3900"/>
        <w:spacing w:after="0"/>
        <w:rPr>
          <w:sz w:val="20"/>
          <w:szCs w:val="20"/>
          <w:color w:val="auto"/>
        </w:rPr>
      </w:pPr>
      <w:r>
        <w:rPr>
          <w:rFonts w:ascii="Arial" w:cs="Arial" w:eastAsia="Arial" w:hAnsi="Arial"/>
          <w:sz w:val="19"/>
          <w:szCs w:val="19"/>
          <w:color w:val="auto"/>
        </w:rPr>
        <w:t>Ranbir Singh, individually and in his capacity as the Stockholder Representative</w:t>
      </w: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THE RANBIR SINGH IRREVOCABLE TRUST DATED FEBRUARY 4, 2022</w:t>
      </w: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1869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Name: The Bryn Mawr Trust Company of Delaware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to Merger Agreement]</w:t>
      </w:r>
    </w:p>
    <w:p>
      <w:pPr>
        <w:sectPr>
          <w:pgSz w:w="11900" w:h="16838" w:orient="portrait"/>
          <w:cols w:equalWidth="0" w:num="1">
            <w:col w:w="11180"/>
          </w:cols>
          <w:pgMar w:left="320" w:top="1440" w:right="39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i w:val="1"/>
          <w:iCs w:val="1"/>
          <w:u w:val="single" w:color="auto"/>
          <w:color w:val="auto"/>
        </w:rPr>
        <w:t>Execution Copy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185" w:lineRule="exact"/>
        <w:rPr>
          <w:sz w:val="20"/>
          <w:szCs w:val="20"/>
          <w:color w:val="auto"/>
        </w:rPr>
      </w:pPr>
    </w:p>
    <w:p>
      <w:pPr>
        <w:ind w:right="380" w:firstLine="648"/>
        <w:spacing w:after="0" w:line="234" w:lineRule="auto"/>
        <w:rPr>
          <w:sz w:val="20"/>
          <w:szCs w:val="20"/>
          <w:color w:val="auto"/>
        </w:rPr>
      </w:pPr>
      <w:r>
        <w:rPr>
          <w:rFonts w:ascii="Arial" w:cs="Arial" w:eastAsia="Arial" w:hAnsi="Arial"/>
          <w:sz w:val="21"/>
          <w:szCs w:val="21"/>
          <w:color w:val="auto"/>
        </w:rPr>
        <w:t>THIS REGISTRATION RIGHTS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August 15, 2022 among Navitas Semiconductor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stockholders of Genesic Semiconductor Inc., a Delaware corporation (“</w:t>
      </w:r>
      <w:r>
        <w:rPr>
          <w:rFonts w:ascii="Arial" w:cs="Arial" w:eastAsia="Arial" w:hAnsi="Arial"/>
          <w:sz w:val="21"/>
          <w:szCs w:val="21"/>
          <w:u w:val="single" w:color="auto"/>
          <w:color w:val="auto"/>
        </w:rPr>
        <w:t>Target</w:t>
      </w:r>
      <w:r>
        <w:rPr>
          <w:rFonts w:ascii="Arial" w:cs="Arial" w:eastAsia="Arial" w:hAnsi="Arial"/>
          <w:sz w:val="21"/>
          <w:szCs w:val="21"/>
          <w:color w:val="auto"/>
        </w:rPr>
        <w:t>”) listed on the signature pages hereto (the “</w:t>
      </w:r>
      <w:r>
        <w:rPr>
          <w:rFonts w:ascii="Arial" w:cs="Arial" w:eastAsia="Arial" w:hAnsi="Arial"/>
          <w:sz w:val="21"/>
          <w:szCs w:val="21"/>
          <w:u w:val="single" w:color="auto"/>
          <w:color w:val="auto"/>
        </w:rPr>
        <w:t>Original Holders</w:t>
      </w:r>
      <w:r>
        <w:rPr>
          <w:rFonts w:ascii="Arial" w:cs="Arial" w:eastAsia="Arial" w:hAnsi="Arial"/>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ind w:right="40" w:firstLine="656"/>
        <w:spacing w:after="0" w:line="218" w:lineRule="auto"/>
        <w:tabs>
          <w:tab w:leader="none" w:pos="107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Company, Gemini Acquisition LLC, a Delaware limited liability company and a wholly-owned subsidiary of the Company, Target and the Original Holders have entered into an Agreement and Plan of Merger, dated as of the date hereof (the “</w:t>
      </w:r>
      <w:r>
        <w:rPr>
          <w:rFonts w:ascii="Arial" w:cs="Arial" w:eastAsia="Arial" w:hAnsi="Arial"/>
          <w:sz w:val="22"/>
          <w:szCs w:val="22"/>
          <w:u w:val="single" w:color="auto"/>
          <w:color w:val="auto"/>
        </w:rPr>
        <w:t>Merger Agreement</w:t>
      </w:r>
      <w:r>
        <w:rPr>
          <w:rFonts w:ascii="Arial" w:cs="Arial" w:eastAsia="Arial" w:hAnsi="Arial"/>
          <w:sz w:val="22"/>
          <w:szCs w:val="22"/>
          <w:color w:val="auto"/>
        </w:rPr>
        <w:t>”), pursuant to which the Original Holders are acquiring shares of the Company’s Common Stock (as defined below).</w:t>
      </w:r>
    </w:p>
    <w:p>
      <w:pPr>
        <w:spacing w:after="0" w:line="160" w:lineRule="exact"/>
        <w:rPr>
          <w:rFonts w:ascii="Arial" w:cs="Arial" w:eastAsia="Arial" w:hAnsi="Arial"/>
          <w:sz w:val="22"/>
          <w:szCs w:val="22"/>
          <w:color w:val="auto"/>
        </w:rPr>
      </w:pPr>
    </w:p>
    <w:p>
      <w:pPr>
        <w:ind w:right="320" w:firstLine="656"/>
        <w:spacing w:after="0" w:line="298" w:lineRule="auto"/>
        <w:tabs>
          <w:tab w:leader="none" w:pos="1062"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connection with the execution and delivery of the Merger Agreement and the consummation of the transactions contemplated thereby, the Company has agreed to grant the Original Holders certain registration rights as set forth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85"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In consideration of the foregoing and the mutual covenants and agreements herein contained, and intending to be legally bound hereby, the parties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61"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u w:val="single" w:color="auto"/>
          <w:color w:val="000000"/>
        </w:rPr>
        <w:t>Certain Definitions</w:t>
      </w:r>
      <w:r>
        <w:rPr>
          <w:rFonts w:ascii="Arial" w:cs="Arial" w:eastAsia="Arial" w:hAnsi="Arial"/>
          <w:sz w:val="22"/>
          <w:szCs w:val="22"/>
          <w:color w:val="000000"/>
        </w:rPr>
        <w:t>. As used in this Agreement, capitalized terms not otherwise defined herein shall have</w:t>
      </w:r>
      <w:r>
        <w:rPr>
          <w:rFonts w:ascii="Arial" w:cs="Arial" w:eastAsia="Arial" w:hAnsi="Arial"/>
          <w:sz w:val="22"/>
          <w:szCs w:val="22"/>
          <w:color w:val="010000"/>
        </w:rPr>
        <w:t xml:space="preserve"> </w:t>
      </w:r>
      <w:r>
        <w:rPr>
          <w:rFonts w:ascii="Arial" w:cs="Arial" w:eastAsia="Arial" w:hAnsi="Arial"/>
          <w:sz w:val="22"/>
          <w:szCs w:val="22"/>
          <w:color w:val="000000"/>
        </w:rPr>
        <w:t>the meanings ascribed to them below:</w:t>
      </w:r>
    </w:p>
    <w:p>
      <w:pPr>
        <w:spacing w:after="0" w:line="159" w:lineRule="exact"/>
        <w:rPr>
          <w:sz w:val="20"/>
          <w:szCs w:val="20"/>
          <w:color w:val="auto"/>
        </w:rPr>
      </w:pPr>
    </w:p>
    <w:p>
      <w:pPr>
        <w:ind w:right="6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on which banks are required or authorized by law to be closed in The City of New York.</w:t>
      </w:r>
    </w:p>
    <w:p>
      <w:pPr>
        <w:spacing w:after="0" w:line="159" w:lineRule="exact"/>
        <w:rPr>
          <w:sz w:val="20"/>
          <w:szCs w:val="20"/>
          <w:color w:val="auto"/>
        </w:rPr>
      </w:pPr>
    </w:p>
    <w:p>
      <w:pPr>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Class A Common Stock, par value $0.0001 per share, of the Company, and any equity securities issued or issuable in exchange for or with respect to the Common Stock by way of a stock dividend, stock split or combination of shares or in connection with a reclassification, recapitalization, merger, consolidation or other reorganization or otherwise.</w:t>
      </w:r>
    </w:p>
    <w:p>
      <w:pPr>
        <w:spacing w:after="0" w:line="161" w:lineRule="exact"/>
        <w:rPr>
          <w:sz w:val="20"/>
          <w:szCs w:val="20"/>
          <w:color w:val="auto"/>
        </w:rPr>
      </w:pPr>
    </w:p>
    <w:p>
      <w:pPr>
        <w:ind w:right="80"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w:t>
      </w:r>
      <w:r>
        <w:rPr>
          <w:rFonts w:ascii="Arial" w:cs="Arial" w:eastAsia="Arial" w:hAnsi="Arial"/>
          <w:sz w:val="22"/>
          <w:szCs w:val="22"/>
          <w:color w:val="auto"/>
        </w:rPr>
        <w:t>” means all options, warrants and other securities convertible into, or exchangeable or exercisable for (at any time or upon the occurrence of any event or contingency and without regard to any vesting or other conditions to which such securities may be subject), Common Stock.</w:t>
      </w:r>
    </w:p>
    <w:p>
      <w:pPr>
        <w:spacing w:after="0" w:line="159" w:lineRule="exact"/>
        <w:rPr>
          <w:sz w:val="20"/>
          <w:szCs w:val="20"/>
          <w:color w:val="auto"/>
        </w:rPr>
      </w:pPr>
    </w:p>
    <w:p>
      <w:pPr>
        <w:ind w:right="100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179" w:lineRule="exact"/>
        <w:rPr>
          <w:sz w:val="20"/>
          <w:szCs w:val="20"/>
          <w:color w:val="auto"/>
        </w:rPr>
      </w:pPr>
    </w:p>
    <w:p>
      <w:pPr>
        <w:ind w:right="78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or “</w:t>
      </w:r>
      <w:r>
        <w:rPr>
          <w:rFonts w:ascii="Arial" w:cs="Arial" w:eastAsia="Arial" w:hAnsi="Arial"/>
          <w:sz w:val="22"/>
          <w:szCs w:val="22"/>
          <w:u w:val="single" w:color="auto"/>
          <w:color w:val="auto"/>
        </w:rPr>
        <w:t>Holders</w:t>
      </w:r>
      <w:r>
        <w:rPr>
          <w:rFonts w:ascii="Arial" w:cs="Arial" w:eastAsia="Arial" w:hAnsi="Arial"/>
          <w:sz w:val="22"/>
          <w:szCs w:val="22"/>
          <w:color w:val="auto"/>
        </w:rPr>
        <w:t>” means any Original Holder and any Person who shall acquire and hold Registrable Securities in accordance with the terms of this Agreement.</w:t>
      </w:r>
    </w:p>
    <w:p>
      <w:pPr>
        <w:sectPr>
          <w:pgSz w:w="11900" w:h="16838" w:orient="portrait"/>
          <w:cols w:equalWidth="0" w:num="1">
            <w:col w:w="11240"/>
          </w:cols>
          <w:pgMar w:left="320" w:top="98" w:right="339" w:bottom="1440" w:gutter="0" w:footer="0" w:header="0"/>
        </w:sectPr>
      </w:pPr>
    </w:p>
    <w:bookmarkStart w:id="116" w:name="page117"/>
    <w:bookmarkEnd w:id="116"/>
    <w:p>
      <w:pPr>
        <w:spacing w:after="0" w:line="177" w:lineRule="exact"/>
        <w:rPr>
          <w:sz w:val="20"/>
          <w:szCs w:val="20"/>
          <w:color w:val="auto"/>
        </w:rPr>
      </w:pPr>
    </w:p>
    <w:p>
      <w:pPr>
        <w:ind w:right="70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Free Writing Prospectus</w:t>
      </w:r>
      <w:r>
        <w:rPr>
          <w:rFonts w:ascii="Arial" w:cs="Arial" w:eastAsia="Arial" w:hAnsi="Arial"/>
          <w:sz w:val="22"/>
          <w:szCs w:val="22"/>
          <w:color w:val="auto"/>
        </w:rPr>
        <w:t>” means an issuer free writing prospectus, as defined in Rule 433 under the Securities Act, relating to an offer of Registrable Securities.</w:t>
      </w:r>
    </w:p>
    <w:p>
      <w:pPr>
        <w:spacing w:after="0" w:line="159" w:lineRule="exact"/>
        <w:rPr>
          <w:sz w:val="20"/>
          <w:szCs w:val="20"/>
          <w:color w:val="auto"/>
        </w:rPr>
      </w:pPr>
    </w:p>
    <w:p>
      <w:pPr>
        <w:ind w:right="20"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Managing Holders</w:t>
      </w:r>
      <w:r>
        <w:rPr>
          <w:rFonts w:ascii="Arial" w:cs="Arial" w:eastAsia="Arial" w:hAnsi="Arial"/>
          <w:sz w:val="22"/>
          <w:szCs w:val="22"/>
          <w:color w:val="auto"/>
        </w:rPr>
        <w:t>” means, with respect to any offering of Registrable Securities pursuant to Section 2.1 or Section 2.2, (i) if Ranbir Singh proposes to participate in such offering, then Ranbir Singh; (ii) if Ranbir Singh does not propose to participate in such offering but Singh Trust does propose to participate in such offering, Singh Trust; and (iii) in all other cases, the Majority Participating Holders.</w:t>
      </w:r>
    </w:p>
    <w:p>
      <w:pPr>
        <w:spacing w:after="0" w:line="161" w:lineRule="exact"/>
        <w:rPr>
          <w:sz w:val="20"/>
          <w:szCs w:val="20"/>
          <w:color w:val="auto"/>
        </w:rPr>
      </w:pPr>
    </w:p>
    <w:p>
      <w:pPr>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Participating Holders</w:t>
      </w:r>
      <w:r>
        <w:rPr>
          <w:rFonts w:ascii="Arial" w:cs="Arial" w:eastAsia="Arial" w:hAnsi="Arial"/>
          <w:sz w:val="22"/>
          <w:szCs w:val="22"/>
          <w:color w:val="auto"/>
        </w:rPr>
        <w:t>” means Participating Holders holding more than 50% of the Registrable Securities proposed to be included in any offering of Registrable Securities by such Participating Holders pursuant to Section 2.1 or Section 2.2.</w:t>
      </w:r>
    </w:p>
    <w:p>
      <w:pPr>
        <w:spacing w:after="0" w:line="159" w:lineRule="exact"/>
        <w:rPr>
          <w:sz w:val="20"/>
          <w:szCs w:val="20"/>
          <w:color w:val="auto"/>
        </w:rPr>
      </w:pPr>
    </w:p>
    <w:p>
      <w:pPr>
        <w:ind w:right="260"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partnership, limited liability company, limited liability partnership, syndicate, person, trust, association, organization or other entity or any governmental or regulatory body or other agency or authority or political subdivision thereof, including any successor, by merger or otherwise, of any of the foregoing.</w:t>
      </w:r>
    </w:p>
    <w:p>
      <w:pPr>
        <w:spacing w:after="0" w:line="132" w:lineRule="exact"/>
        <w:rPr>
          <w:sz w:val="20"/>
          <w:szCs w:val="20"/>
          <w:color w:val="auto"/>
        </w:rPr>
      </w:pPr>
    </w:p>
    <w:p>
      <w:pPr>
        <w:ind w:right="80" w:firstLine="1296"/>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(i) the Closing Stock Merger Consideration (as defined in the Merger Agreement) and (ii) shares of Common Stock issued or issuable, directly or indirectly, in exchange for or with respect to the Common Stock referenced in clause (i) above. Any particular Registrable Securities shall cease to be Registrable Securities when (A) a registration statement with respect to the sale of such securities shall have been declared effective under the Securities Act and such securities shall have been disposed of in accordance with such registration statement, (B) such securities shall have been sold to the public pursuant to Rule 144 (or any successor provision) under the Securities Act, (C) such securities shall have been otherwise transferred, new certificates or book entries for such securities not bearing a legend restricting further transfer shall have been delivered by the Company and subsequent public distribution of such securities shall not require registration under the Securities Act, (D) such securities may be sold without registration pursuant to Rule 144 (or any successor provision) without complying with volume, manner of sale or other restrictions or limitations or (E) such securities shall cease to be outstanding.</w:t>
      </w:r>
    </w:p>
    <w:p>
      <w:pPr>
        <w:spacing w:after="0" w:line="155" w:lineRule="exact"/>
        <w:rPr>
          <w:sz w:val="20"/>
          <w:szCs w:val="20"/>
          <w:color w:val="auto"/>
        </w:rPr>
      </w:pPr>
    </w:p>
    <w:p>
      <w:pPr>
        <w:ind w:right="40"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means all fees and expenses (other than Selling Expenses and subject to Section 2.9(b)) incurred by the Company in connection with its performance of or compliance with the provisions of Article II, including: (i) all registration, listing, qualification and filing fees (including FINRA filing fees); (ii) fees and expenses of compliance with state securities or “blue sky” laws (including counsel fees in connection with the preparation of a blue sky and legal investment survey and FINRA filings); (iii) printing and copying expenses; (iv) messenger and delivery expenses; (v) expenses incurred in connection with any road show; (vi) fees and disbursements of counsel for the Company; (vii) with respect to each registration, the reasonable fees and disbursements of one counsel for the selling Holder(s) selected by the Managing Holders; (viii) fees and disbursements of independent public accountants of the Company, including the expenses of any audit or “cold comfort” letter, and fees and expenses of other persons, including special experts, retained by the Company; (ix) any underwriter fees that do not constitute Selling Expenses; and (x) all internal expenses of the Company (including all salaries and expenses of officers and employees performing legal or accounting duties).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 and the rules and regulations promulgated</w:t>
      </w:r>
    </w:p>
    <w:p>
      <w:pPr>
        <w:spacing w:after="0"/>
        <w:rPr>
          <w:sz w:val="20"/>
          <w:szCs w:val="20"/>
          <w:color w:val="auto"/>
        </w:rPr>
      </w:pPr>
      <w:r>
        <w:rPr>
          <w:rFonts w:ascii="Arial" w:cs="Arial" w:eastAsia="Arial" w:hAnsi="Arial"/>
          <w:sz w:val="22"/>
          <w:szCs w:val="22"/>
          <w:color w:val="auto"/>
        </w:rPr>
        <w:t>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7" w:lineRule="exact"/>
        <w:rPr>
          <w:sz w:val="20"/>
          <w:szCs w:val="20"/>
          <w:color w:val="auto"/>
        </w:rPr>
      </w:pPr>
    </w:p>
    <w:p>
      <w:pPr>
        <w:ind w:right="460"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Expenses</w:t>
      </w:r>
      <w:r>
        <w:rPr>
          <w:rFonts w:ascii="Arial" w:cs="Arial" w:eastAsia="Arial" w:hAnsi="Arial"/>
          <w:sz w:val="21"/>
          <w:szCs w:val="21"/>
          <w:color w:val="auto"/>
        </w:rPr>
        <w:t>” means all underwriting discounts, selling commissions, brokerage fees, and stock transfer taxes applicable to the sale of Registrable Securities, and fees and disbursements of counsel for any holder of Registrable Securities other than the reasonable fees and disbursements of counsel for the holders of Registrable Securities to the extent included in clause (vii) of the definition of Registration Expenses.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Singh Trust</w:t>
      </w:r>
      <w:r>
        <w:rPr>
          <w:rFonts w:ascii="Arial" w:cs="Arial" w:eastAsia="Arial" w:hAnsi="Arial"/>
          <w:sz w:val="22"/>
          <w:szCs w:val="22"/>
          <w:color w:val="auto"/>
        </w:rPr>
        <w:t>” means The Ranbir Singh Irrevocable Trust dated February 4, 2022.</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w:t>
      </w:r>
    </w:p>
    <w:p>
      <w:pPr>
        <w:jc w:val="center"/>
        <w:ind w:right="-19"/>
        <w:spacing w:after="0"/>
        <w:rPr>
          <w:sz w:val="20"/>
          <w:szCs w:val="20"/>
          <w:color w:val="auto"/>
        </w:rPr>
      </w:pPr>
      <w:r>
        <w:rPr>
          <w:rFonts w:ascii="Arial" w:cs="Arial" w:eastAsia="Arial" w:hAnsi="Arial"/>
          <w:sz w:val="22"/>
          <w:szCs w:val="22"/>
          <w:b w:val="1"/>
          <w:bCs w:val="1"/>
          <w:color w:val="auto"/>
        </w:rPr>
        <w:t>REGISTRATION RIGHTS</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2.1</w:t>
      </w:r>
      <w:r>
        <w:rPr>
          <w:sz w:val="20"/>
          <w:szCs w:val="20"/>
          <w:color w:val="auto"/>
        </w:rPr>
        <w:tab/>
      </w:r>
      <w:r>
        <w:rPr>
          <w:rFonts w:ascii="Arial" w:cs="Arial" w:eastAsia="Arial" w:hAnsi="Arial"/>
          <w:sz w:val="19"/>
          <w:szCs w:val="19"/>
          <w:u w:val="single" w:color="auto"/>
          <w:color w:val="auto"/>
        </w:rPr>
        <w:t>Demand Registrations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42" w:lineRule="auto"/>
        <w:tabs>
          <w:tab w:leader="none" w:pos="1752"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(i) Subject to Section 2.1(c), at any time or from time to time after the six-month anniversary of the date hereof, one or more Holders shall have the right to require the Company to file a registration statement under the Securities Act covering such aggregate number of Registrable Securities which represents 20% or greater of the then-outstanding Registrable Securities, by delivering a written request therefor to the Company specifying the number of Registrable Securities to be included in such registration by such Holders and the intended method of distribution thereof. All such requests by any Holder pursuant to this Section 2.1(a)(i) are referred to as “</w:t>
      </w:r>
      <w:r>
        <w:rPr>
          <w:rFonts w:ascii="Arial" w:cs="Arial" w:eastAsia="Arial" w:hAnsi="Arial"/>
          <w:sz w:val="19"/>
          <w:szCs w:val="19"/>
          <w:u w:val="single" w:color="auto"/>
          <w:color w:val="auto"/>
        </w:rPr>
        <w:t>Demand Registration Requests</w:t>
      </w:r>
      <w:r>
        <w:rPr>
          <w:rFonts w:ascii="Arial" w:cs="Arial" w:eastAsia="Arial" w:hAnsi="Arial"/>
          <w:sz w:val="19"/>
          <w:szCs w:val="19"/>
          <w:color w:val="auto"/>
        </w:rPr>
        <w:t>,” the registrations so requested are referred to as “</w:t>
      </w:r>
      <w:r>
        <w:rPr>
          <w:rFonts w:ascii="Arial" w:cs="Arial" w:eastAsia="Arial" w:hAnsi="Arial"/>
          <w:sz w:val="19"/>
          <w:szCs w:val="19"/>
          <w:u w:val="single" w:color="auto"/>
          <w:color w:val="auto"/>
        </w:rPr>
        <w:t>Demand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Registrations</w:t>
      </w:r>
      <w:r>
        <w:rPr>
          <w:rFonts w:ascii="Arial" w:cs="Arial" w:eastAsia="Arial" w:hAnsi="Arial"/>
          <w:sz w:val="19"/>
          <w:szCs w:val="19"/>
          <w:color w:val="auto"/>
        </w:rPr>
        <w:t>” and the Holders making such demand for registration are referred to as the “</w:t>
      </w:r>
      <w:r>
        <w:rPr>
          <w:rFonts w:ascii="Arial" w:cs="Arial" w:eastAsia="Arial" w:hAnsi="Arial"/>
          <w:sz w:val="19"/>
          <w:szCs w:val="19"/>
          <w:u w:val="single" w:color="auto"/>
          <w:color w:val="auto"/>
        </w:rPr>
        <w:t>Initiating Holders</w:t>
      </w:r>
      <w:r>
        <w:rPr>
          <w:rFonts w:ascii="Arial" w:cs="Arial" w:eastAsia="Arial" w:hAnsi="Arial"/>
          <w:sz w:val="19"/>
          <w:szCs w:val="19"/>
          <w:color w:val="auto"/>
        </w:rPr>
        <w:t>.” As promptly as practicable, but no later than 10 days after receipt of a Demand Registration Request, the Company shall give written notice (a “</w:t>
      </w:r>
      <w:r>
        <w:rPr>
          <w:rFonts w:ascii="Arial" w:cs="Arial" w:eastAsia="Arial" w:hAnsi="Arial"/>
          <w:sz w:val="19"/>
          <w:szCs w:val="19"/>
          <w:u w:val="single" w:color="auto"/>
          <w:color w:val="auto"/>
        </w:rPr>
        <w:t>Demand Exercise Notice</w:t>
      </w:r>
      <w:r>
        <w:rPr>
          <w:rFonts w:ascii="Arial" w:cs="Arial" w:eastAsia="Arial" w:hAnsi="Arial"/>
          <w:sz w:val="19"/>
          <w:szCs w:val="19"/>
          <w:color w:val="auto"/>
        </w:rPr>
        <w:t xml:space="preserve">”) of such Demand Registration Request to all Holders of record of Registrable Securities. The Company shall not be obligated to effect a registration on Form S-1 pursuant to a Demand Registration under this Section 2.1 with respect to any or all Registrable Securities if the Company is eligible to effect such Demand Registration on Form S-3,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for any reason the Company thereafter becomes ineligible or otherwise unable to effect a registration on Form S-3 then the Company shall effect the corresponding registration on Form S-1 or any similar long-form registration statement that may be available at such time.</w:t>
      </w:r>
    </w:p>
    <w:p>
      <w:pPr>
        <w:spacing w:after="0" w:line="376" w:lineRule="exact"/>
        <w:rPr>
          <w:rFonts w:ascii="Arial" w:cs="Arial" w:eastAsia="Arial" w:hAnsi="Arial"/>
          <w:sz w:val="19"/>
          <w:szCs w:val="19"/>
          <w:color w:val="010000"/>
        </w:rPr>
      </w:pPr>
    </w:p>
    <w:p>
      <w:pPr>
        <w:ind w:right="140" w:firstLine="1952"/>
        <w:spacing w:after="0" w:line="224" w:lineRule="auto"/>
        <w:tabs>
          <w:tab w:leader="none" w:pos="2420"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Company, subject to Sections 2.3 and 2.6, shall include in a Demand Registration (A) the Registrable Securities of the Initiating Holders and (B) the Registrable Securities of any other Holder of Registrable Securities that shall have made a written request to the Company within the time limits specified below for inclusion in such registration (together with the Initiating Holders, the “</w:t>
      </w:r>
      <w:r>
        <w:rPr>
          <w:rFonts w:ascii="Arial" w:cs="Arial" w:eastAsia="Arial" w:hAnsi="Arial"/>
          <w:sz w:val="21"/>
          <w:szCs w:val="21"/>
          <w:u w:val="single" w:color="auto"/>
          <w:color w:val="auto"/>
        </w:rPr>
        <w:t>Participating Holders</w:t>
      </w:r>
      <w:r>
        <w:rPr>
          <w:rFonts w:ascii="Arial" w:cs="Arial" w:eastAsia="Arial" w:hAnsi="Arial"/>
          <w:sz w:val="21"/>
          <w:szCs w:val="21"/>
          <w:color w:val="auto"/>
        </w:rPr>
        <w:t>”). Any such request from the other Holders must be delivered to the Company within 15 days after the receipt of the Demand Exercise Notice and must specify the maximum number of Registrable Securities intended to be disposed of by such other Holders.</w:t>
      </w:r>
    </w:p>
    <w:p>
      <w:pPr>
        <w:spacing w:after="0" w:line="160" w:lineRule="exact"/>
        <w:rPr>
          <w:sz w:val="20"/>
          <w:szCs w:val="20"/>
          <w:color w:val="auto"/>
        </w:rPr>
      </w:pPr>
    </w:p>
    <w:p>
      <w:pPr>
        <w:ind w:right="180" w:firstLine="1952"/>
        <w:spacing w:after="0" w:line="268" w:lineRule="auto"/>
        <w:tabs>
          <w:tab w:leader="none" w:pos="2424"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The Company, as expeditiously as possible but subject to Section 2.1(c), shall use its commercially reasonable efforts to effect such registration under the Securities Act of the Registrable Securities that the Company has been so requested to register for distribution in accordance with such intended method of distribution.</w:t>
      </w:r>
    </w:p>
    <w:p>
      <w:pPr>
        <w:spacing w:after="0" w:line="132" w:lineRule="exact"/>
        <w:rPr>
          <w:rFonts w:ascii="Arial" w:cs="Arial" w:eastAsia="Arial" w:hAnsi="Arial"/>
          <w:sz w:val="19"/>
          <w:szCs w:val="19"/>
          <w:color w:val="010000"/>
        </w:rPr>
      </w:pPr>
    </w:p>
    <w:p>
      <w:pPr>
        <w:ind w:right="420" w:firstLine="1304"/>
        <w:spacing w:after="0" w:line="234" w:lineRule="auto"/>
        <w:tabs>
          <w:tab w:leader="none" w:pos="1764"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Registrations under this Section 2.1 shall be on such appropriate registration form of the SEC for the disposition of such Registrable Securities in accordance with the intended method of disposition thereof, which form shall be selected by the Company and shall be reasonably acceptable to the Managing Holders.</w:t>
      </w:r>
    </w:p>
    <w:p>
      <w:pPr>
        <w:spacing w:after="0" w:line="150" w:lineRule="exact"/>
        <w:rPr>
          <w:rFonts w:ascii="Arial" w:cs="Arial" w:eastAsia="Arial" w:hAnsi="Arial"/>
          <w:sz w:val="21"/>
          <w:szCs w:val="21"/>
          <w:color w:val="010000"/>
        </w:rPr>
      </w:pPr>
    </w:p>
    <w:p>
      <w:pPr>
        <w:ind w:left="1760" w:hanging="456"/>
        <w:spacing w:after="0"/>
        <w:tabs>
          <w:tab w:leader="none" w:pos="1760"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The Demand Registration rights granted in Section 2.1(a) to the Holders are subject to the following</w:t>
      </w:r>
    </w:p>
    <w:p>
      <w:pPr>
        <w:spacing w:after="0"/>
        <w:rPr>
          <w:rFonts w:ascii="Arial" w:cs="Arial" w:eastAsia="Arial" w:hAnsi="Arial"/>
          <w:sz w:val="21"/>
          <w:szCs w:val="21"/>
          <w:color w:val="010000"/>
        </w:rPr>
      </w:pPr>
      <w:r>
        <w:rPr>
          <w:rFonts w:ascii="Arial" w:cs="Arial" w:eastAsia="Arial" w:hAnsi="Arial"/>
          <w:sz w:val="22"/>
          <w:szCs w:val="22"/>
          <w:color w:val="auto"/>
        </w:rPr>
        <w:t>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7" w:lineRule="exact"/>
        <w:rPr>
          <w:sz w:val="20"/>
          <w:szCs w:val="20"/>
          <w:color w:val="auto"/>
        </w:rPr>
      </w:pPr>
    </w:p>
    <w:p>
      <w:pPr>
        <w:ind w:right="100" w:firstLine="1952"/>
        <w:spacing w:after="0" w:line="218" w:lineRule="auto"/>
        <w:tabs>
          <w:tab w:leader="none" w:pos="2364"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the Company shall not be required to cause a registration pursuant to Section 2.1(a) to be filed within 90 days or to be declared effective within a period of 180 days after the effective date of any other registration statement of the Company filed pursuant to the Securities Act, provided that the Holders had an opportunity to exercise piggyback rights with respect to such registration in accordance with Section 2.2;</w:t>
      </w:r>
    </w:p>
    <w:p>
      <w:pPr>
        <w:spacing w:after="0" w:line="160" w:lineRule="exact"/>
        <w:rPr>
          <w:rFonts w:ascii="Arial" w:cs="Arial" w:eastAsia="Arial" w:hAnsi="Arial"/>
          <w:sz w:val="22"/>
          <w:szCs w:val="22"/>
          <w:color w:val="010000"/>
        </w:rPr>
      </w:pPr>
    </w:p>
    <w:p>
      <w:pPr>
        <w:ind w:firstLine="1952"/>
        <w:spacing w:after="0" w:line="244" w:lineRule="auto"/>
        <w:tabs>
          <w:tab w:leader="none" w:pos="2424"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if in the opinion of outside counsel to the Company, any registration of Registrable Securities would require disclosure of information not otherwise then required by law to be publicly disclosed and, in the good faith judgment of the board of directors of the Company, such disclosure is reasonably likely to adversely affect any material financing, acquisition, corporate reorganization or merger or other material transaction or event involving the Company or otherwise have a material adverse effect on the Company (a “</w:t>
      </w:r>
      <w:r>
        <w:rPr>
          <w:rFonts w:ascii="Arial" w:cs="Arial" w:eastAsia="Arial" w:hAnsi="Arial"/>
          <w:sz w:val="19"/>
          <w:szCs w:val="19"/>
          <w:u w:val="single" w:color="auto"/>
          <w:color w:val="auto"/>
        </w:rPr>
        <w:t>Valid Business Reason</w:t>
      </w:r>
      <w:r>
        <w:rPr>
          <w:rFonts w:ascii="Arial" w:cs="Arial" w:eastAsia="Arial" w:hAnsi="Arial"/>
          <w:sz w:val="19"/>
          <w:szCs w:val="19"/>
          <w:color w:val="auto"/>
        </w:rPr>
        <w:t>”), the Company may postpone or withdraw a filing of a registration statement relating to a Demand Registration Request until such Valid Business Reason no longer exists, but in no event shall the Company avail itself of such right for more than 90 days, in the aggregate, in any period of 365 consecutive days; and the Company shall give notice of its determination to postpone or withdraw a registration statement and of the fact that the Valid Business Reason for such postponement or withdrawal no longer exists, in each case, promptly after the occurrence thereof; and</w:t>
      </w:r>
    </w:p>
    <w:p>
      <w:pPr>
        <w:spacing w:after="0" w:line="153" w:lineRule="exact"/>
        <w:rPr>
          <w:rFonts w:ascii="Arial" w:cs="Arial" w:eastAsia="Arial" w:hAnsi="Arial"/>
          <w:sz w:val="19"/>
          <w:szCs w:val="19"/>
          <w:color w:val="010000"/>
        </w:rPr>
      </w:pPr>
    </w:p>
    <w:p>
      <w:pPr>
        <w:ind w:left="2500" w:hanging="548"/>
        <w:spacing w:after="0"/>
        <w:tabs>
          <w:tab w:leader="none" w:pos="2500"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the Company shall not be obligated to effect more than three Demand Registrations under</w:t>
      </w:r>
    </w:p>
    <w:p>
      <w:pPr>
        <w:spacing w:after="0"/>
        <w:rPr>
          <w:sz w:val="20"/>
          <w:szCs w:val="20"/>
          <w:color w:val="auto"/>
        </w:rPr>
      </w:pPr>
      <w:r>
        <w:rPr>
          <w:rFonts w:ascii="Arial" w:cs="Arial" w:eastAsia="Arial" w:hAnsi="Arial"/>
          <w:sz w:val="22"/>
          <w:szCs w:val="22"/>
          <w:color w:val="auto"/>
        </w:rPr>
        <w:t>Section 2.1(a) for the Holders.</w:t>
      </w:r>
    </w:p>
    <w:p>
      <w:pPr>
        <w:spacing w:after="0" w:line="161"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If the Company shall give any notice of postponement or withdrawal of any registration statement pursuant to clause (ii) above, the Company shall not register any equity security of the Company during the period of postponement or withdrawal. Each Holder of Registrable Securities agrees that, upon receipt of any notice from the Company that the Company has determined to withdraw any registration statement pursuant to clause (ii) above, such Holder will discontinue its disposition of Registrable Securities pursuant to such registration statement. If the Company shall have withdrawn or prematurely terminated a registration statement filed under Section 2.1(a)(i), the Company shall not be considered to have effected an effective registration for the purposes of this Agreement until the Company shall have filed a new registration statement covering the Registrable Securities covered by the withdrawn registration statement and such registration statement shall have been declared effective and shall not have been withdrawn. If the Company shall give any notice of withdrawal or postponement of a registration statement, at such time as the Valid Business Reason that caused such withdrawal or postponement no longer exists (but in no event more than 90 days after the date of the postponement or withdrawal), the Company shall use its commercially reasonable efforts to effect the registration under the Securities Act of the Registrable Securities covered by the withdrawn or postponed registration statement in accordance with this Section 2.1.</w:t>
      </w:r>
    </w:p>
    <w:p>
      <w:pPr>
        <w:spacing w:after="0" w:line="160" w:lineRule="exact"/>
        <w:rPr>
          <w:sz w:val="20"/>
          <w:szCs w:val="20"/>
          <w:color w:val="auto"/>
        </w:rPr>
      </w:pPr>
    </w:p>
    <w:p>
      <w:pPr>
        <w:ind w:right="20" w:firstLine="1304"/>
        <w:spacing w:after="0" w:line="214" w:lineRule="auto"/>
        <w:tabs>
          <w:tab w:leader="none" w:pos="1764"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The Company, subject to Sections 2.3 and 2.6, may elect to include in any registration statement and offering made pursuant to Section 2.1(a)(i), (i) authorized but unissued shares of Common Stock or shares of Common Stock held by the Company as treasury shares and (ii) any other shares of Common Stock that are requested to be included in such registration pursuant to the exercise of piggyback rights granted by the Company, provided any such rights granted after the date hereof are not inconsistent with the rights granted in, and do not otherwise conflict with the terms of, this Agreement (“</w:t>
      </w:r>
      <w:r>
        <w:rPr>
          <w:rFonts w:ascii="Arial" w:cs="Arial" w:eastAsia="Arial" w:hAnsi="Arial"/>
          <w:sz w:val="22"/>
          <w:szCs w:val="22"/>
          <w:u w:val="single" w:color="auto"/>
          <w:color w:val="auto"/>
        </w:rPr>
        <w:t>Additional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Piggyback Rights</w:t>
      </w:r>
      <w:r>
        <w:rPr>
          <w:rFonts w:ascii="Arial" w:cs="Arial" w:eastAsia="Arial" w:hAnsi="Arial"/>
          <w:sz w:val="22"/>
          <w:szCs w:val="22"/>
          <w:color w:val="auto"/>
        </w:rPr>
        <w:t>”).</w:t>
      </w:r>
    </w:p>
    <w:p>
      <w:pPr>
        <w:spacing w:after="0" w:line="158" w:lineRule="exact"/>
        <w:rPr>
          <w:rFonts w:ascii="Arial" w:cs="Arial" w:eastAsia="Arial" w:hAnsi="Arial"/>
          <w:sz w:val="22"/>
          <w:szCs w:val="22"/>
          <w:color w:val="010000"/>
        </w:rPr>
      </w:pPr>
    </w:p>
    <w:p>
      <w:pPr>
        <w:ind w:right="40" w:firstLine="1304"/>
        <w:spacing w:after="0" w:line="229" w:lineRule="auto"/>
        <w:tabs>
          <w:tab w:leader="none" w:pos="1752" w:val="left"/>
        </w:tabs>
        <w:numPr>
          <w:ilvl w:val="0"/>
          <w:numId w:val="93"/>
        </w:numPr>
        <w:rPr>
          <w:rFonts w:ascii="Arial" w:cs="Arial" w:eastAsia="Arial" w:hAnsi="Arial"/>
          <w:sz w:val="21"/>
          <w:szCs w:val="21"/>
          <w:color w:val="010000"/>
        </w:rPr>
      </w:pPr>
      <w:r>
        <w:rPr>
          <w:rFonts w:ascii="Arial" w:cs="Arial" w:eastAsia="Arial" w:hAnsi="Arial"/>
          <w:sz w:val="21"/>
          <w:szCs w:val="21"/>
          <w:color w:val="auto"/>
        </w:rPr>
        <w:t>A Holder may withdraw its Registrable Securities from a Demand Registration at any time. If all such Holders do so, the Company shall cease all efforts to secure registration and such registration nonetheless shall be deemed a Demand Registration for purposes of this Section 2.1 unless (i) the withdrawal is made following withdrawal or postponement of such registration by the Company pursuant to a Valid Business Reason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77" w:lineRule="exact"/>
        <w:rPr>
          <w:sz w:val="20"/>
          <w:szCs w:val="20"/>
          <w:color w:val="auto"/>
        </w:rPr>
      </w:pPr>
    </w:p>
    <w:p>
      <w:pPr>
        <w:jc w:val="both"/>
        <w:ind w:right="80"/>
        <w:spacing w:after="0" w:line="257" w:lineRule="auto"/>
        <w:rPr>
          <w:sz w:val="20"/>
          <w:szCs w:val="20"/>
          <w:color w:val="auto"/>
        </w:rPr>
      </w:pPr>
      <w:r>
        <w:rPr>
          <w:rFonts w:ascii="Arial" w:cs="Arial" w:eastAsia="Arial" w:hAnsi="Arial"/>
          <w:sz w:val="19"/>
          <w:szCs w:val="19"/>
          <w:color w:val="auto"/>
        </w:rPr>
        <w:t>contemplated by Section 2.1(c), (ii) the withdrawal is based on the reasonable determination of the Holders who requested such registration that there has been, since the date of the Demand Registration Request, a material adverse change in the business or prospects of the Company or (iii) the Holders who requested such registration shall have paid or reimbursed the Company for all of the reasonable out-of-pocket fees and expenses incurred by the Company in connection with the withdrawn registration.</w:t>
      </w:r>
    </w:p>
    <w:p>
      <w:pPr>
        <w:spacing w:after="0" w:line="144" w:lineRule="exact"/>
        <w:rPr>
          <w:sz w:val="20"/>
          <w:szCs w:val="20"/>
          <w:color w:val="auto"/>
        </w:rPr>
      </w:pPr>
    </w:p>
    <w:p>
      <w:pPr>
        <w:ind w:firstLine="1304"/>
        <w:spacing w:after="0" w:line="244" w:lineRule="auto"/>
        <w:tabs>
          <w:tab w:leader="none" w:pos="1728"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A Demand Registration shall not be deemed to have been effected and shall not count as such (i) unless a registration statement with respect thereto has become effective and has remained effective for a period of at least 180 days or such shorter period during which all Registrable Securities covered by such registration statement have been sold or withdrawn, or, if such registration statement relates to an underwritten offering, such longer period as, in the opinion of counsel for the underwriter(s), is required by law for delivery of a prospectus in connection with the sale of Registrable Securities by an underwriter or dealer, (ii) if, after the registration statement with respect thereto has become effective, it becomes subject to any stop order, injunction or other order or requirement of the SEC or other governmental agency or court for any reason, (iii) if it is withdrawn by the Company pursuant to a Valid Business Reason as contemplated by Section 2.1(c) or (iv) if the conditions to closing specified in the purchase agreement or underwriting agreement entered into in connection with such Demand Registration are not satisfied, other than solely by reason of some act or omission of the Participating Holders.</w:t>
      </w:r>
    </w:p>
    <w:p>
      <w:pPr>
        <w:spacing w:after="0" w:line="154" w:lineRule="exact"/>
        <w:rPr>
          <w:rFonts w:ascii="Arial" w:cs="Arial" w:eastAsia="Arial" w:hAnsi="Arial"/>
          <w:sz w:val="19"/>
          <w:szCs w:val="19"/>
          <w:color w:val="010000"/>
        </w:rPr>
      </w:pPr>
    </w:p>
    <w:p>
      <w:pPr>
        <w:ind w:right="560" w:firstLine="1304"/>
        <w:spacing w:after="0" w:line="298" w:lineRule="auto"/>
        <w:tabs>
          <w:tab w:leader="none" w:pos="1764"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In connection with any Demand Registration, the Managing Holders shall designate the lead managing underwriter in connection with such registration and each other managing underwriter for such registration.</w:t>
      </w:r>
    </w:p>
    <w:p>
      <w:pPr>
        <w:spacing w:after="0" w:line="10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2.2</w:t>
      </w:r>
      <w:r>
        <w:rPr>
          <w:sz w:val="20"/>
          <w:szCs w:val="20"/>
          <w:color w:val="auto"/>
        </w:rPr>
        <w:tab/>
      </w:r>
      <w:r>
        <w:rPr>
          <w:rFonts w:ascii="Arial" w:cs="Arial" w:eastAsia="Arial" w:hAnsi="Arial"/>
          <w:sz w:val="19"/>
          <w:szCs w:val="19"/>
          <w:u w:val="single" w:color="auto"/>
          <w:color w:val="auto"/>
        </w:rPr>
        <w:t>Piggyback Registrations</w:t>
      </w:r>
      <w:r>
        <w:rPr>
          <w:rFonts w:ascii="Arial" w:cs="Arial" w:eastAsia="Arial" w:hAnsi="Arial"/>
          <w:sz w:val="19"/>
          <w:szCs w:val="19"/>
          <w:color w:val="auto"/>
        </w:rPr>
        <w:t>.</w:t>
      </w:r>
    </w:p>
    <w:p>
      <w:pPr>
        <w:spacing w:after="0" w:line="179" w:lineRule="exact"/>
        <w:rPr>
          <w:sz w:val="20"/>
          <w:szCs w:val="20"/>
          <w:color w:val="auto"/>
        </w:rPr>
      </w:pPr>
    </w:p>
    <w:p>
      <w:pPr>
        <w:ind w:right="40" w:firstLine="1304"/>
        <w:spacing w:after="0" w:line="242" w:lineRule="auto"/>
        <w:tabs>
          <w:tab w:leader="none" w:pos="1752"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If, at any time, the Company proposes or is required to register any of its equity securities under the Securities Act (other than pursuant to (i) registrations on such form or similar form(s) solely for registration of securities in connection with an employee benefit plan or dividend reinvestment plan or (ii) a Demand Registration under Section 2.1) on a registration statement on Form S-1 or Form S-3 or an equivalent general registration form then in effect, whether or not for its own account, the Company shall give prompt written notice of its intention to do so to each Holder of record of Registrable Securities. Upon the written request of any such Holder, made within 15 days following the receipt of any such written notice (which request shall specify the maximum number of Registrable Securities intended to be disposed of by such Holder and the intended method of distribution thereof), the Company, subject to Sections 2.2(b), 2.3 and 2.6, shall use commercially reasonable efforts to cause all such Registrable Securities to be included in the registration statement with the securities that the Company at the time proposes to register to permit the sale or other disposition by the Holders in accordance with the intended method of distribution thereof of the Registrable Securities to be so registered. No registration of Registrable Securities effected under this Section 2.2(a) shall relieve the Company of its obligations to effect Demand Registrations under Section 2.1.</w:t>
      </w:r>
    </w:p>
    <w:p>
      <w:pPr>
        <w:spacing w:after="0" w:line="164" w:lineRule="exact"/>
        <w:rPr>
          <w:rFonts w:ascii="Arial" w:cs="Arial" w:eastAsia="Arial" w:hAnsi="Arial"/>
          <w:sz w:val="19"/>
          <w:szCs w:val="19"/>
          <w:color w:val="010000"/>
        </w:rPr>
      </w:pPr>
    </w:p>
    <w:p>
      <w:pPr>
        <w:ind w:right="40" w:firstLine="1304"/>
        <w:spacing w:after="0" w:line="249" w:lineRule="auto"/>
        <w:tabs>
          <w:tab w:leader="none" w:pos="1764"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If, at any time after giving written notice of its intention to register any equity securities and prior to the effective date of the registration statement filed in connection with such registration, the Company shall determine for any reason not to register or to delay registration of such equity securities, the Company will give written notice of such determination to each Holder of record of Registrable Securities and (i) in the case of a determination not to register, shall be relieved of its obligation to register any Registrable Securities in connection with such abandoned registration, without prejudice, however, to the rights of Holders under Section 2.1 and (ii) in the case of a determination to delay such registration of its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77"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securities, shall be permitted to delay the registration of such Registrable Securities for the same period as the delay in registering such other equity securities.</w:t>
      </w:r>
    </w:p>
    <w:p>
      <w:pPr>
        <w:spacing w:after="0" w:line="159" w:lineRule="exact"/>
        <w:rPr>
          <w:sz w:val="20"/>
          <w:szCs w:val="20"/>
          <w:color w:val="auto"/>
        </w:rPr>
      </w:pPr>
    </w:p>
    <w:p>
      <w:pPr>
        <w:ind w:right="80" w:firstLine="1304"/>
        <w:spacing w:after="0" w:line="252" w:lineRule="auto"/>
        <w:tabs>
          <w:tab w:leader="none" w:pos="1752"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Any Holder shall have the right to withdraw its request for inclusion of its Registrable Securities in any registration statement pursuant to this Section 2.2 by giving written notice to the Company of its request to withdraw. Such request must be made in writing prior to the earlier of the execution of the underwriting agreement or the execution of the custody agreement with respect to such registration. Such withdrawal shall be irrevocable and, after making such withdrawal, a Holder shall no longer have any right to include Registrable Securities in the registration as to which such withdrawal was made.</w:t>
      </w:r>
    </w:p>
    <w:p>
      <w:pPr>
        <w:spacing w:after="0" w:line="14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2.3</w:t>
      </w:r>
      <w:r>
        <w:rPr>
          <w:sz w:val="20"/>
          <w:szCs w:val="20"/>
          <w:color w:val="auto"/>
        </w:rPr>
        <w:tab/>
      </w:r>
      <w:r>
        <w:rPr>
          <w:rFonts w:ascii="Arial" w:cs="Arial" w:eastAsia="Arial" w:hAnsi="Arial"/>
          <w:sz w:val="19"/>
          <w:szCs w:val="19"/>
          <w:u w:val="single" w:color="auto"/>
          <w:color w:val="auto"/>
        </w:rPr>
        <w:t>Priority in Registrations</w:t>
      </w:r>
      <w:r>
        <w:rPr>
          <w:rFonts w:ascii="Arial" w:cs="Arial" w:eastAsia="Arial" w:hAnsi="Arial"/>
          <w:sz w:val="19"/>
          <w:szCs w:val="19"/>
          <w:color w:val="auto"/>
        </w:rPr>
        <w:t>.</w:t>
      </w:r>
    </w:p>
    <w:p>
      <w:pPr>
        <w:spacing w:after="0" w:line="179" w:lineRule="exact"/>
        <w:rPr>
          <w:sz w:val="20"/>
          <w:szCs w:val="20"/>
          <w:color w:val="auto"/>
        </w:rPr>
      </w:pPr>
    </w:p>
    <w:p>
      <w:pPr>
        <w:ind w:right="200" w:firstLine="1304"/>
        <w:spacing w:after="0" w:line="220" w:lineRule="auto"/>
        <w:tabs>
          <w:tab w:leader="none" w:pos="1752" w:val="left"/>
        </w:tabs>
        <w:numPr>
          <w:ilvl w:val="0"/>
          <w:numId w:val="97"/>
        </w:numPr>
        <w:rPr>
          <w:rFonts w:ascii="Arial" w:cs="Arial" w:eastAsia="Arial" w:hAnsi="Arial"/>
          <w:sz w:val="21"/>
          <w:szCs w:val="21"/>
          <w:color w:val="auto"/>
        </w:rPr>
      </w:pPr>
      <w:r>
        <w:rPr>
          <w:rFonts w:ascii="Arial" w:cs="Arial" w:eastAsia="Arial" w:hAnsi="Arial"/>
          <w:sz w:val="21"/>
          <w:szCs w:val="21"/>
          <w:color w:val="auto"/>
        </w:rPr>
        <w:t>If any requested registration made pursuant to Section 2.1 involves an underwritten offering and the lead managing underwriter of such offering (the “</w:t>
      </w:r>
      <w:r>
        <w:rPr>
          <w:rFonts w:ascii="Arial" w:cs="Arial" w:eastAsia="Arial" w:hAnsi="Arial"/>
          <w:sz w:val="21"/>
          <w:szCs w:val="21"/>
          <w:u w:val="single" w:color="auto"/>
          <w:color w:val="auto"/>
        </w:rPr>
        <w:t>Manager</w:t>
      </w:r>
      <w:r>
        <w:rPr>
          <w:rFonts w:ascii="Arial" w:cs="Arial" w:eastAsia="Arial" w:hAnsi="Arial"/>
          <w:sz w:val="21"/>
          <w:szCs w:val="21"/>
          <w:color w:val="auto"/>
        </w:rPr>
        <w:t>”) shall advise the Company that, in its view, the number of securities requested to be included in such registration by the Holders of Registrable Securities or any other persons, including other stockholders of the Company possessing piggyback rights with respect to such requested registration, and shares of Common Stock requested by the Company to be included in such registration, exceeds the maximum dollar amount or maximum number of equity securities that can be sold in the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21"/>
          <w:szCs w:val="21"/>
          <w:u w:val="single" w:color="auto"/>
          <w:color w:val="auto"/>
        </w:rPr>
        <w:t>Maximum Number of Securities</w:t>
      </w:r>
      <w:r>
        <w:rPr>
          <w:rFonts w:ascii="Arial" w:cs="Arial" w:eastAsia="Arial" w:hAnsi="Arial"/>
          <w:sz w:val="21"/>
          <w:szCs w:val="21"/>
          <w:color w:val="auto"/>
        </w:rPr>
        <w:t>”, and such Maximum Number of Securities under this Section 2.3(a), the “</w:t>
      </w:r>
      <w:r>
        <w:rPr>
          <w:rFonts w:ascii="Arial" w:cs="Arial" w:eastAsia="Arial" w:hAnsi="Arial"/>
          <w:sz w:val="21"/>
          <w:szCs w:val="21"/>
          <w:u w:val="single" w:color="auto"/>
          <w:color w:val="auto"/>
        </w:rPr>
        <w:t>Section 2.3(a) Sale Number</w:t>
      </w:r>
      <w:r>
        <w:rPr>
          <w:rFonts w:ascii="Arial" w:cs="Arial" w:eastAsia="Arial" w:hAnsi="Arial"/>
          <w:sz w:val="21"/>
          <w:szCs w:val="21"/>
          <w:color w:val="auto"/>
        </w:rPr>
        <w:t>”), the Company shall use commercially reasonable efforts to include in such registration:</w:t>
      </w:r>
    </w:p>
    <w:p>
      <w:pPr>
        <w:spacing w:after="0" w:line="162" w:lineRule="exact"/>
        <w:rPr>
          <w:rFonts w:ascii="Arial" w:cs="Arial" w:eastAsia="Arial" w:hAnsi="Arial"/>
          <w:sz w:val="21"/>
          <w:szCs w:val="21"/>
          <w:color w:val="auto"/>
        </w:rPr>
      </w:pPr>
    </w:p>
    <w:p>
      <w:pPr>
        <w:ind w:firstLine="1952"/>
        <w:spacing w:after="0" w:line="214" w:lineRule="auto"/>
        <w:tabs>
          <w:tab w:leader="none" w:pos="2364"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 xml:space="preserve">first, all Registrable Securities requested to be included in such registration by the Holders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number of such Registrable Securities exceeds the Section 2.3(a) Sale Number, the number of such Registrable Securities (not to exceed the Section 2.3(a) Sale Number) to be included in such registration shall be allocated on a pro rata basis among all Holders requesting that Registrable Securities be included in such registration, based on the number of Registrable Securities then owned by each such Holder requesting inclusion in relation to the number of Registrable Securities owned by all Holders requesting inclusion;</w:t>
      </w:r>
    </w:p>
    <w:p>
      <w:pPr>
        <w:spacing w:after="0" w:line="151" w:lineRule="exact"/>
        <w:rPr>
          <w:rFonts w:ascii="Arial" w:cs="Arial" w:eastAsia="Arial" w:hAnsi="Arial"/>
          <w:sz w:val="22"/>
          <w:szCs w:val="22"/>
          <w:color w:val="010000"/>
        </w:rPr>
      </w:pPr>
    </w:p>
    <w:p>
      <w:pPr>
        <w:ind w:left="2440" w:hanging="488"/>
        <w:spacing w:after="0"/>
        <w:tabs>
          <w:tab w:leader="none" w:pos="2440" w:val="left"/>
        </w:tabs>
        <w:numPr>
          <w:ilvl w:val="1"/>
          <w:numId w:val="97"/>
        </w:numPr>
        <w:rPr>
          <w:rFonts w:ascii="Arial" w:cs="Arial" w:eastAsia="Arial" w:hAnsi="Arial"/>
          <w:sz w:val="21"/>
          <w:szCs w:val="21"/>
          <w:color w:val="010000"/>
        </w:rPr>
      </w:pPr>
      <w:r>
        <w:rPr>
          <w:rFonts w:ascii="Arial" w:cs="Arial" w:eastAsia="Arial" w:hAnsi="Arial"/>
          <w:sz w:val="21"/>
          <w:szCs w:val="21"/>
          <w:color w:val="auto"/>
        </w:rPr>
        <w:t>second, to the extent that the number of securities to be included pursuant to clause (i) of this</w:t>
      </w:r>
    </w:p>
    <w:p>
      <w:pPr>
        <w:ind w:right="140"/>
        <w:spacing w:after="0" w:line="222" w:lineRule="auto"/>
        <w:rPr>
          <w:sz w:val="20"/>
          <w:szCs w:val="20"/>
          <w:color w:val="auto"/>
        </w:rPr>
      </w:pPr>
      <w:r>
        <w:rPr>
          <w:rFonts w:ascii="Arial" w:cs="Arial" w:eastAsia="Arial" w:hAnsi="Arial"/>
          <w:sz w:val="21"/>
          <w:szCs w:val="21"/>
          <w:color w:val="auto"/>
        </w:rPr>
        <w:t>Section 2.3(a) is less than the Section 2.3(a) Sale Number, the remaining shares to be included in such registration shall be allocated on a pro rata basis among all holders requesting that securities be included in such registration pursuant to the exercise of Additional Piggyback Rights (“</w:t>
      </w:r>
      <w:r>
        <w:rPr>
          <w:rFonts w:ascii="Arial" w:cs="Arial" w:eastAsia="Arial" w:hAnsi="Arial"/>
          <w:sz w:val="21"/>
          <w:szCs w:val="21"/>
          <w:u w:val="single" w:color="auto"/>
          <w:color w:val="auto"/>
        </w:rPr>
        <w:t>Piggyback Shares</w:t>
      </w:r>
      <w:r>
        <w:rPr>
          <w:rFonts w:ascii="Arial" w:cs="Arial" w:eastAsia="Arial" w:hAnsi="Arial"/>
          <w:sz w:val="21"/>
          <w:szCs w:val="21"/>
          <w:color w:val="auto"/>
        </w:rPr>
        <w:t>”), based on the aggregate number of Piggyback Shares then owned by each such holder requesting inclusion in relation to the aggregate number of Piggyback Shares owned by all such holders requesting inclusion, up to the Section 2.3(a) Sale Number; and</w:t>
      </w:r>
    </w:p>
    <w:p>
      <w:pPr>
        <w:spacing w:after="0" w:line="161" w:lineRule="exact"/>
        <w:rPr>
          <w:sz w:val="20"/>
          <w:szCs w:val="20"/>
          <w:color w:val="auto"/>
        </w:rPr>
      </w:pPr>
    </w:p>
    <w:p>
      <w:pPr>
        <w:ind w:right="120" w:firstLine="1952"/>
        <w:spacing w:after="0" w:line="223" w:lineRule="auto"/>
        <w:tabs>
          <w:tab w:leader="none" w:pos="2484"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third, to the extent that the number of securities to be included pursuant to clauses (i) and (ii) of this Section 2.3(a) is less than the Section 2.3(a) Sale Number, any securities that the Company proposes to register, up to the Section 2.3(a) Sale Number.</w:t>
      </w:r>
    </w:p>
    <w:p>
      <w:pPr>
        <w:spacing w:after="0" w:line="15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9"/>
          <w:szCs w:val="19"/>
          <w:color w:val="auto"/>
        </w:rPr>
        <w:t xml:space="preserve">If, as a result of the proration provisions of this Section 2.3(a), any Holder shall not be entitled to include all Registrable Securities in a registration that such Holder has requested be included, such Holder may elect to withdraw its request to include Registrable Securities in such registration or may reduce the number requested to be included;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such request must be made in writing prior to the earlier of the execution of the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77"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agreement or the execution of the custody agreement with respect to such registration and (B) such withdrawal shall be irrevocable and, after making such withdrawal, such Holder shall no longer have any right to include Registrable Securities in the registration as to which such withdrawal was made.</w:t>
      </w:r>
    </w:p>
    <w:p>
      <w:pPr>
        <w:spacing w:after="0" w:line="159" w:lineRule="exact"/>
        <w:rPr>
          <w:sz w:val="20"/>
          <w:szCs w:val="20"/>
          <w:color w:val="auto"/>
        </w:rPr>
      </w:pPr>
    </w:p>
    <w:p>
      <w:pPr>
        <w:ind w:right="120" w:firstLine="1304"/>
        <w:spacing w:after="0" w:line="218" w:lineRule="auto"/>
        <w:tabs>
          <w:tab w:leader="none" w:pos="1764"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If any registration pursuant to Section 2.2 involves an underwritten offering that was proposed by the Company and the Manager shall advise the Company that, in its view, the number of securities requested to be included in such registration exceeds the Maximum Number of Securities (the “</w:t>
      </w:r>
      <w:r>
        <w:rPr>
          <w:rFonts w:ascii="Arial" w:cs="Arial" w:eastAsia="Arial" w:hAnsi="Arial"/>
          <w:sz w:val="22"/>
          <w:szCs w:val="22"/>
          <w:u w:val="single" w:color="auto"/>
          <w:color w:val="auto"/>
        </w:rPr>
        <w:t>Section 2.3(b) Sale Number</w:t>
      </w:r>
      <w:r>
        <w:rPr>
          <w:rFonts w:ascii="Arial" w:cs="Arial" w:eastAsia="Arial" w:hAnsi="Arial"/>
          <w:sz w:val="22"/>
          <w:szCs w:val="22"/>
          <w:color w:val="auto"/>
        </w:rPr>
        <w:t>”), the Company shall include in such registration:</w:t>
      </w:r>
    </w:p>
    <w:p>
      <w:pPr>
        <w:spacing w:after="0" w:line="160" w:lineRule="exact"/>
        <w:rPr>
          <w:rFonts w:ascii="Arial" w:cs="Arial" w:eastAsia="Arial" w:hAnsi="Arial"/>
          <w:sz w:val="22"/>
          <w:szCs w:val="22"/>
          <w:color w:val="010000"/>
        </w:rPr>
      </w:pPr>
    </w:p>
    <w:p>
      <w:pPr>
        <w:ind w:left="2380" w:hanging="428"/>
        <w:spacing w:after="0"/>
        <w:tabs>
          <w:tab w:leader="none" w:pos="2380" w:val="left"/>
        </w:tabs>
        <w:numPr>
          <w:ilvl w:val="1"/>
          <w:numId w:val="99"/>
        </w:numPr>
        <w:rPr>
          <w:rFonts w:ascii="Arial" w:cs="Arial" w:eastAsia="Arial" w:hAnsi="Arial"/>
          <w:sz w:val="22"/>
          <w:szCs w:val="22"/>
          <w:color w:val="010000"/>
        </w:rPr>
      </w:pPr>
      <w:r>
        <w:rPr>
          <w:rFonts w:ascii="Arial" w:cs="Arial" w:eastAsia="Arial" w:hAnsi="Arial"/>
          <w:sz w:val="22"/>
          <w:szCs w:val="22"/>
          <w:color w:val="auto"/>
        </w:rPr>
        <w:t>first, all Common Stock that the Company proposes to register for its own account;</w:t>
      </w:r>
    </w:p>
    <w:p>
      <w:pPr>
        <w:spacing w:after="0" w:line="179" w:lineRule="exact"/>
        <w:rPr>
          <w:rFonts w:ascii="Arial" w:cs="Arial" w:eastAsia="Arial" w:hAnsi="Arial"/>
          <w:sz w:val="22"/>
          <w:szCs w:val="22"/>
          <w:color w:val="010000"/>
        </w:rPr>
      </w:pPr>
    </w:p>
    <w:p>
      <w:pPr>
        <w:ind w:right="80" w:firstLine="1952"/>
        <w:spacing w:after="0" w:line="211" w:lineRule="auto"/>
        <w:tabs>
          <w:tab w:leader="none" w:pos="2424" w:val="left"/>
        </w:tabs>
        <w:numPr>
          <w:ilvl w:val="1"/>
          <w:numId w:val="99"/>
        </w:numPr>
        <w:rPr>
          <w:rFonts w:ascii="Arial" w:cs="Arial" w:eastAsia="Arial" w:hAnsi="Arial"/>
          <w:sz w:val="22"/>
          <w:szCs w:val="22"/>
          <w:color w:val="010000"/>
        </w:rPr>
      </w:pPr>
      <w:r>
        <w:rPr>
          <w:rFonts w:ascii="Arial" w:cs="Arial" w:eastAsia="Arial" w:hAnsi="Arial"/>
          <w:sz w:val="22"/>
          <w:szCs w:val="22"/>
          <w:color w:val="auto"/>
        </w:rPr>
        <w:t xml:space="preserve">second, to the extent that the number of securities to be included pursuant to clause (i) of this Section 2.3(b) is less than the Section 2.3(b) Sale Number, all securities requested to be included in such registration by the holders, as of the date hereof, of Piggyback Shares with Additional Piggyback Rights;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number of such Piggyback Shares exceeds the Section 2.3(b) Sale Number, the number of such Piggyback Shares (not to exceed the Section 2.3(b) Sale Number) to be included in such registration shall be allocated on a pro rata basis among all such holders requesting that such Piggyback Shares be included in such registration, based on the number of Piggyback Shares then owned by each such holder requesting inclusion in relation to the number of Piggyback Shares owned by all of such holders requesting inclusion; and</w:t>
      </w:r>
    </w:p>
    <w:p>
      <w:pPr>
        <w:spacing w:after="0" w:line="164" w:lineRule="exact"/>
        <w:rPr>
          <w:rFonts w:ascii="Arial" w:cs="Arial" w:eastAsia="Arial" w:hAnsi="Arial"/>
          <w:sz w:val="22"/>
          <w:szCs w:val="22"/>
          <w:color w:val="010000"/>
        </w:rPr>
      </w:pPr>
    </w:p>
    <w:p>
      <w:pPr>
        <w:ind w:right="140" w:firstLine="1952"/>
        <w:spacing w:after="0" w:line="244" w:lineRule="auto"/>
        <w:tabs>
          <w:tab w:leader="none" w:pos="2484"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third, to the extent that the number of securities to be included pursuant to clauses (i) and (ii) of this Section 2.3(b) is less than the Section 2.3(b) Sale Number, the remaining shares to be included in such registration shall be allocated on a pro rata basis among all holders requesting that Registrable Securities or Piggyback Shares (other than Piggyback Shares to be included pursuant to clause (ii) of this Section 2.3(b)) to be included in such registration pursuant to the exercise of piggyback rights pursuant to Section 2.2 of this Agreement or Additional Piggyback Rights (other than Additional Piggyback Rights in respect of Piggyback Shares included under clause (ii) of this Section 2.3(b)), based on the aggregate number of Registrable Securities and Piggyback Shares then owned by each such holder requesting inclusion in relation to the aggregate number of Registrable Securities and Piggyback Shares (other than Piggyback Shares included pursuant to clause (ii) of this Section 2.3(b)) owned by all such holders requesting inclusion, up to the Section 2.3(b) Sale Number.</w:t>
      </w:r>
    </w:p>
    <w:p>
      <w:pPr>
        <w:spacing w:after="0" w:line="160" w:lineRule="exact"/>
        <w:rPr>
          <w:rFonts w:ascii="Arial" w:cs="Arial" w:eastAsia="Arial" w:hAnsi="Arial"/>
          <w:sz w:val="19"/>
          <w:szCs w:val="19"/>
          <w:color w:val="010000"/>
        </w:rPr>
      </w:pPr>
    </w:p>
    <w:p>
      <w:pPr>
        <w:ind w:right="80" w:firstLine="1304"/>
        <w:spacing w:after="0" w:line="242" w:lineRule="auto"/>
        <w:tabs>
          <w:tab w:leader="none" w:pos="1752"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If any registration pursuant to Section 2.2 involves an underwritten offering that was proposed by Holders of securities of the Company that have the right to require such registration pursuant to an agreement entered into by the Company in accordance with Section 3.4 (“</w:t>
      </w:r>
      <w:r>
        <w:rPr>
          <w:rFonts w:ascii="Arial" w:cs="Arial" w:eastAsia="Arial" w:hAnsi="Arial"/>
          <w:sz w:val="19"/>
          <w:szCs w:val="19"/>
          <w:u w:val="single" w:color="auto"/>
          <w:color w:val="auto"/>
        </w:rPr>
        <w:t>Additional Demand Rights</w:t>
      </w:r>
      <w:r>
        <w:rPr>
          <w:rFonts w:ascii="Arial" w:cs="Arial" w:eastAsia="Arial" w:hAnsi="Arial"/>
          <w:sz w:val="19"/>
          <w:szCs w:val="19"/>
          <w:color w:val="auto"/>
        </w:rPr>
        <w:t>”) and the Manager shall advise the Company that, in its view, the number of securities requested to be included in such registration exceeds the Maximum Number of Securities (the</w:t>
      </w:r>
    </w:p>
    <w:p>
      <w:pPr>
        <w:spacing w:after="0"/>
        <w:rPr>
          <w:rFonts w:ascii="Arial" w:cs="Arial" w:eastAsia="Arial" w:hAnsi="Arial"/>
          <w:sz w:val="19"/>
          <w:szCs w:val="19"/>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Section 2.3(c) Sale Number</w:t>
      </w:r>
      <w:r>
        <w:rPr>
          <w:rFonts w:ascii="Arial" w:cs="Arial" w:eastAsia="Arial" w:hAnsi="Arial"/>
          <w:sz w:val="22"/>
          <w:szCs w:val="22"/>
          <w:color w:val="auto"/>
        </w:rPr>
        <w:t>”), the Company shall include in such registration:</w:t>
      </w:r>
    </w:p>
    <w:p>
      <w:pPr>
        <w:spacing w:after="0" w:line="161" w:lineRule="exact"/>
        <w:rPr>
          <w:rFonts w:ascii="Arial" w:cs="Arial" w:eastAsia="Arial" w:hAnsi="Arial"/>
          <w:sz w:val="19"/>
          <w:szCs w:val="19"/>
          <w:color w:val="010000"/>
        </w:rPr>
      </w:pPr>
    </w:p>
    <w:p>
      <w:pPr>
        <w:ind w:firstLine="1952"/>
        <w:spacing w:after="0" w:line="252" w:lineRule="auto"/>
        <w:tabs>
          <w:tab w:leader="none" w:pos="2364"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first, all securities requested to be included in such registration by the holders of Additional Demand Rights (“</w:t>
      </w:r>
      <w:r>
        <w:rPr>
          <w:rFonts w:ascii="Arial" w:cs="Arial" w:eastAsia="Arial" w:hAnsi="Arial"/>
          <w:sz w:val="19"/>
          <w:szCs w:val="19"/>
          <w:u w:val="single" w:color="auto"/>
          <w:color w:val="auto"/>
        </w:rPr>
        <w:t>Additional Registrable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number of such Additional Registrable Securities exceeds the Section 2.3(c) Sale Number, the number of such Additional Registrable Securities (not to exceed the Section 2.3(c) Sale Number) to be included in such registration shall be allocated on a pro rata basis among all holders of Additional Registrable Securities requesting that Additional Registrable Securities be included in such registration, based on the number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7" w:lineRule="exact"/>
        <w:rPr>
          <w:sz w:val="20"/>
          <w:szCs w:val="20"/>
          <w:color w:val="auto"/>
        </w:rPr>
      </w:pPr>
    </w:p>
    <w:p>
      <w:pPr>
        <w:ind w:right="260"/>
        <w:spacing w:after="0" w:line="232" w:lineRule="auto"/>
        <w:rPr>
          <w:sz w:val="20"/>
          <w:szCs w:val="20"/>
          <w:color w:val="auto"/>
        </w:rPr>
      </w:pPr>
      <w:r>
        <w:rPr>
          <w:rFonts w:ascii="Arial" w:cs="Arial" w:eastAsia="Arial" w:hAnsi="Arial"/>
          <w:sz w:val="22"/>
          <w:szCs w:val="22"/>
          <w:color w:val="auto"/>
        </w:rPr>
        <w:t>Registrable Securities then owned by each such holder requesting inclusion in relation to the number of Additional Registrable Securities owned by all of such holders requesting inclusion;</w:t>
      </w:r>
    </w:p>
    <w:p>
      <w:pPr>
        <w:spacing w:after="0" w:line="159" w:lineRule="exact"/>
        <w:rPr>
          <w:sz w:val="20"/>
          <w:szCs w:val="20"/>
          <w:color w:val="auto"/>
        </w:rPr>
      </w:pPr>
    </w:p>
    <w:p>
      <w:pPr>
        <w:ind w:right="80" w:firstLine="1952"/>
        <w:spacing w:after="0" w:line="223" w:lineRule="auto"/>
        <w:tabs>
          <w:tab w:leader="none" w:pos="2424"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second, to the extent that the number of securities to be included pursuant to clause (i) of this Section 2.3(c) is less than the Section 2.3(c) Sale Number, any Common Stock that the Company proposes to register for its own account, up to the Section 2.3(c) Sale Number; and</w:t>
      </w:r>
    </w:p>
    <w:p>
      <w:pPr>
        <w:spacing w:after="0" w:line="158" w:lineRule="exact"/>
        <w:rPr>
          <w:rFonts w:ascii="Arial" w:cs="Arial" w:eastAsia="Arial" w:hAnsi="Arial"/>
          <w:sz w:val="22"/>
          <w:szCs w:val="22"/>
          <w:color w:val="010000"/>
        </w:rPr>
      </w:pPr>
    </w:p>
    <w:p>
      <w:pPr>
        <w:ind w:right="120" w:firstLine="1952"/>
        <w:spacing w:after="0" w:line="222" w:lineRule="auto"/>
        <w:tabs>
          <w:tab w:leader="none" w:pos="2484"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third, to the extent that the number of securities to be included pursuant to clauses (i) and (ii) of this Section 2.3(c) is less than the Section 2.3(c) Sale Number, the remaining shares to be included in such registration shall be allocated on a pro rata basis among all holders requesting that Registrable Securities or Piggyback Shares be included in such registration pursuant to the exercise of piggyback rights pursuant to Section 2.2 or Additional Piggyback Rights, based on the aggregate number of Registrable Securities and Piggyback Shares then owned by each holder requesting inclusion in relation to the aggregate number of Registrable Securities and Piggyback Shares owned by all holders requesting inclusion, up to the Section 2.3(c) Sale Number.</w:t>
      </w:r>
    </w:p>
    <w:p>
      <w:pPr>
        <w:spacing w:after="0" w:line="164" w:lineRule="exact"/>
        <w:rPr>
          <w:sz w:val="20"/>
          <w:szCs w:val="20"/>
          <w:color w:val="auto"/>
        </w:rPr>
      </w:pPr>
    </w:p>
    <w:p>
      <w:pPr>
        <w:ind w:right="400" w:firstLine="648"/>
        <w:spacing w:after="0" w:line="223" w:lineRule="auto"/>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u w:val="single" w:color="auto"/>
          <w:color w:val="000000"/>
        </w:rPr>
        <w:t>Registration Procedures</w:t>
      </w:r>
      <w:r>
        <w:rPr>
          <w:rFonts w:ascii="Arial" w:cs="Arial" w:eastAsia="Arial" w:hAnsi="Arial"/>
          <w:sz w:val="22"/>
          <w:szCs w:val="22"/>
          <w:color w:val="000000"/>
        </w:rPr>
        <w:t>. Whenever the Company is required by the provisions of this Agreement to use</w:t>
      </w:r>
      <w:r>
        <w:rPr>
          <w:rFonts w:ascii="Arial" w:cs="Arial" w:eastAsia="Arial" w:hAnsi="Arial"/>
          <w:sz w:val="22"/>
          <w:szCs w:val="22"/>
          <w:color w:val="010000"/>
        </w:rPr>
        <w:t xml:space="preserve"> </w:t>
      </w:r>
      <w:r>
        <w:rPr>
          <w:rFonts w:ascii="Arial" w:cs="Arial" w:eastAsia="Arial" w:hAnsi="Arial"/>
          <w:sz w:val="22"/>
          <w:szCs w:val="22"/>
          <w:color w:val="000000"/>
        </w:rPr>
        <w:t>commercially reasonable efforts to effect or cause the registration of any Registrable Securities under the Securities Act as provided in this Agreement, the Company as expeditiously as possible:</w:t>
      </w:r>
    </w:p>
    <w:p>
      <w:pPr>
        <w:spacing w:after="0" w:line="159" w:lineRule="exact"/>
        <w:rPr>
          <w:sz w:val="20"/>
          <w:szCs w:val="20"/>
          <w:color w:val="auto"/>
        </w:rPr>
      </w:pPr>
    </w:p>
    <w:p>
      <w:pPr>
        <w:ind w:firstLine="1304"/>
        <w:spacing w:after="0" w:line="242" w:lineRule="auto"/>
        <w:tabs>
          <w:tab w:leader="none" w:pos="1752"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shall prepare and file with the SEC the requisite registration statement, which shall comply as to form in all material respects with the requirements of the applicable form and shall include all financial statements required by the SEC to be filed therewith, and use commercially reasonable efforts to cause such registration statement to become and remain 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before filing a registration statement or prospectus or any amendments or supplements thereto, or comparable statements under securities or blue sky laws of any jurisdiction, or any Issuer Free Writing Prospectus related thereto, the Company will furnish to one counsel for the Holders participating in the planned offering (selected by the Managing Holders, in the case of a registration pursuant to Section 2.1, and selected by the lead managing underwriter, in the case of a registration pursuant to Section 2.2) and the lead managing underwriter, if any, copies of all such documents proposed to be filed (including all exhibits thereto), which documents will be subject to the reasonable review and reasonable comment of such counsel, and the Company shall not file any registration statement or amendment thereto, any prospectus or supplement thereto or any Issuer Free Writing Prospectus related thereto to which the holders of a majority of the Registrable Securities covered by such registration statement or the underwriters, if any, shall reasonably object);</w:t>
      </w:r>
    </w:p>
    <w:p>
      <w:pPr>
        <w:spacing w:after="0" w:line="164" w:lineRule="exact"/>
        <w:rPr>
          <w:rFonts w:ascii="Arial" w:cs="Arial" w:eastAsia="Arial" w:hAnsi="Arial"/>
          <w:sz w:val="19"/>
          <w:szCs w:val="19"/>
          <w:color w:val="010000"/>
        </w:rPr>
      </w:pPr>
    </w:p>
    <w:p>
      <w:pPr>
        <w:ind w:right="60" w:firstLine="1304"/>
        <w:spacing w:after="0" w:line="252" w:lineRule="auto"/>
        <w:tabs>
          <w:tab w:leader="none" w:pos="1764"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shall prepare and file with the SEC such amendments and supplements to such registration statement and the prospectus used in connection therewith as may be necessary to keep such registration statement effective for such period as any seller of Registrable Securities pursuant to such registration statement shall request and to comply with the provisions of the Securities Act with respect to the sale or other disposition of all Registrable Securities covered by such registration statement in accordance with the intended methods of disposition by the seller or sellers thereof set forth in such registration statement;</w:t>
      </w:r>
    </w:p>
    <w:p>
      <w:pPr>
        <w:spacing w:after="0" w:line="148" w:lineRule="exact"/>
        <w:rPr>
          <w:rFonts w:ascii="Arial" w:cs="Arial" w:eastAsia="Arial" w:hAnsi="Arial"/>
          <w:sz w:val="19"/>
          <w:szCs w:val="19"/>
          <w:color w:val="010000"/>
        </w:rPr>
      </w:pPr>
    </w:p>
    <w:p>
      <w:pPr>
        <w:ind w:right="60" w:firstLine="1304"/>
        <w:spacing w:after="0" w:line="226" w:lineRule="auto"/>
        <w:tabs>
          <w:tab w:leader="none" w:pos="1752" w:val="left"/>
        </w:tabs>
        <w:numPr>
          <w:ilvl w:val="0"/>
          <w:numId w:val="101"/>
        </w:numPr>
        <w:rPr>
          <w:rFonts w:ascii="Arial" w:cs="Arial" w:eastAsia="Arial" w:hAnsi="Arial"/>
          <w:sz w:val="21"/>
          <w:szCs w:val="21"/>
          <w:color w:val="010000"/>
        </w:rPr>
      </w:pPr>
      <w:r>
        <w:rPr>
          <w:rFonts w:ascii="Arial" w:cs="Arial" w:eastAsia="Arial" w:hAnsi="Arial"/>
          <w:sz w:val="21"/>
          <w:szCs w:val="21"/>
          <w:color w:val="auto"/>
        </w:rPr>
        <w:t>shall furnish, without charge, to each seller of such Registrable Securities and each underwriter, if any, of the securities covered by such registration statement such number of copies of such registration statement, each amendment thereto, the prospectus included in such registration statement, each preliminary prospectus and each Issuer Free Writing Prospectus utilized in connection therewith, all in conformity with the requirements of the Securities Act, and such other documents as such seller and underwriter reasonably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in order to facilitate the public sale or other disposition of the Registrable Securities owned by such seller, and shall consent to the use in accordance with all applicable law of each such registration statement, each amendment thereto, each such prospectus, preliminary prospectus or Issuer Free Writing Prospectus by each such seller of Registrable Securities and the underwriters, if any, in connection with the offering and sale of the Registrable Securities covered by such registration statement or prospectus;</w:t>
      </w:r>
    </w:p>
    <w:p>
      <w:pPr>
        <w:spacing w:after="0" w:line="144" w:lineRule="exact"/>
        <w:rPr>
          <w:sz w:val="20"/>
          <w:szCs w:val="20"/>
          <w:color w:val="auto"/>
        </w:rPr>
      </w:pPr>
    </w:p>
    <w:p>
      <w:pPr>
        <w:ind w:firstLine="1304"/>
        <w:spacing w:after="0" w:line="247" w:lineRule="auto"/>
        <w:tabs>
          <w:tab w:leader="none" w:pos="1764"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shall use commercially reasonable efforts to register or qualify the Registrable Securities covered by such registration statement under such other securities or “blue sky” laws of such jurisdictions as any sellers of Registrable Securities or any managing underwriter, if any, reasonably shall request, and do any and all other acts and things that may be reasonably necessary or advisable to enable such sellers or underwriter, if any, to consummate the disposition of the Registrable Securities in such jurisdictions, except that in no event shall the Company be required to qualify to do business as a foreign corporation in any jurisdiction where, but for the requirements of this Section 2.4(d), it would not be required to be so qualified, to subject itself to taxation in any such jurisdiction or to consent to general service of process in any such jurisdiction;</w:t>
      </w:r>
    </w:p>
    <w:p>
      <w:pPr>
        <w:spacing w:after="0" w:line="153" w:lineRule="exact"/>
        <w:rPr>
          <w:rFonts w:ascii="Arial" w:cs="Arial" w:eastAsia="Arial" w:hAnsi="Arial"/>
          <w:sz w:val="19"/>
          <w:szCs w:val="19"/>
          <w:color w:val="010000"/>
        </w:rPr>
      </w:pPr>
    </w:p>
    <w:p>
      <w:pPr>
        <w:ind w:right="180" w:firstLine="1304"/>
        <w:spacing w:after="0" w:line="232" w:lineRule="auto"/>
        <w:tabs>
          <w:tab w:leader="none" w:pos="1752"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shall promptly notify each Holder selling Registrable Securities covered by such registration statement and each managing underwriter, if any:</w:t>
      </w:r>
    </w:p>
    <w:p>
      <w:pPr>
        <w:spacing w:after="0" w:line="158" w:lineRule="exact"/>
        <w:rPr>
          <w:rFonts w:ascii="Arial" w:cs="Arial" w:eastAsia="Arial" w:hAnsi="Arial"/>
          <w:sz w:val="22"/>
          <w:szCs w:val="22"/>
          <w:color w:val="010000"/>
        </w:rPr>
      </w:pPr>
    </w:p>
    <w:p>
      <w:pPr>
        <w:ind w:right="40" w:firstLine="1952"/>
        <w:spacing w:after="0" w:line="268" w:lineRule="auto"/>
        <w:tabs>
          <w:tab w:leader="none" w:pos="2364" w:val="left"/>
        </w:tabs>
        <w:numPr>
          <w:ilvl w:val="1"/>
          <w:numId w:val="102"/>
        </w:numPr>
        <w:rPr>
          <w:rFonts w:ascii="Arial" w:cs="Arial" w:eastAsia="Arial" w:hAnsi="Arial"/>
          <w:sz w:val="19"/>
          <w:szCs w:val="19"/>
          <w:color w:val="010000"/>
        </w:rPr>
      </w:pPr>
      <w:r>
        <w:rPr>
          <w:rFonts w:ascii="Arial" w:cs="Arial" w:eastAsia="Arial" w:hAnsi="Arial"/>
          <w:sz w:val="19"/>
          <w:szCs w:val="19"/>
          <w:color w:val="auto"/>
        </w:rPr>
        <w:t>when the registration statement, any pre-effective amendment, the prospectus or any prospectus supplement related thereto, any post-effective amendment to the registration statement or any Issuer Free Writing Prospectus has been filed and, with respect to the registration statement or any post-effective amendment, when the same has become effective;</w:t>
      </w:r>
    </w:p>
    <w:p>
      <w:pPr>
        <w:spacing w:after="0" w:line="132" w:lineRule="exact"/>
        <w:rPr>
          <w:rFonts w:ascii="Arial" w:cs="Arial" w:eastAsia="Arial" w:hAnsi="Arial"/>
          <w:sz w:val="19"/>
          <w:szCs w:val="19"/>
          <w:color w:val="010000"/>
        </w:rPr>
      </w:pPr>
    </w:p>
    <w:p>
      <w:pPr>
        <w:ind w:right="740" w:firstLine="1952"/>
        <w:spacing w:after="0" w:line="232" w:lineRule="auto"/>
        <w:tabs>
          <w:tab w:leader="none" w:pos="2424" w:val="left"/>
        </w:tabs>
        <w:numPr>
          <w:ilvl w:val="1"/>
          <w:numId w:val="102"/>
        </w:numPr>
        <w:rPr>
          <w:rFonts w:ascii="Arial" w:cs="Arial" w:eastAsia="Arial" w:hAnsi="Arial"/>
          <w:sz w:val="22"/>
          <w:szCs w:val="22"/>
          <w:color w:val="010000"/>
        </w:rPr>
      </w:pPr>
      <w:r>
        <w:rPr>
          <w:rFonts w:ascii="Arial" w:cs="Arial" w:eastAsia="Arial" w:hAnsi="Arial"/>
          <w:sz w:val="22"/>
          <w:szCs w:val="22"/>
          <w:color w:val="auto"/>
        </w:rPr>
        <w:t>of any request by the SEC or state securities authority for amendments or supplements to the registration statement or the prospectus related thereto or for additional information;</w:t>
      </w:r>
    </w:p>
    <w:p>
      <w:pPr>
        <w:spacing w:after="0" w:line="158" w:lineRule="exact"/>
        <w:rPr>
          <w:rFonts w:ascii="Arial" w:cs="Arial" w:eastAsia="Arial" w:hAnsi="Arial"/>
          <w:sz w:val="22"/>
          <w:szCs w:val="22"/>
          <w:color w:val="010000"/>
        </w:rPr>
      </w:pPr>
    </w:p>
    <w:p>
      <w:pPr>
        <w:ind w:right="740" w:firstLine="1952"/>
        <w:spacing w:after="0" w:line="232" w:lineRule="auto"/>
        <w:tabs>
          <w:tab w:leader="none" w:pos="2484" w:val="left"/>
        </w:tabs>
        <w:numPr>
          <w:ilvl w:val="1"/>
          <w:numId w:val="102"/>
        </w:numPr>
        <w:rPr>
          <w:rFonts w:ascii="Arial" w:cs="Arial" w:eastAsia="Arial" w:hAnsi="Arial"/>
          <w:sz w:val="22"/>
          <w:szCs w:val="22"/>
          <w:color w:val="010000"/>
        </w:rPr>
      </w:pPr>
      <w:r>
        <w:rPr>
          <w:rFonts w:ascii="Arial" w:cs="Arial" w:eastAsia="Arial" w:hAnsi="Arial"/>
          <w:sz w:val="22"/>
          <w:szCs w:val="22"/>
          <w:color w:val="auto"/>
        </w:rPr>
        <w:t>of the issuance by the SEC of any stop order suspending the effectiveness of the registration statement or the initiation of any proceedings for that purpose;</w:t>
      </w:r>
    </w:p>
    <w:p>
      <w:pPr>
        <w:spacing w:after="0" w:line="158" w:lineRule="exact"/>
        <w:rPr>
          <w:rFonts w:ascii="Arial" w:cs="Arial" w:eastAsia="Arial" w:hAnsi="Arial"/>
          <w:sz w:val="22"/>
          <w:szCs w:val="22"/>
          <w:color w:val="010000"/>
        </w:rPr>
      </w:pPr>
    </w:p>
    <w:p>
      <w:pPr>
        <w:jc w:val="both"/>
        <w:ind w:right="80" w:firstLine="1952"/>
        <w:spacing w:after="0" w:line="223" w:lineRule="auto"/>
        <w:tabs>
          <w:tab w:leader="none" w:pos="2472" w:val="left"/>
        </w:tabs>
        <w:numPr>
          <w:ilvl w:val="1"/>
          <w:numId w:val="102"/>
        </w:numPr>
        <w:rPr>
          <w:rFonts w:ascii="Arial" w:cs="Arial" w:eastAsia="Arial" w:hAnsi="Arial"/>
          <w:sz w:val="22"/>
          <w:szCs w:val="22"/>
          <w:color w:val="010000"/>
        </w:rPr>
      </w:pPr>
      <w:r>
        <w:rPr>
          <w:rFonts w:ascii="Arial" w:cs="Arial" w:eastAsia="Arial" w:hAnsi="Arial"/>
          <w:sz w:val="22"/>
          <w:szCs w:val="22"/>
          <w:color w:val="auto"/>
        </w:rPr>
        <w:t>of the receipt by the Company of any notification with respect to the suspension of the qualification of any Registrable Securities for sale under the securities or blue sky laws of any jurisdiction or the initiation of any proceeding for such purpose;</w:t>
      </w:r>
    </w:p>
    <w:p>
      <w:pPr>
        <w:spacing w:after="0" w:line="158" w:lineRule="exact"/>
        <w:rPr>
          <w:rFonts w:ascii="Arial" w:cs="Arial" w:eastAsia="Arial" w:hAnsi="Arial"/>
          <w:sz w:val="22"/>
          <w:szCs w:val="22"/>
          <w:color w:val="010000"/>
        </w:rPr>
      </w:pPr>
    </w:p>
    <w:p>
      <w:pPr>
        <w:ind w:right="80" w:firstLine="1952"/>
        <w:spacing w:after="0" w:line="257" w:lineRule="auto"/>
        <w:tabs>
          <w:tab w:leader="none" w:pos="2412" w:val="left"/>
        </w:tabs>
        <w:numPr>
          <w:ilvl w:val="1"/>
          <w:numId w:val="102"/>
        </w:numPr>
        <w:rPr>
          <w:rFonts w:ascii="Arial" w:cs="Arial" w:eastAsia="Arial" w:hAnsi="Arial"/>
          <w:sz w:val="19"/>
          <w:szCs w:val="19"/>
          <w:color w:val="010000"/>
        </w:rPr>
      </w:pPr>
      <w:r>
        <w:rPr>
          <w:rFonts w:ascii="Arial" w:cs="Arial" w:eastAsia="Arial" w:hAnsi="Arial"/>
          <w:sz w:val="19"/>
          <w:szCs w:val="19"/>
          <w:color w:val="auto"/>
        </w:rPr>
        <w:t>of the existence of any fact of which the Company becomes aware which results in the registration statement, the prospectus related thereto, any document incorporated therein by reference, any Issuer Free Writing Prospectus or the information conveyed to any purchaser at the time of sale to such purchaser containing an untrue statement of a material fact or omitting to state a material fact required to be stated therein or necessary to make any statement therein not misleading; and</w:t>
      </w:r>
    </w:p>
    <w:p>
      <w:pPr>
        <w:spacing w:after="0" w:line="144" w:lineRule="exact"/>
        <w:rPr>
          <w:rFonts w:ascii="Arial" w:cs="Arial" w:eastAsia="Arial" w:hAnsi="Arial"/>
          <w:sz w:val="19"/>
          <w:szCs w:val="19"/>
          <w:color w:val="010000"/>
        </w:rPr>
      </w:pPr>
    </w:p>
    <w:p>
      <w:pPr>
        <w:ind w:right="440" w:firstLine="1952"/>
        <w:spacing w:after="0" w:line="243" w:lineRule="auto"/>
        <w:tabs>
          <w:tab w:leader="none" w:pos="2472" w:val="left"/>
        </w:tabs>
        <w:numPr>
          <w:ilvl w:val="1"/>
          <w:numId w:val="102"/>
        </w:numPr>
        <w:rPr>
          <w:rFonts w:ascii="Arial" w:cs="Arial" w:eastAsia="Arial" w:hAnsi="Arial"/>
          <w:sz w:val="19"/>
          <w:szCs w:val="19"/>
          <w:color w:val="010000"/>
        </w:rPr>
      </w:pPr>
      <w:r>
        <w:rPr>
          <w:rFonts w:ascii="Arial" w:cs="Arial" w:eastAsia="Arial" w:hAnsi="Arial"/>
          <w:sz w:val="19"/>
          <w:szCs w:val="19"/>
          <w:color w:val="auto"/>
        </w:rPr>
        <w:t>if at any time the representations and warranties contemplated by any underwriting agreement, securities sale agreement, or other similar agreement, relating to the offering shall cease to be true and correct in all material respects; and, if the notification relates to an event described in clause (v), the Company, subject to the provisions of</w:t>
      </w:r>
    </w:p>
    <w:p>
      <w:pPr>
        <w:spacing w:after="0" w:line="2" w:lineRule="exact"/>
        <w:rPr>
          <w:rFonts w:ascii="Arial" w:cs="Arial" w:eastAsia="Arial" w:hAnsi="Arial"/>
          <w:sz w:val="19"/>
          <w:szCs w:val="19"/>
          <w:color w:val="010000"/>
        </w:rPr>
      </w:pPr>
    </w:p>
    <w:p>
      <w:pPr>
        <w:ind w:right="40"/>
        <w:spacing w:after="0" w:line="212" w:lineRule="auto"/>
        <w:rPr>
          <w:rFonts w:ascii="Arial" w:cs="Arial" w:eastAsia="Arial" w:hAnsi="Arial"/>
          <w:sz w:val="19"/>
          <w:szCs w:val="19"/>
          <w:color w:val="010000"/>
        </w:rPr>
      </w:pPr>
      <w:r>
        <w:rPr>
          <w:rFonts w:ascii="Arial" w:cs="Arial" w:eastAsia="Arial" w:hAnsi="Arial"/>
          <w:sz w:val="22"/>
          <w:szCs w:val="22"/>
          <w:color w:val="auto"/>
        </w:rPr>
        <w:t>Section 2.1(c), promptly shall prepare and file with the SEC, and furnish to each seller and each underwriter, if any, a reasonable number of copies of, a prospectus supplemented or amended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80"/>
          </w:cols>
          <w:pgMar w:left="320" w:top="1440" w:right="399" w:bottom="1440" w:gutter="0" w:footer="0" w:header="0"/>
        </w:sectPr>
      </w:pPr>
    </w:p>
    <w:bookmarkStart w:id="124" w:name="page125"/>
    <w:bookmarkEnd w:id="124"/>
    <w:p>
      <w:pPr>
        <w:spacing w:after="0" w:line="177" w:lineRule="exact"/>
        <w:rPr>
          <w:sz w:val="20"/>
          <w:szCs w:val="20"/>
          <w:color w:val="auto"/>
        </w:rPr>
      </w:pPr>
    </w:p>
    <w:p>
      <w:pPr>
        <w:ind w:right="40" w:firstLine="1304"/>
        <w:spacing w:after="0" w:line="241" w:lineRule="auto"/>
        <w:tabs>
          <w:tab w:leader="none" w:pos="1728"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shall comply with all applicable rules and regulations of the SEC, and make generally available to its security holders, as soon as reasonably practicable after the effective date of the registration statement (and in any event within 90 days after the end of such 12 month period described hereafter), an earnings statement, which need not be audited, covering the period of at least 12 consecutive months beginning with the first day of the Company’s first calendar quarter after the effective date of the registration statement, which earnings statement shall satisfy the provisions of Section 11(a) of the Securities Act and</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Rule 158 thereunder;</w:t>
      </w:r>
    </w:p>
    <w:p>
      <w:pPr>
        <w:spacing w:after="0" w:line="161" w:lineRule="exact"/>
        <w:rPr>
          <w:rFonts w:ascii="Arial" w:cs="Arial" w:eastAsia="Arial" w:hAnsi="Arial"/>
          <w:sz w:val="19"/>
          <w:szCs w:val="19"/>
          <w:color w:val="010000"/>
        </w:rPr>
      </w:pPr>
    </w:p>
    <w:p>
      <w:pPr>
        <w:ind w:right="180" w:firstLine="1304"/>
        <w:spacing w:after="0" w:line="234" w:lineRule="auto"/>
        <w:tabs>
          <w:tab w:leader="none" w:pos="1764" w:val="left"/>
        </w:tabs>
        <w:numPr>
          <w:ilvl w:val="0"/>
          <w:numId w:val="103"/>
        </w:numPr>
        <w:rPr>
          <w:rFonts w:ascii="Arial" w:cs="Arial" w:eastAsia="Arial" w:hAnsi="Arial"/>
          <w:sz w:val="21"/>
          <w:szCs w:val="21"/>
          <w:color w:val="010000"/>
        </w:rPr>
      </w:pPr>
      <w:r>
        <w:rPr>
          <w:rFonts w:ascii="Arial" w:cs="Arial" w:eastAsia="Arial" w:hAnsi="Arial"/>
          <w:sz w:val="21"/>
          <w:szCs w:val="21"/>
          <w:color w:val="auto"/>
        </w:rPr>
        <w:t>shall use commercially reasonable efforts to cause all Registrable Securities covered by such registration statement to be authorized to be listed on a national securities exchange if shares of the particular class of Registrable Securities are at that time, or will be immediately following the offering, listed on such exchange;</w:t>
      </w:r>
    </w:p>
    <w:p>
      <w:pPr>
        <w:spacing w:after="0" w:line="157" w:lineRule="exact"/>
        <w:rPr>
          <w:rFonts w:ascii="Arial" w:cs="Arial" w:eastAsia="Arial" w:hAnsi="Arial"/>
          <w:sz w:val="21"/>
          <w:szCs w:val="21"/>
          <w:color w:val="010000"/>
        </w:rPr>
      </w:pPr>
    </w:p>
    <w:p>
      <w:pPr>
        <w:ind w:right="460" w:firstLine="1304"/>
        <w:spacing w:after="0" w:line="247" w:lineRule="auto"/>
        <w:tabs>
          <w:tab w:leader="none" w:pos="1764" w:val="left"/>
        </w:tabs>
        <w:numPr>
          <w:ilvl w:val="0"/>
          <w:numId w:val="103"/>
        </w:numPr>
        <w:rPr>
          <w:rFonts w:ascii="Arial" w:cs="Arial" w:eastAsia="Arial" w:hAnsi="Arial"/>
          <w:sz w:val="21"/>
          <w:szCs w:val="21"/>
          <w:color w:val="010000"/>
        </w:rPr>
      </w:pPr>
      <w:r>
        <w:rPr>
          <w:rFonts w:ascii="Arial" w:cs="Arial" w:eastAsia="Arial" w:hAnsi="Arial"/>
          <w:sz w:val="21"/>
          <w:szCs w:val="21"/>
          <w:color w:val="auto"/>
        </w:rPr>
        <w:t>shall provide and cause to be maintained a transfer agent and registrar for all such Registrable Securities covered by such registration statement not later than the effective date of such registration statement;</w:t>
      </w:r>
    </w:p>
    <w:p>
      <w:pPr>
        <w:spacing w:after="0" w:line="150" w:lineRule="exact"/>
        <w:rPr>
          <w:rFonts w:ascii="Arial" w:cs="Arial" w:eastAsia="Arial" w:hAnsi="Arial"/>
          <w:sz w:val="21"/>
          <w:szCs w:val="21"/>
          <w:color w:val="010000"/>
        </w:rPr>
      </w:pPr>
    </w:p>
    <w:p>
      <w:pPr>
        <w:ind w:firstLine="1304"/>
        <w:spacing w:after="0" w:line="214" w:lineRule="auto"/>
        <w:tabs>
          <w:tab w:leader="none" w:pos="1716"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shall enter into such customary agreements (including, if applicable, an underwriting agreement) and take such other actions as the Managing Holders shall reasonably request in order to expedite or facilitate the disposition of such Registrable Securities (it being understood that the Holders of the Registrable Securities that are to be distributed by any underwriters shall be parties to any such underwriting agreement and may, at their option, require that the Company make to and for the benefit of such Holders the representations, warranties and covenants of the Company which are being made to and for the benefit of such underwriters);</w:t>
      </w:r>
    </w:p>
    <w:p>
      <w:pPr>
        <w:spacing w:after="0" w:line="158" w:lineRule="exact"/>
        <w:rPr>
          <w:rFonts w:ascii="Arial" w:cs="Arial" w:eastAsia="Arial" w:hAnsi="Arial"/>
          <w:sz w:val="22"/>
          <w:szCs w:val="22"/>
          <w:color w:val="010000"/>
        </w:rPr>
      </w:pPr>
    </w:p>
    <w:p>
      <w:pPr>
        <w:ind w:right="560" w:firstLine="1304"/>
        <w:spacing w:after="0" w:line="229" w:lineRule="auto"/>
        <w:tabs>
          <w:tab w:leader="none" w:pos="1716" w:val="left"/>
        </w:tabs>
        <w:numPr>
          <w:ilvl w:val="0"/>
          <w:numId w:val="103"/>
        </w:numPr>
        <w:rPr>
          <w:rFonts w:ascii="Arial" w:cs="Arial" w:eastAsia="Arial" w:hAnsi="Arial"/>
          <w:sz w:val="21"/>
          <w:szCs w:val="21"/>
          <w:color w:val="010000"/>
        </w:rPr>
      </w:pPr>
      <w:r>
        <w:rPr>
          <w:rFonts w:ascii="Arial" w:cs="Arial" w:eastAsia="Arial" w:hAnsi="Arial"/>
          <w:sz w:val="21"/>
          <w:szCs w:val="21"/>
          <w:color w:val="auto"/>
        </w:rPr>
        <w:t>shall use commercially reasonable efforts to obtain an opinion from the Company’s counsel and a “cold comfort” letter from the Company’s independent public accountants in customary form and covering such matters as are customarily covered by such opinions and “cold comfort” letters delivered to underwriters in underwritten public offerings, which opinion and letter shall be reasonably satisfactory to the underwriter, if any;</w:t>
      </w:r>
    </w:p>
    <w:p>
      <w:pPr>
        <w:spacing w:after="0" w:line="158" w:lineRule="exact"/>
        <w:rPr>
          <w:rFonts w:ascii="Arial" w:cs="Arial" w:eastAsia="Arial" w:hAnsi="Arial"/>
          <w:sz w:val="21"/>
          <w:szCs w:val="21"/>
          <w:color w:val="010000"/>
        </w:rPr>
      </w:pPr>
    </w:p>
    <w:p>
      <w:pPr>
        <w:ind w:right="100" w:firstLine="1304"/>
        <w:spacing w:after="0" w:line="232" w:lineRule="auto"/>
        <w:tabs>
          <w:tab w:leader="none" w:pos="1764"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shall use commercially reasonable efforts to obtain the withdrawal of any order suspending the effectiveness of the registration statement;</w:t>
      </w:r>
    </w:p>
    <w:p>
      <w:pPr>
        <w:spacing w:after="0" w:line="158" w:lineRule="exact"/>
        <w:rPr>
          <w:rFonts w:ascii="Arial" w:cs="Arial" w:eastAsia="Arial" w:hAnsi="Arial"/>
          <w:sz w:val="22"/>
          <w:szCs w:val="22"/>
          <w:color w:val="010000"/>
        </w:rPr>
      </w:pPr>
    </w:p>
    <w:p>
      <w:pPr>
        <w:ind w:right="1000" w:firstLine="1304"/>
        <w:spacing w:after="0" w:line="232" w:lineRule="auto"/>
        <w:tabs>
          <w:tab w:leader="none" w:pos="1716"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shall provide a CUSIP number for all Registrable Securities, not later than the effective date of the registration statement;</w:t>
      </w:r>
    </w:p>
    <w:p>
      <w:pPr>
        <w:spacing w:after="0" w:line="158" w:lineRule="exact"/>
        <w:rPr>
          <w:rFonts w:ascii="Arial" w:cs="Arial" w:eastAsia="Arial" w:hAnsi="Arial"/>
          <w:sz w:val="22"/>
          <w:szCs w:val="22"/>
          <w:color w:val="010000"/>
        </w:rPr>
      </w:pPr>
    </w:p>
    <w:p>
      <w:pPr>
        <w:ind w:right="400" w:firstLine="1304"/>
        <w:spacing w:after="0" w:line="218" w:lineRule="auto"/>
        <w:tabs>
          <w:tab w:leader="none" w:pos="1824"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shall make reasonably available its employees and personnel for participation in “road shows” and other marketing efforts and otherwise provide reasonable assistance to the underwriters, taking into account the needs of the Company’s businesses and the requirements of the marketing process, in the marketing of Registrable Securities in any underwritten offering;</w:t>
      </w:r>
    </w:p>
    <w:p>
      <w:pPr>
        <w:spacing w:after="0" w:line="160" w:lineRule="exact"/>
        <w:rPr>
          <w:rFonts w:ascii="Arial" w:cs="Arial" w:eastAsia="Arial" w:hAnsi="Arial"/>
          <w:sz w:val="22"/>
          <w:szCs w:val="22"/>
          <w:color w:val="010000"/>
        </w:rPr>
      </w:pPr>
    </w:p>
    <w:p>
      <w:pPr>
        <w:ind w:right="100" w:firstLine="1304"/>
        <w:spacing w:after="0" w:line="252" w:lineRule="auto"/>
        <w:tabs>
          <w:tab w:leader="none" w:pos="1764"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shall promptly prior to the filing of any document that is to be incorporated by reference into the registration statement or the prospectus, and prior to the filing of any Issuer Free Writing Prospectus, provide copies of such document to counsel for the selling holders of Registrable Securities and to each managing underwriter, if any, and make the Company’s representatives reasonably available for discussion of such document and make such changes in such document concerning the selling holders prior to the filing thereof as counsel for such selling holders or underwriters may reasonably request;</w:t>
      </w:r>
    </w:p>
    <w:p>
      <w:pPr>
        <w:spacing w:after="0" w:line="148" w:lineRule="exact"/>
        <w:rPr>
          <w:rFonts w:ascii="Arial" w:cs="Arial" w:eastAsia="Arial" w:hAnsi="Arial"/>
          <w:sz w:val="19"/>
          <w:szCs w:val="19"/>
          <w:color w:val="010000"/>
        </w:rPr>
      </w:pPr>
    </w:p>
    <w:p>
      <w:pPr>
        <w:ind w:right="300" w:firstLine="1304"/>
        <w:spacing w:after="0" w:line="232" w:lineRule="auto"/>
        <w:tabs>
          <w:tab w:leader="none" w:pos="1764"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shall cooperate with the sellers of Registrable Securities and the managing underwriter, if any, to facilitate the timely preparation and delivery of certificates not bearing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7"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color w:val="auto"/>
        </w:rPr>
        <w:t>restrictive legends representing the Registrable Securities to be sold, and cause such Registrable Securities to be issued in such denominations and registered in such names in accordance with the underwriting agreement prior to any sale of Registrable Securities to the underwriters or, if not an underwritten offering, in accordance with the instructions of the sellers of Registrable Securities at least three Business Days prior to any sale of Registrable Securities and instruct any transfer agent and registrar of Registrable Securities to release any stop transfer orders in respect thereof;</w:t>
      </w:r>
    </w:p>
    <w:p>
      <w:pPr>
        <w:spacing w:after="0" w:line="149" w:lineRule="exact"/>
        <w:rPr>
          <w:sz w:val="20"/>
          <w:szCs w:val="20"/>
          <w:color w:val="auto"/>
        </w:rPr>
      </w:pPr>
    </w:p>
    <w:p>
      <w:pPr>
        <w:ind w:firstLine="1304"/>
        <w:spacing w:after="0" w:line="232" w:lineRule="auto"/>
        <w:tabs>
          <w:tab w:leader="none" w:pos="1764"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shall take all such other commercially reasonable actions as are necessary or advisable in order to expedite or facilitate the disposition of such Registrable Securities;</w:t>
      </w:r>
    </w:p>
    <w:p>
      <w:pPr>
        <w:spacing w:after="0" w:line="158" w:lineRule="exact"/>
        <w:rPr>
          <w:rFonts w:ascii="Arial" w:cs="Arial" w:eastAsia="Arial" w:hAnsi="Arial"/>
          <w:sz w:val="22"/>
          <w:szCs w:val="22"/>
          <w:color w:val="010000"/>
        </w:rPr>
      </w:pPr>
    </w:p>
    <w:p>
      <w:pPr>
        <w:ind w:right="180" w:firstLine="1304"/>
        <w:spacing w:after="0" w:line="223" w:lineRule="auto"/>
        <w:tabs>
          <w:tab w:leader="none" w:pos="1764"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 xml:space="preserve">shall not take any direct or indirect action prohibited by Regulation M under the Exchange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that any prohibition is applicable to the Company, the Company will take such action as is necessary to make any such prohibition inapplicable;</w:t>
      </w:r>
    </w:p>
    <w:p>
      <w:pPr>
        <w:spacing w:after="0" w:line="158" w:lineRule="exact"/>
        <w:rPr>
          <w:rFonts w:ascii="Arial" w:cs="Arial" w:eastAsia="Arial" w:hAnsi="Arial"/>
          <w:sz w:val="22"/>
          <w:szCs w:val="22"/>
          <w:color w:val="010000"/>
        </w:rPr>
      </w:pPr>
    </w:p>
    <w:p>
      <w:pPr>
        <w:jc w:val="both"/>
        <w:ind w:right="280" w:firstLine="1304"/>
        <w:spacing w:after="0" w:line="223" w:lineRule="auto"/>
        <w:tabs>
          <w:tab w:leader="none" w:pos="1728"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shall cooperate with each seller of Registrable Securities and each underwriter or agent participating in the disposition of such Registrable Securities and their respective counsel in connection with any filings required to be made with FINRA; and</w:t>
      </w:r>
    </w:p>
    <w:p>
      <w:pPr>
        <w:spacing w:after="0" w:line="158" w:lineRule="exact"/>
        <w:rPr>
          <w:rFonts w:ascii="Arial" w:cs="Arial" w:eastAsia="Arial" w:hAnsi="Arial"/>
          <w:sz w:val="22"/>
          <w:szCs w:val="22"/>
          <w:color w:val="010000"/>
        </w:rPr>
      </w:pPr>
    </w:p>
    <w:p>
      <w:pPr>
        <w:ind w:firstLine="1304"/>
        <w:spacing w:after="0" w:line="252" w:lineRule="auto"/>
        <w:tabs>
          <w:tab w:leader="none" w:pos="1740"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shall take all reasonable action to ensure that any Issuer Free Writing Prospectus utilized in connection with any registration covered by Section 2.1 or 2.2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w:t>
      </w:r>
    </w:p>
    <w:p>
      <w:pPr>
        <w:spacing w:after="0" w:line="149"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color w:val="auto"/>
        </w:rPr>
        <w:t>To the extent the Company is a well-known seasoned issuer as defined in Rule 405 under the Securities Act (a “</w:t>
      </w:r>
      <w:r>
        <w:rPr>
          <w:rFonts w:ascii="Arial" w:cs="Arial" w:eastAsia="Arial" w:hAnsi="Arial"/>
          <w:sz w:val="19"/>
          <w:szCs w:val="19"/>
          <w:u w:val="single" w:color="auto"/>
          <w:color w:val="auto"/>
        </w:rPr>
        <w:t>WKSI</w:t>
      </w:r>
      <w:r>
        <w:rPr>
          <w:rFonts w:ascii="Arial" w:cs="Arial" w:eastAsia="Arial" w:hAnsi="Arial"/>
          <w:sz w:val="19"/>
          <w:szCs w:val="19"/>
          <w:color w:val="auto"/>
        </w:rPr>
        <w:t>”) at the time any Demand Registration Request is submitted to the Company, and such Demand Registration Request requests that the Company file an automatic shelf registration statement as defined in Rule 405 under the Securities Act (an “</w:t>
      </w:r>
      <w:r>
        <w:rPr>
          <w:rFonts w:ascii="Arial" w:cs="Arial" w:eastAsia="Arial" w:hAnsi="Arial"/>
          <w:sz w:val="19"/>
          <w:szCs w:val="19"/>
          <w:u w:val="single" w:color="auto"/>
          <w:color w:val="auto"/>
        </w:rPr>
        <w:t>Automatic Shelf</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on Form S-3, the Company shall file an Automatic Shelf Registration Statement that covers those Registrable Securities that are requested to be registered. The Company shall use commercially reasonable efforts to remain a WKSI and not become an ineligible issuer (as defined in Rule 405 under the Securities Act) during the period during which such Automatic Shelf Registration Statement is required to remain effective. If the Company does not pay the filing fee covering the Registrable Securities at the time the Automatic Shelf Registration Statement is filed, the Company shall pay such fee at such time or times as the Registrable Securities are to be sold. If the Automatic Shelf Registration Statement has been outstanding for at least three years, at the end of the third year the Company shall refile a new Automatic Shelf Registration Statement covering the Registrable Securities. If at any time when the Company is required to re-evaluate its WKSI status, the Company determines that it is not a WKSI, the Company shall use commercially reasonable efforts to refile the shelf registration statement on Form S-3 and, if such form is not available, Form S-1 and keep such registration statement effective during the period during which such registration statement is required to be kept effective.</w:t>
      </w:r>
    </w:p>
    <w:p>
      <w:pPr>
        <w:spacing w:after="0" w:line="16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9"/>
          <w:szCs w:val="19"/>
          <w:color w:val="auto"/>
        </w:rPr>
        <w:t>If the Company files any shelf registration statement for the benefit of the holders of any of its securities other than the Holders, the Company shall include in such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registration statement at a later time through the filing of a prospectus supplement rather than a post-effective amendment.</w:t>
      </w:r>
    </w:p>
    <w:p>
      <w:pPr>
        <w:spacing w:after="0" w:line="214"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The Company may require as a condition precedent to the Company’s obligations under this Section 2.4 that each seller of Registrable Securities as to which any registration is being effected furnish the Company such information in writing regarding such seller and the distribution of such Registrable Securities as the Company from time to time reasonably may request; </w:t>
      </w:r>
      <w:r>
        <w:rPr>
          <w:rFonts w:ascii="Arial" w:cs="Arial" w:eastAsia="Arial" w:hAnsi="Arial"/>
          <w:sz w:val="22"/>
          <w:szCs w:val="22"/>
          <w:u w:val="single" w:color="auto"/>
          <w:color w:val="auto"/>
        </w:rPr>
        <w:t>provided</w:t>
      </w:r>
      <w:r>
        <w:rPr>
          <w:rFonts w:ascii="Arial" w:cs="Arial" w:eastAsia="Arial" w:hAnsi="Arial"/>
          <w:sz w:val="22"/>
          <w:szCs w:val="22"/>
          <w:color w:val="auto"/>
        </w:rPr>
        <w:t>, that such information is necessary for the Company to consummate such registration and shall be used only in connection with such registration.</w:t>
      </w:r>
    </w:p>
    <w:p>
      <w:pPr>
        <w:spacing w:after="0" w:line="158" w:lineRule="exact"/>
        <w:rPr>
          <w:sz w:val="20"/>
          <w:szCs w:val="20"/>
          <w:color w:val="auto"/>
        </w:rPr>
      </w:pPr>
    </w:p>
    <w:p>
      <w:pPr>
        <w:ind w:right="60" w:firstLine="648"/>
        <w:spacing w:after="0" w:line="212" w:lineRule="auto"/>
        <w:rPr>
          <w:sz w:val="20"/>
          <w:szCs w:val="20"/>
          <w:color w:val="auto"/>
        </w:rPr>
      </w:pPr>
      <w:r>
        <w:rPr>
          <w:rFonts w:ascii="Arial" w:cs="Arial" w:eastAsia="Arial" w:hAnsi="Arial"/>
          <w:sz w:val="22"/>
          <w:szCs w:val="22"/>
          <w:color w:val="auto"/>
        </w:rPr>
        <w:t>Each seller of Registrable Securities agrees that upon receipt of any notice from the Company under Section 2.4(e)(v), such seller will discontinue such seller’s disposition of Registrable Securities pursuant to the registration statement covering such Registrable Securities until such seller’s receipt of the copies of the supplemented or amended prospectus. In the event the Company shall give any such notice, the applicable period set forth in Section 2.4(b) shall be extended by the number of days during such period from and including the date of the giving of such notice to and including the date when each seller of any Registrable Securities covered by such registration statement shall have received the copies of the supplemented or amended prospectus.</w:t>
      </w:r>
    </w:p>
    <w:p>
      <w:pPr>
        <w:spacing w:after="0" w:line="164" w:lineRule="exact"/>
        <w:rPr>
          <w:sz w:val="20"/>
          <w:szCs w:val="20"/>
          <w:color w:val="auto"/>
        </w:rPr>
      </w:pPr>
    </w:p>
    <w:p>
      <w:pPr>
        <w:ind w:right="120" w:firstLine="648"/>
        <w:spacing w:after="0" w:line="246" w:lineRule="auto"/>
        <w:rPr>
          <w:sz w:val="20"/>
          <w:szCs w:val="20"/>
          <w:color w:val="auto"/>
        </w:rPr>
      </w:pPr>
      <w:r>
        <w:rPr>
          <w:rFonts w:ascii="Arial" w:cs="Arial" w:eastAsia="Arial" w:hAnsi="Arial"/>
          <w:sz w:val="19"/>
          <w:szCs w:val="19"/>
          <w:color w:val="auto"/>
        </w:rPr>
        <w:t>If any such registration statement or comparable statement under “blue sky” laws refers to any Holder by name or otherwise as the Holder of any securities of the Company, such Holder shall have the right to require (i) the insertion therein of language, in form and substance reasonably satisfactory to such Holder and the Company, to the effect that the holding by such Holder of such securities is not to be construed as a recommendation by such Holder of the investment quality of the Company’s securities covered thereby and that such holding does not imply that such Holder will assist in meeting any future financial requirements of the Company or (ii) in the event that such reference to such Holder by name or otherwise is not in the judgment of the Company, as advised by counsel, required by the Securities Act or any similar federal statute or any state “blue sky” or securities law then in force, the deletion of the reference to such Holder.</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2.5</w:t>
      </w:r>
      <w:r>
        <w:rPr>
          <w:sz w:val="20"/>
          <w:szCs w:val="20"/>
          <w:color w:val="auto"/>
        </w:rPr>
        <w:tab/>
      </w:r>
      <w:r>
        <w:rPr>
          <w:rFonts w:ascii="Arial" w:cs="Arial" w:eastAsia="Arial" w:hAnsi="Arial"/>
          <w:sz w:val="19"/>
          <w:szCs w:val="19"/>
          <w:u w:val="single" w:color="auto"/>
          <w:color w:val="auto"/>
        </w:rPr>
        <w:t>Registration Expenses</w:t>
      </w:r>
      <w:r>
        <w:rPr>
          <w:rFonts w:ascii="Arial" w:cs="Arial" w:eastAsia="Arial" w:hAnsi="Arial"/>
          <w:sz w:val="19"/>
          <w:szCs w:val="19"/>
          <w:color w:val="auto"/>
        </w:rPr>
        <w:t>.</w:t>
      </w:r>
    </w:p>
    <w:p>
      <w:pPr>
        <w:spacing w:after="0" w:line="179" w:lineRule="exact"/>
        <w:rPr>
          <w:sz w:val="20"/>
          <w:szCs w:val="20"/>
          <w:color w:val="auto"/>
        </w:rPr>
      </w:pPr>
    </w:p>
    <w:p>
      <w:pPr>
        <w:ind w:right="20" w:firstLine="1304"/>
        <w:spacing w:after="0" w:line="268" w:lineRule="auto"/>
        <w:tabs>
          <w:tab w:leader="none" w:pos="1752"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The Company shall pay all Registration Expenses (i) with respect to any Demand Registration whether or not it becomes effective or remains effective for the period contemplated by Section 2.4(b) and (ii) with respect to any registration effected under Section 2.2. The Holders shall pay all Selling Expenses in connection with any registration under this Agreement.</w:t>
      </w:r>
    </w:p>
    <w:p>
      <w:pPr>
        <w:spacing w:after="0" w:line="132" w:lineRule="exact"/>
        <w:rPr>
          <w:rFonts w:ascii="Arial" w:cs="Arial" w:eastAsia="Arial" w:hAnsi="Arial"/>
          <w:sz w:val="19"/>
          <w:szCs w:val="19"/>
          <w:color w:val="010000"/>
        </w:rPr>
      </w:pPr>
    </w:p>
    <w:p>
      <w:pPr>
        <w:ind w:right="200" w:firstLine="1304"/>
        <w:spacing w:after="0" w:line="249" w:lineRule="auto"/>
        <w:tabs>
          <w:tab w:leader="none" w:pos="1764"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Notwithstanding the foregoing, (i) the provisions of this Section 2.5 shall be deemed amended to the extent necessary to cause these expense provisions to comply with “blue sky” laws of each state in which the offering is made, (ii) in connection with any registration hereunder, each Holder of Registrable Securities being registered shall pay all underwriting discounts and commissions and any transfer taxes, if any, attributable to the sale of such Registrable Securities, pro rata with respect to payments of discounts and commissions in accordance with the number of shares sold in the offering by such Holder and (iii) the Company shall, in the case of all registrations under this Article II, be responsible for all its internal expenses.</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2.6</w:t>
      </w:r>
      <w:r>
        <w:rPr>
          <w:sz w:val="20"/>
          <w:szCs w:val="20"/>
          <w:color w:val="auto"/>
        </w:rPr>
        <w:tab/>
      </w:r>
      <w:r>
        <w:rPr>
          <w:rFonts w:ascii="Arial" w:cs="Arial" w:eastAsia="Arial" w:hAnsi="Arial"/>
          <w:sz w:val="19"/>
          <w:szCs w:val="19"/>
          <w:u w:val="single" w:color="auto"/>
          <w:color w:val="auto"/>
        </w:rPr>
        <w:t>Underwritten Offerings</w:t>
      </w:r>
      <w:r>
        <w:rPr>
          <w:rFonts w:ascii="Arial" w:cs="Arial" w:eastAsia="Arial" w:hAnsi="Arial"/>
          <w:sz w:val="19"/>
          <w:szCs w:val="19"/>
          <w:color w:val="auto"/>
        </w:rPr>
        <w:t>.</w:t>
      </w:r>
    </w:p>
    <w:p>
      <w:pPr>
        <w:spacing w:after="0" w:line="179" w:lineRule="exact"/>
        <w:rPr>
          <w:sz w:val="20"/>
          <w:szCs w:val="20"/>
          <w:color w:val="auto"/>
        </w:rPr>
      </w:pPr>
    </w:p>
    <w:p>
      <w:pPr>
        <w:ind w:right="620" w:firstLine="1304"/>
        <w:spacing w:after="0" w:line="232" w:lineRule="auto"/>
        <w:tabs>
          <w:tab w:leader="none" w:pos="1752"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If requested by the underwriters for any underwritten offering by the Holders pursuant to a registration requested under Section 2.1, the Company shall enter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7"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 xml:space="preserve">customary underwriting agreement with the underwriters. Such underwriting agreement shall be satisfactory in form and substance to the Managing Holders and shall contain such representations and warranties by, and such other agreements on the part of, the Company and such other terms as are generally prevailing in agreements of that type. Any Holder participating in the offering shall be a party to such underwriting agreement and, at its option, may require that any or all of the representations and warranties by, and the other agreements on the part of, the Company to and for the benefit of such underwriters also shall be made to and for the benefit of such Holder and that any or all of the conditions precedent to the obligations of such underwriters under such underwriting agreement be conditions precedent to the obligations of such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make any representations or warranties with respect to written information specifically provided by a selling Holder for inclusion in the registration statement. No Holder shall be required to make any representations or warranties to or agreements with the Company or the underwriters other than representations, warranties or agreements regarding such Holder, its ownership of and title to the Registrable Securities and its intended method of distribution; and any liability of such Holder to any underwriter or other Person under such underwriting agreement shall be limited to liability arising from breach of its representations and warranties and shall be limited to an amount equal to the proceeds (net of expenses and underwriting discounts and commissions) that it derives from such registration.</w:t>
      </w:r>
    </w:p>
    <w:p>
      <w:pPr>
        <w:spacing w:after="0" w:line="168" w:lineRule="exact"/>
        <w:rPr>
          <w:sz w:val="20"/>
          <w:szCs w:val="20"/>
          <w:color w:val="auto"/>
        </w:rPr>
      </w:pPr>
    </w:p>
    <w:p>
      <w:pPr>
        <w:ind w:firstLine="1304"/>
        <w:spacing w:after="0" w:line="219" w:lineRule="auto"/>
        <w:tabs>
          <w:tab w:leader="none" w:pos="1764" w:val="left"/>
        </w:tabs>
        <w:numPr>
          <w:ilvl w:val="0"/>
          <w:numId w:val="107"/>
        </w:numPr>
        <w:rPr>
          <w:rFonts w:ascii="Arial" w:cs="Arial" w:eastAsia="Arial" w:hAnsi="Arial"/>
          <w:sz w:val="21"/>
          <w:szCs w:val="21"/>
          <w:color w:val="010000"/>
        </w:rPr>
      </w:pPr>
      <w:r>
        <w:rPr>
          <w:rFonts w:ascii="Arial" w:cs="Arial" w:eastAsia="Arial" w:hAnsi="Arial"/>
          <w:sz w:val="21"/>
          <w:szCs w:val="21"/>
          <w:color w:val="auto"/>
        </w:rPr>
        <w:t>In the case of a registration pursuant to Section 2.2, if the Company shall have determined to enter into an underwriting agreement in connection therewith, any Registrable Securities to be included in such registration shall be subject to such underwriting agreement. Any Holder participating in such registration may, at its option, require that any or all of the representations and warranties by, and the other agreements on the part of, the Company to and for the benefit of such underwriters shall also be made to and for the benefit of such Holder and that any or all of the conditions precedent to the obligations of such underwriters under such underwriting agreement be conditions precedent to the obligations of such Holder. No Holder shall be required to make any representations or warranties to or agreements with the Company or the underwriters other than representations, warranties or agreements regarding such Holder, its ownership of and title to the Registrable Securities and its intended method of distribution; and any liability of such Holder to any underwriter or other Person under such underwriting agreement shall be limited to liability arising from breach of its representations and warranties and shall be limited to an amount equal to the proceeds (net of expenses and underwriting discounts and commissions) that it derives from such registration.</w:t>
      </w:r>
    </w:p>
    <w:p>
      <w:pPr>
        <w:spacing w:after="0" w:line="163" w:lineRule="exact"/>
        <w:rPr>
          <w:rFonts w:ascii="Arial" w:cs="Arial" w:eastAsia="Arial" w:hAnsi="Arial"/>
          <w:sz w:val="21"/>
          <w:szCs w:val="21"/>
          <w:color w:val="010000"/>
        </w:rPr>
      </w:pPr>
    </w:p>
    <w:p>
      <w:pPr>
        <w:ind w:right="220" w:firstLine="1304"/>
        <w:spacing w:after="0" w:line="247" w:lineRule="auto"/>
        <w:tabs>
          <w:tab w:leader="none" w:pos="1752"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In the case of any registration under Section 2.1 pursuant to an underwritten offering, or, in the case of a registration under Section 2.2, if the Company has determined to enter into an underwriting agreement in connection therewith, all securities to be included in such registration shall be subject to an underwriting agreement and no Person may participate in such registration unless such Person agrees to sell such Person’s securities on the basis provided therein and, subject to the provisions of this Section 2.6, completes and executes all reasonable questionnaires, and other documents, including custody agreements and powers of attorney, that must be executed in connection therewith, and provides such other information to the Company or the underwriter as may be necessary to register such Person’s securities.</w:t>
      </w:r>
    </w:p>
    <w:p>
      <w:pPr>
        <w:spacing w:after="0" w:line="15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2.7</w:t>
      </w:r>
      <w:r>
        <w:rPr>
          <w:sz w:val="20"/>
          <w:szCs w:val="20"/>
          <w:color w:val="auto"/>
        </w:rPr>
        <w:tab/>
      </w:r>
      <w:r>
        <w:rPr>
          <w:rFonts w:ascii="Arial" w:cs="Arial" w:eastAsia="Arial" w:hAnsi="Arial"/>
          <w:sz w:val="19"/>
          <w:szCs w:val="19"/>
          <w:u w:val="single" w:color="auto"/>
          <w:color w:val="auto"/>
        </w:rPr>
        <w:t>Holdback Agreements</w:t>
      </w:r>
      <w:r>
        <w:rPr>
          <w:rFonts w:ascii="Arial" w:cs="Arial" w:eastAsia="Arial" w:hAnsi="Arial"/>
          <w:sz w:val="19"/>
          <w:szCs w:val="19"/>
          <w:color w:val="auto"/>
        </w:rPr>
        <w:t>.</w:t>
      </w:r>
    </w:p>
    <w:p>
      <w:pPr>
        <w:spacing w:after="0" w:line="179" w:lineRule="exact"/>
        <w:rPr>
          <w:sz w:val="20"/>
          <w:szCs w:val="20"/>
          <w:color w:val="auto"/>
        </w:rPr>
      </w:pPr>
    </w:p>
    <w:p>
      <w:pPr>
        <w:jc w:val="both"/>
        <w:ind w:right="160" w:firstLine="1304"/>
        <w:spacing w:after="0" w:line="257" w:lineRule="auto"/>
        <w:tabs>
          <w:tab w:leader="none" w:pos="1752"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Each seller of Registrable Securities agrees, to the extent requested in writing by a managing underwriter, if any, of any registration effected pursuant to Section 2.1, not to sell, transfer or otherwise dispose of, including any sale pursuant to Rule 144 under the Securities Act, any Common Stock, or any other equity security of the Company or any security convertible into or exchangeable or exercisable for any equity security of the Company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7"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than as part of such underwritten public offering during the time period reasonably requested by the managing underwriter, not to exceed 180 days.</w:t>
      </w:r>
    </w:p>
    <w:p>
      <w:pPr>
        <w:spacing w:after="0" w:line="159" w:lineRule="exact"/>
        <w:rPr>
          <w:sz w:val="20"/>
          <w:szCs w:val="20"/>
          <w:color w:val="auto"/>
        </w:rPr>
      </w:pPr>
    </w:p>
    <w:p>
      <w:pPr>
        <w:ind w:right="160" w:firstLine="1304"/>
        <w:spacing w:after="0" w:line="221" w:lineRule="auto"/>
        <w:tabs>
          <w:tab w:leader="none" w:pos="1764" w:val="left"/>
        </w:tabs>
        <w:numPr>
          <w:ilvl w:val="0"/>
          <w:numId w:val="109"/>
        </w:numPr>
        <w:rPr>
          <w:rFonts w:ascii="Arial" w:cs="Arial" w:eastAsia="Arial" w:hAnsi="Arial"/>
          <w:sz w:val="21"/>
          <w:szCs w:val="21"/>
          <w:color w:val="010000"/>
        </w:rPr>
      </w:pPr>
      <w:r>
        <w:rPr>
          <w:rFonts w:ascii="Arial" w:cs="Arial" w:eastAsia="Arial" w:hAnsi="Arial"/>
          <w:sz w:val="21"/>
          <w:szCs w:val="21"/>
          <w:color w:val="auto"/>
        </w:rPr>
        <w:t>The Company agrees that, if it shall previously have received a request for registration pursuant to Section 2.1 or 2.2, and if such previous registration shall not have been withdrawn or abandoned, it shall not sell, transfer or otherwise dispose of any Common Stock, or any other equity security of the Company or any security convertible into or exchangeable or exercisable for any equity security of the Company (other than as part of such underwritten public offering, a registration on Form S-4 or Form S-8 or any successor or similar form which is then in effect or upon the conversion, exchange or exercise of any then outstanding Common Stock Equivalent), until a period of 180 days shall have elapsed from the effective date of such previous registration; and the Company shall so provide in any registration rights agreements hereafter entered into with respect to any of its securities.</w:t>
      </w:r>
    </w:p>
    <w:p>
      <w:pPr>
        <w:spacing w:after="0" w:line="165" w:lineRule="exact"/>
        <w:rPr>
          <w:sz w:val="20"/>
          <w:szCs w:val="20"/>
          <w:color w:val="auto"/>
        </w:rPr>
      </w:pPr>
    </w:p>
    <w:p>
      <w:pPr>
        <w:ind w:right="300" w:firstLine="648"/>
        <w:spacing w:after="0" w:line="247" w:lineRule="auto"/>
        <w:rPr>
          <w:sz w:val="20"/>
          <w:szCs w:val="20"/>
          <w:color w:val="auto"/>
        </w:rPr>
      </w:pPr>
      <w:r>
        <w:rPr>
          <w:rFonts w:ascii="Arial" w:cs="Arial" w:eastAsia="Arial" w:hAnsi="Arial"/>
          <w:sz w:val="21"/>
          <w:szCs w:val="21"/>
          <w:color w:val="010000"/>
        </w:rPr>
        <w:t xml:space="preserve">Section 2.8 </w:t>
      </w:r>
      <w:r>
        <w:rPr>
          <w:rFonts w:ascii="Arial" w:cs="Arial" w:eastAsia="Arial" w:hAnsi="Arial"/>
          <w:sz w:val="21"/>
          <w:szCs w:val="21"/>
          <w:u w:val="single" w:color="auto"/>
          <w:color w:val="000000"/>
        </w:rPr>
        <w:t>No Required Sale</w:t>
      </w:r>
      <w:r>
        <w:rPr>
          <w:rFonts w:ascii="Arial" w:cs="Arial" w:eastAsia="Arial" w:hAnsi="Arial"/>
          <w:sz w:val="21"/>
          <w:szCs w:val="21"/>
          <w:color w:val="000000"/>
        </w:rPr>
        <w:t>. Nothing in this Agreement shall be deemed to create an independent obligation on the</w:t>
      </w:r>
      <w:r>
        <w:rPr>
          <w:rFonts w:ascii="Arial" w:cs="Arial" w:eastAsia="Arial" w:hAnsi="Arial"/>
          <w:sz w:val="21"/>
          <w:szCs w:val="21"/>
          <w:color w:val="010000"/>
        </w:rPr>
        <w:t xml:space="preserve"> </w:t>
      </w:r>
      <w:r>
        <w:rPr>
          <w:rFonts w:ascii="Arial" w:cs="Arial" w:eastAsia="Arial" w:hAnsi="Arial"/>
          <w:sz w:val="21"/>
          <w:szCs w:val="21"/>
          <w:color w:val="000000"/>
        </w:rPr>
        <w:t>part of any Holder to sell any Registrable Securities pursuant to any effective registration statement.</w:t>
      </w:r>
    </w:p>
    <w:p>
      <w:pPr>
        <w:spacing w:after="0" w:line="15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2.9</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79" w:lineRule="exact"/>
        <w:rPr>
          <w:sz w:val="20"/>
          <w:szCs w:val="20"/>
          <w:color w:val="auto"/>
        </w:rPr>
      </w:pPr>
    </w:p>
    <w:p>
      <w:pPr>
        <w:ind w:firstLine="1304"/>
        <w:spacing w:after="0"/>
        <w:tabs>
          <w:tab w:leader="none" w:pos="1752"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In the event of any registration of any securities of the Company under the Securities Act pursuant to this Article II, the Company will, and hereby agrees to, indemnify and hold harmless, to the fullest extent permitted by law, each Holder of Registrable Securities, its directors, officers, fiduciaries, employees, agents, affiliates, consultants, representatives, general and limited partners, stockholders, successors, assigns (and the directors, officers, employees and stockholders thereof), each underwriter (as defined in the Securities Act), manager or other Person who participates in the offering of such securities, and each other Person, if any, who controls within the meaning of the Securities Act such Holder, underwriter, manager or participating Person, from and against any and all losses, claims, damages or liabilities, joint or several, actions or proceedings (whether commenced or threatened) and expenses (including reasonable fees of counsel and any amounts paid in any settlement effected with the Company’s consent, which consent shall not be unreasonably withheld or delayed) to which each such indemnified party may become subject under the Securities Act or otherwise in respect thereof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that arise out of or are based upon (i) any untrue statement or alleged untrue statement of a material fact contained in any registration statement under which such securities were registered under the Securities Act or the omission or alleged omission to state therein a material fact required to be stated therein or necessary to make the statements therein not misleading or (ii) any untrue statement or alleged untrue statement of a material fact contained in any preliminary, final or summary prospectus or any amendment or supplement thereto, together with the documents incorporated by reference therein, or any Issuer Free Writing Prospectus utilized in connection therewith, or the omission or alleged omission to state therein a material fact necessary in order to make the statements therein, in the light of the circumstances under which they were made, not misleading, and the Company will reimburse any such indemnified party for any legal or other expenses reasonably incurred by such indemnified party in connection with investigating or defending any such Loss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liable to any such indemnified party in any such case to the extent such Loss arises out of or is based upon any untrue statement or alleged untrue statement of a material fact or omission or alleged omission of a material fact made in such registration statement or amendment thereof or supplement thereto or in any such prospectus or any preliminary, final or summary prospectus or Issuer Free Writing Prospectus in reliance upon and in conformity with written information furnished to the Company by or on behalf of such indemnified party specifically for use therein. Such indemnity and reimbursement of expenses shall remain in full force and effect regardless of any investigation made by or on behalf of such indemnified party and shall survive the transfer of such securities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77" w:lineRule="exact"/>
        <w:rPr>
          <w:sz w:val="20"/>
          <w:szCs w:val="20"/>
          <w:color w:val="auto"/>
        </w:rPr>
      </w:pPr>
    </w:p>
    <w:p>
      <w:pPr>
        <w:ind w:left="-220" w:right="60" w:firstLine="1304"/>
        <w:spacing w:after="0"/>
        <w:tabs>
          <w:tab w:leader="none" w:pos="1544" w:val="left"/>
        </w:tabs>
        <w:numPr>
          <w:ilvl w:val="0"/>
          <w:numId w:val="111"/>
        </w:numPr>
        <w:rPr>
          <w:rFonts w:ascii="Arial" w:cs="Arial" w:eastAsia="Arial" w:hAnsi="Arial"/>
          <w:sz w:val="19"/>
          <w:szCs w:val="19"/>
          <w:color w:val="010000"/>
        </w:rPr>
      </w:pPr>
      <w:r>
        <w:rPr>
          <w:rFonts w:ascii="Arial" w:cs="Arial" w:eastAsia="Arial" w:hAnsi="Arial"/>
          <w:sz w:val="19"/>
          <w:szCs w:val="19"/>
          <w:color w:val="auto"/>
        </w:rPr>
        <w:t xml:space="preserve">In connection with any registration in which a holder of Registrable Securities is participating, each such holder shall furnish to the Company in writing such information as the Company reasonably requests for use in connection with any such Registration Statement or Prospectus. Each Holder of Registrable Securities that are included in the securities as to which any registration under Section 2.1 or 2.2 is being effected shall, severally and not jointly, indemnify and hold harmless (in the same manner and to the same extent as set forth in paragraph (a) of this Section 2.9) to the extent permitted by law the Company, its officers and directors, each Person controlling the Company within the meaning of the Securities Act and all other prospective sellers and their respective directors, officers, fiduciaries, employees, agents, affiliates, consultants, representatives, general and limited partners, stockholders, successors, assigns and respective controlling Persons with respect to any untrue statement or alleged untrue statement of any material fact in, or omission or alleged omission of any material fact from, such registration statement, any preliminary, final or summary prospectus contained therein, or any amendment or supplement thereto, or any Issuer Free Writing Prospectus utilized in connection therewith, if such statement or alleged statement or omission or alleged omission was made in reliance upon and in conformity with written information furnished to the Company or its representatives by or on behalf of such Holder specifically for use therein and reimburse such indemnified party for any legal or other expenses reasonably incurred in connection with investigating or defending any such Loss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aggregate amount that any such Holder shall be required to pay pursuant to this Section 2.9(b) and Sections 2.9(c), (e) and (f) shall in no case be greater than the amount of the net proceeds received by such Holder upon the sale of the Registrable Securities pursuant to the registration statement giving rise to such claim. Such indemnity and reimbursement of expenses shall remain in full force and effect regardless of any investigation made by or on behalf of such indemnified party and shall survive the transfer of such securities by such Holder.</w:t>
      </w:r>
    </w:p>
    <w:p>
      <w:pPr>
        <w:spacing w:after="0" w:line="168" w:lineRule="exact"/>
        <w:rPr>
          <w:rFonts w:ascii="Arial" w:cs="Arial" w:eastAsia="Arial" w:hAnsi="Arial"/>
          <w:sz w:val="19"/>
          <w:szCs w:val="19"/>
          <w:color w:val="010000"/>
        </w:rPr>
      </w:pPr>
    </w:p>
    <w:p>
      <w:pPr>
        <w:ind w:left="-220" w:firstLine="1304"/>
        <w:spacing w:after="0"/>
        <w:tabs>
          <w:tab w:leader="none" w:pos="1532" w:val="left"/>
        </w:tabs>
        <w:numPr>
          <w:ilvl w:val="0"/>
          <w:numId w:val="111"/>
        </w:numPr>
        <w:rPr>
          <w:rFonts w:ascii="Arial" w:cs="Arial" w:eastAsia="Arial" w:hAnsi="Arial"/>
          <w:sz w:val="19"/>
          <w:szCs w:val="19"/>
          <w:color w:val="010000"/>
        </w:rPr>
      </w:pPr>
      <w:r>
        <w:rPr>
          <w:rFonts w:ascii="Arial" w:cs="Arial" w:eastAsia="Arial" w:hAnsi="Arial"/>
          <w:sz w:val="19"/>
          <w:szCs w:val="19"/>
          <w:color w:val="auto"/>
        </w:rPr>
        <w:t xml:space="preserve">Any Person entitled to indemnification under this Agreement promptly shall notify the indemnifying party in writing of the commencement of any action or proceeding with respect to which a claim for indemnification may be made pursuant to this Section 2.9, but the failure of any such Person to provide such notice shall not relieve the indemnifying party of its obligations under the preceding paragraphs of this Section 2.9, except to the extent the indemnifying party is materially prejudiced thereby and shall not relieve the indemnifying party from any liability that it may have to any such Person otherwise than under this Article II. In case any action or proceeding is brought against an indemnified party and it shall notify the indemnifying party of the commencement thereof, the indemnifying party shall be entitled to participate therein and, unless in the reasonable opinion of outside counsel to the indemnified party a conflict of interest between such indemnified and indemnifying parties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 shall not be liable to such indemnified party for any legal or other expenses subsequently incurred by such indemnified party in connection with the defense thereof other than reasonable costs of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the indemnifying party fails to take reasonable steps necessary to defend diligently the action or proceeding within 20 days after receiving notice from such indemnified party, (ii) if such indemnified party who is a defendant in any action or proceeding that is also brought against the indemnifying party reasonably shall have concluded that there may be one or more legal defenses available to such indemnified party that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firm of counsel for all indemnified parties in each jurisdiction, except to the extent any indemnified party or parties reasonably shall have concluded that there may be legal defenses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00"/>
          </w:cols>
          <w:pgMar w:left="540" w:top="1440" w:right="359" w:bottom="1440" w:gutter="0" w:footer="0" w:header="0"/>
        </w:sectPr>
      </w:pPr>
    </w:p>
    <w:bookmarkStart w:id="130" w:name="page131"/>
    <w:bookmarkEnd w:id="130"/>
    <w:p>
      <w:pPr>
        <w:spacing w:after="0" w:line="177" w:lineRule="exact"/>
        <w:rPr>
          <w:sz w:val="20"/>
          <w:szCs w:val="20"/>
          <w:color w:val="auto"/>
        </w:rPr>
      </w:pPr>
    </w:p>
    <w:p>
      <w:pPr>
        <w:ind w:right="60"/>
        <w:spacing w:after="0" w:line="221" w:lineRule="auto"/>
        <w:rPr>
          <w:sz w:val="20"/>
          <w:szCs w:val="20"/>
          <w:color w:val="auto"/>
        </w:rPr>
      </w:pPr>
      <w:r>
        <w:rPr>
          <w:rFonts w:ascii="Arial" w:cs="Arial" w:eastAsia="Arial" w:hAnsi="Arial"/>
          <w:sz w:val="21"/>
          <w:szCs w:val="21"/>
          <w:color w:val="auto"/>
        </w:rPr>
        <w:t>available to such party or parties that are not available to the other indemnified parties or to the extent representation of all indemnified parties by the same counsel is otherwise inappropriate under applicable standards of professional conduct) and the indemnifying party shall be liable for any expenses therefor. Without the written consent of the indemnified party, which consent shall not be unreasonably withheld, no indemnifying party shall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59" w:lineRule="exact"/>
        <w:rPr>
          <w:sz w:val="20"/>
          <w:szCs w:val="20"/>
          <w:color w:val="auto"/>
        </w:rPr>
      </w:pPr>
    </w:p>
    <w:p>
      <w:pPr>
        <w:ind w:firstLine="1304"/>
        <w:spacing w:after="0"/>
        <w:tabs>
          <w:tab w:leader="none" w:pos="1764"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If for any reason the foregoing indemnity is unavailable or is insufficient to hold harmless an indemnified party under Section 2.9(a), (b) or (c), then each indemnifying party shall contribute to the amount paid or payable by such indemnified party as a result of any Loss in such proportion as is appropriate to reflect the relative fault of the indemnifying party, on the one hand, and the indemnified party, on the other hand, with respect to such offering of securities.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If, however, the allocation provided in the second preceding sentence is not permitted by applicable law, then each indemnifying party shall contribute to the amount paid or payable by such indemnified party in such proportion as is appropriate to reflect not only such relative faults but also the relative benefits of the indemnifying party and the indemnified party as well as any other relevant equitable considerations. The parties hereto agree that it would not be just and equitable if contributions pursuant to this Section 2.9(d) were to be determined by pro rata allocation or by any other method of allocation which does not take account of the equitable considerations referred to in the preceding sentences of this Section 2.9(d). The amount paid or payable in respect of any Loss shall be deemed to include any legal or other expenses reasonably incurred by such indemnified party in connection with investigating or defending any such Loss. No Person guilty of fraudulent misrepresentation within the meaning of Section 11(f) of the Securities Act shall be entitled to contribution from any Person who was not guilty of such fraudulent misrepresentation. Notwithstanding anything in this Section 2.9(d) to the contrary, no indemnifying party other than the Company shall be required pursuant to this section 2.9(d) to contribute any amount in excess of the net proceeds received by such indemnifying party from the sale of Registrable Securities in the offering to which the losses, claims, damages or liabilities of the indemnified parties relate, less the amount of any indemnification payment made by such indemnifying party pursuant to Sections 2.9(b) and (c).</w:t>
      </w:r>
    </w:p>
    <w:p>
      <w:pPr>
        <w:spacing w:after="0" w:line="382" w:lineRule="exact"/>
        <w:rPr>
          <w:rFonts w:ascii="Arial" w:cs="Arial" w:eastAsia="Arial" w:hAnsi="Arial"/>
          <w:sz w:val="19"/>
          <w:szCs w:val="19"/>
          <w:color w:val="010000"/>
        </w:rPr>
      </w:pPr>
    </w:p>
    <w:p>
      <w:pPr>
        <w:ind w:right="20" w:firstLine="1304"/>
        <w:spacing w:after="0" w:line="218" w:lineRule="auto"/>
        <w:tabs>
          <w:tab w:leader="none" w:pos="1752"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The indemnity and contribution agreements contained herein shall be in addition to any other rights to indemnification or contribution which any indemnified party may have pursuant to law or contract and shall remain operative and in full force and effect regardless of any investigation made or omitted by or on behalf of any indemnified party and shall survive the transfer of the Registrable Securities by any such party.</w:t>
      </w:r>
    </w:p>
    <w:p>
      <w:pPr>
        <w:spacing w:after="0" w:line="160" w:lineRule="exact"/>
        <w:rPr>
          <w:rFonts w:ascii="Arial" w:cs="Arial" w:eastAsia="Arial" w:hAnsi="Arial"/>
          <w:sz w:val="22"/>
          <w:szCs w:val="22"/>
          <w:color w:val="010000"/>
        </w:rPr>
      </w:pPr>
    </w:p>
    <w:p>
      <w:pPr>
        <w:ind w:right="120" w:firstLine="1304"/>
        <w:spacing w:after="0" w:line="223" w:lineRule="auto"/>
        <w:tabs>
          <w:tab w:leader="none" w:pos="1728"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The indemnification and contribution required by this Section 2.9 shall be made by periodic payments of the amount thereof during the course of the investigation or defense, as and when bills are received or expense, loss, damage or liability is incurred</w:t>
      </w:r>
    </w:p>
    <w:p>
      <w:pPr>
        <w:spacing w:after="0" w:line="159" w:lineRule="exact"/>
        <w:rPr>
          <w:sz w:val="20"/>
          <w:szCs w:val="20"/>
          <w:color w:val="auto"/>
        </w:rPr>
      </w:pPr>
    </w:p>
    <w:p>
      <w:pPr>
        <w:ind w:right="480" w:firstLine="648"/>
        <w:spacing w:after="0" w:line="232" w:lineRule="auto"/>
        <w:rPr>
          <w:sz w:val="20"/>
          <w:szCs w:val="20"/>
          <w:color w:val="auto"/>
        </w:rPr>
      </w:pPr>
      <w:r>
        <w:rPr>
          <w:rFonts w:ascii="Arial" w:cs="Arial" w:eastAsia="Arial" w:hAnsi="Arial"/>
          <w:sz w:val="22"/>
          <w:szCs w:val="22"/>
          <w:color w:val="010000"/>
        </w:rPr>
        <w:t xml:space="preserve">Section 2.10 </w:t>
      </w:r>
      <w:r>
        <w:rPr>
          <w:rFonts w:ascii="Arial" w:cs="Arial" w:eastAsia="Arial" w:hAnsi="Arial"/>
          <w:sz w:val="22"/>
          <w:szCs w:val="22"/>
          <w:u w:val="single" w:color="auto"/>
          <w:color w:val="000000"/>
        </w:rPr>
        <w:t>Trading Limitations</w:t>
      </w:r>
      <w:r>
        <w:rPr>
          <w:rFonts w:ascii="Arial" w:cs="Arial" w:eastAsia="Arial" w:hAnsi="Arial"/>
          <w:sz w:val="22"/>
          <w:szCs w:val="22"/>
          <w:color w:val="000000"/>
        </w:rPr>
        <w:t>. Notwithstanding anything to the contrary in this Agreement, sales by any Holder</w:t>
      </w:r>
      <w:r>
        <w:rPr>
          <w:rFonts w:ascii="Arial" w:cs="Arial" w:eastAsia="Arial" w:hAnsi="Arial"/>
          <w:sz w:val="22"/>
          <w:szCs w:val="22"/>
          <w:color w:val="010000"/>
        </w:rPr>
        <w:t xml:space="preserve"> </w:t>
      </w:r>
      <w:r>
        <w:rPr>
          <w:rFonts w:ascii="Arial" w:cs="Arial" w:eastAsia="Arial" w:hAnsi="Arial"/>
          <w:sz w:val="22"/>
          <w:szCs w:val="22"/>
          <w:color w:val="000000"/>
        </w:rPr>
        <w:t>(together with its Affiliates) of Registrable Securities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7" w:lineRule="exact"/>
        <w:rPr>
          <w:sz w:val="20"/>
          <w:szCs w:val="20"/>
          <w:color w:val="auto"/>
        </w:rPr>
      </w:pPr>
    </w:p>
    <w:p>
      <w:pPr>
        <w:ind w:right="360"/>
        <w:spacing w:after="0" w:line="229" w:lineRule="auto"/>
        <w:rPr>
          <w:sz w:val="20"/>
          <w:szCs w:val="20"/>
          <w:color w:val="auto"/>
        </w:rPr>
      </w:pPr>
      <w:r>
        <w:rPr>
          <w:rFonts w:ascii="Arial" w:cs="Arial" w:eastAsia="Arial" w:hAnsi="Arial"/>
          <w:sz w:val="21"/>
          <w:szCs w:val="21"/>
          <w:color w:val="auto"/>
        </w:rPr>
        <w:t xml:space="preserve">to registrations under this Agreement on any single trading day shall be limited in the aggregate to a number of shares of Common Stock that does not exceed 20% of the average daily trading volume of the Common Stock on the Nasdaq Stock Exchange over the preceding 20 consecutive trading day period;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foregoing limitation shall not apply to any underwritten offering or any privately negotiated block trades by a Holder.</w:t>
      </w:r>
    </w:p>
    <w:p>
      <w:pPr>
        <w:spacing w:after="0" w:line="158" w:lineRule="exact"/>
        <w:rPr>
          <w:sz w:val="20"/>
          <w:szCs w:val="20"/>
          <w:color w:val="auto"/>
        </w:rPr>
      </w:pPr>
    </w:p>
    <w:p>
      <w:pPr>
        <w:ind w:right="220" w:firstLine="648"/>
        <w:spacing w:after="0" w:line="242" w:lineRule="auto"/>
        <w:rPr>
          <w:sz w:val="20"/>
          <w:szCs w:val="20"/>
          <w:color w:val="auto"/>
        </w:rPr>
      </w:pPr>
      <w:r>
        <w:rPr>
          <w:rFonts w:ascii="Arial" w:cs="Arial" w:eastAsia="Arial" w:hAnsi="Arial"/>
          <w:sz w:val="19"/>
          <w:szCs w:val="19"/>
          <w:color w:val="010000"/>
        </w:rPr>
        <w:t xml:space="preserve">Section 2.11 </w:t>
      </w:r>
      <w:r>
        <w:rPr>
          <w:rFonts w:ascii="Arial" w:cs="Arial" w:eastAsia="Arial" w:hAnsi="Arial"/>
          <w:sz w:val="19"/>
          <w:szCs w:val="19"/>
          <w:u w:val="single" w:color="auto"/>
          <w:color w:val="000000"/>
        </w:rPr>
        <w:t>Restrictions on Registration Rights</w:t>
      </w:r>
      <w:r>
        <w:rPr>
          <w:rFonts w:ascii="Arial" w:cs="Arial" w:eastAsia="Arial" w:hAnsi="Arial"/>
          <w:sz w:val="19"/>
          <w:szCs w:val="19"/>
          <w:color w:val="000000"/>
        </w:rPr>
        <w:t>. If (a) during the period starting with the date 30 days prior to the</w:t>
      </w:r>
      <w:r>
        <w:rPr>
          <w:rFonts w:ascii="Arial" w:cs="Arial" w:eastAsia="Arial" w:hAnsi="Arial"/>
          <w:sz w:val="19"/>
          <w:szCs w:val="19"/>
          <w:color w:val="010000"/>
        </w:rPr>
        <w:t xml:space="preserve"> </w:t>
      </w:r>
      <w:r>
        <w:rPr>
          <w:rFonts w:ascii="Arial" w:cs="Arial" w:eastAsia="Arial" w:hAnsi="Arial"/>
          <w:sz w:val="19"/>
          <w:szCs w:val="19"/>
          <w:color w:val="000000"/>
        </w:rPr>
        <w:t>Company’s good faith estimate of the date of the filing of, and ending on a date 45 days after the effective date of, a Company-initiated registration of Common Stock for which Holders would have the right to piggyback pursuant to Section 2.2(a), and provided that the Company has delivered written notice to the Holders prior to receipt of a Demand Registration pursuant</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to Section 2.1, complied with its obligations under Section 2.2 and continues to actively employ, in good faith, all reasonable efforts to cause the applicable Registration Statement to become effective as promptly as possible; or (b) the Holders have requested an underwritten registration and the Company and the Holders are unable to obtain the commitment of underwriters to firmly underwrite the offer; or (c) in the good-faith judgment of the board of directors of the Company such registration would be seriously detrimental to the Company and the board of directors concludes as a result that it is essential to defer the filing of such Registration Statement at such time, then in each case the Company shall furnish to such Holders a certificate signed by the Chairman of the Board stating that in the good-faith judgment of the board of directors it would be seriously detrimental to the Company for such Registration Statement to be filed and that it is therefore essential to defer the filing of such Registration Statement. In such event, the Company shall have the right to defer such filing for a period of not more than</w:t>
      </w:r>
    </w:p>
    <w:p>
      <w:pPr>
        <w:spacing w:after="0" w:line="2" w:lineRule="exact"/>
        <w:rPr>
          <w:sz w:val="20"/>
          <w:szCs w:val="20"/>
          <w:color w:val="auto"/>
        </w:rPr>
      </w:pPr>
    </w:p>
    <w:p>
      <w:pPr>
        <w:ind w:right="520"/>
        <w:spacing w:after="0" w:line="224" w:lineRule="auto"/>
        <w:rPr>
          <w:sz w:val="20"/>
          <w:szCs w:val="20"/>
          <w:color w:val="auto"/>
        </w:rPr>
      </w:pPr>
      <w:r>
        <w:rPr>
          <w:rFonts w:ascii="Arial" w:cs="Arial" w:eastAsia="Arial" w:hAnsi="Arial"/>
          <w:sz w:val="22"/>
          <w:szCs w:val="22"/>
          <w:color w:val="auto"/>
        </w:rPr>
        <w:t>30 days; provided, however, that the Company shall not defer its obligation in this manner more than once in any 12-month period.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III</w:t>
      </w:r>
    </w:p>
    <w:p>
      <w:pPr>
        <w:jc w:val="center"/>
        <w:ind w:right="-39"/>
        <w:spacing w:after="0"/>
        <w:rPr>
          <w:sz w:val="20"/>
          <w:szCs w:val="20"/>
          <w:color w:val="auto"/>
        </w:rPr>
      </w:pPr>
      <w:r>
        <w:rPr>
          <w:rFonts w:ascii="Arial" w:cs="Arial" w:eastAsia="Arial" w:hAnsi="Arial"/>
          <w:sz w:val="22"/>
          <w:szCs w:val="22"/>
          <w:b w:val="1"/>
          <w:bCs w:val="1"/>
          <w:color w:val="auto"/>
        </w:rPr>
        <w:t>GENERAL</w:t>
      </w:r>
    </w:p>
    <w:p>
      <w:pPr>
        <w:spacing w:after="0" w:line="161"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010000"/>
        </w:rPr>
        <w:t xml:space="preserve">Section 3.1 </w:t>
      </w:r>
      <w:r>
        <w:rPr>
          <w:rFonts w:ascii="Arial" w:cs="Arial" w:eastAsia="Arial" w:hAnsi="Arial"/>
          <w:sz w:val="19"/>
          <w:szCs w:val="19"/>
          <w:u w:val="single" w:color="auto"/>
          <w:color w:val="000000"/>
        </w:rPr>
        <w:t>Adjustments Affecting Registrable Securities</w:t>
      </w:r>
      <w:r>
        <w:rPr>
          <w:rFonts w:ascii="Arial" w:cs="Arial" w:eastAsia="Arial" w:hAnsi="Arial"/>
          <w:sz w:val="19"/>
          <w:szCs w:val="19"/>
          <w:color w:val="000000"/>
        </w:rPr>
        <w:t>. The Company shall not effect or permit to occur any</w:t>
      </w:r>
      <w:r>
        <w:rPr>
          <w:rFonts w:ascii="Arial" w:cs="Arial" w:eastAsia="Arial" w:hAnsi="Arial"/>
          <w:sz w:val="19"/>
          <w:szCs w:val="19"/>
          <w:color w:val="010000"/>
        </w:rPr>
        <w:t xml:space="preserve"> </w:t>
      </w:r>
      <w:r>
        <w:rPr>
          <w:rFonts w:ascii="Arial" w:cs="Arial" w:eastAsia="Arial" w:hAnsi="Arial"/>
          <w:sz w:val="19"/>
          <w:szCs w:val="19"/>
          <w:color w:val="000000"/>
        </w:rPr>
        <w:t>combination or subdivision of shares of Common Stock that would adversely affect the ability of any Holder of any Registrable Securities to include such Registrable Securities in any registration contemplated by this Agreement or the marketability of such Registrable Securities in any such registration. The Company will take all reasonable steps necessary to effect a subdivision of shares if in the reasonable judgment of (a) the Managing Holders or (b) the managing underwriter for the offering in respect of such Demand Registration Request, such subdivision would enhance the marketability of the Registrable Securities. Each Holder shall vote all of its shares of capital stock in a manner, and to take all other actions necessary, to permit the Company to carry out the intent of the preceding sentence including, without limitation, voting in favor of an amendment to the Company’s certificate of incorporation in order to increase the number of authorized shares of capital stock of the Company.</w:t>
      </w:r>
    </w:p>
    <w:p>
      <w:pPr>
        <w:spacing w:after="0" w:line="161"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010000"/>
        </w:rPr>
        <w:t xml:space="preserve">Section 3.2 </w:t>
      </w:r>
      <w:r>
        <w:rPr>
          <w:rFonts w:ascii="Arial" w:cs="Arial" w:eastAsia="Arial" w:hAnsi="Arial"/>
          <w:sz w:val="21"/>
          <w:szCs w:val="21"/>
          <w:u w:val="single" w:color="auto"/>
          <w:color w:val="000000"/>
        </w:rPr>
        <w:t>Rule 144</w:t>
      </w:r>
      <w:r>
        <w:rPr>
          <w:rFonts w:ascii="Arial" w:cs="Arial" w:eastAsia="Arial" w:hAnsi="Arial"/>
          <w:sz w:val="21"/>
          <w:szCs w:val="21"/>
          <w:color w:val="000000"/>
        </w:rPr>
        <w:t>. The Company covenants that (a) it will timely file the reports required to be filed by it under the</w:t>
      </w:r>
      <w:r>
        <w:rPr>
          <w:rFonts w:ascii="Arial" w:cs="Arial" w:eastAsia="Arial" w:hAnsi="Arial"/>
          <w:sz w:val="21"/>
          <w:szCs w:val="21"/>
          <w:color w:val="010000"/>
        </w:rPr>
        <w:t xml:space="preserve"> </w:t>
      </w:r>
      <w:r>
        <w:rPr>
          <w:rFonts w:ascii="Arial" w:cs="Arial" w:eastAsia="Arial" w:hAnsi="Arial"/>
          <w:sz w:val="21"/>
          <w:szCs w:val="21"/>
          <w:color w:val="000000"/>
        </w:rPr>
        <w:t>Securities Act or the Exchange Act or, if it is not required to file such reports, upon the request of any Holder it shall make publicly available other information so long as necessary to permit sales of such Registrable Securities in compliance with Rule 144 under the Securities Act and (b) it will take such further action as any Holder of Registrable Securities reasonably may request, all to the extent required from time to time to enable such Holder to sell Registrable Securities without registration under the Securities Act within the limitation of the exemptions provided by (i) Rule 144 under the Securities Act, as such Rule may be amended from time to time, or (ii) any similar rule or regulation hereafter adopted by the SEC. Upon the request of any Holder of Registrable Securities, the Company will deliver to such Holder a written statement as to whether it has complied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177"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010000"/>
        </w:rPr>
        <w:t xml:space="preserve">Section 3.3 </w:t>
      </w:r>
      <w:r>
        <w:rPr>
          <w:rFonts w:ascii="Arial" w:cs="Arial" w:eastAsia="Arial" w:hAnsi="Arial"/>
          <w:sz w:val="21"/>
          <w:szCs w:val="21"/>
          <w:u w:val="single" w:color="auto"/>
          <w:color w:val="000000"/>
        </w:rPr>
        <w:t>Nominees for Beneficial Owners</w:t>
      </w:r>
      <w:r>
        <w:rPr>
          <w:rFonts w:ascii="Arial" w:cs="Arial" w:eastAsia="Arial" w:hAnsi="Arial"/>
          <w:sz w:val="21"/>
          <w:szCs w:val="21"/>
          <w:color w:val="000000"/>
        </w:rPr>
        <w:t>. If Registrable Securities are held by a nominee for the beneficial owner</w:t>
      </w:r>
      <w:r>
        <w:rPr>
          <w:rFonts w:ascii="Arial" w:cs="Arial" w:eastAsia="Arial" w:hAnsi="Arial"/>
          <w:sz w:val="21"/>
          <w:szCs w:val="21"/>
          <w:color w:val="010000"/>
        </w:rPr>
        <w:t xml:space="preserve"> </w:t>
      </w:r>
      <w:r>
        <w:rPr>
          <w:rFonts w:ascii="Arial" w:cs="Arial" w:eastAsia="Arial" w:hAnsi="Arial"/>
          <w:sz w:val="21"/>
          <w:szCs w:val="21"/>
          <w:color w:val="000000"/>
        </w:rPr>
        <w:t xml:space="preserve">thereof, the beneficial owner thereof may, at its option, be treated as the Holder of such Registrable Securities for purposes of any request or other action by any Holder or Holders of Registrable Securities pursuant to this Agreement or any determination of any number or percentage of shares constituting Registrable Securities held by any Holder or Holders of Registrable Securities contemplated by this Agreement; </w:t>
      </w:r>
      <w:r>
        <w:rPr>
          <w:rFonts w:ascii="Arial" w:cs="Arial" w:eastAsia="Arial" w:hAnsi="Arial"/>
          <w:sz w:val="21"/>
          <w:szCs w:val="21"/>
          <w:u w:val="single" w:color="auto"/>
          <w:color w:val="000000"/>
        </w:rPr>
        <w:t>provided</w:t>
      </w:r>
      <w:r>
        <w:rPr>
          <w:rFonts w:ascii="Arial" w:cs="Arial" w:eastAsia="Arial" w:hAnsi="Arial"/>
          <w:sz w:val="21"/>
          <w:szCs w:val="21"/>
          <w:color w:val="000000"/>
        </w:rPr>
        <w:t>, that the Company shall have received assurances reasonably satisfactory to it of such beneficial ownership.</w:t>
      </w:r>
    </w:p>
    <w:p>
      <w:pPr>
        <w:spacing w:after="0" w:line="160"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010000"/>
        </w:rPr>
        <w:t xml:space="preserve">Section 3.4 </w:t>
      </w:r>
      <w:r>
        <w:rPr>
          <w:rFonts w:ascii="Arial" w:cs="Arial" w:eastAsia="Arial" w:hAnsi="Arial"/>
          <w:sz w:val="19"/>
          <w:szCs w:val="19"/>
          <w:u w:val="single" w:color="auto"/>
          <w:color w:val="000000"/>
        </w:rPr>
        <w:t>No Inconsistent Agreements</w:t>
      </w:r>
      <w:r>
        <w:rPr>
          <w:rFonts w:ascii="Arial" w:cs="Arial" w:eastAsia="Arial" w:hAnsi="Arial"/>
          <w:sz w:val="19"/>
          <w:szCs w:val="19"/>
          <w:color w:val="000000"/>
        </w:rPr>
        <w:t>. The rights granted to the Holders of Registrable Securities hereunder do not</w:t>
      </w:r>
      <w:r>
        <w:rPr>
          <w:rFonts w:ascii="Arial" w:cs="Arial" w:eastAsia="Arial" w:hAnsi="Arial"/>
          <w:sz w:val="19"/>
          <w:szCs w:val="19"/>
          <w:color w:val="010000"/>
        </w:rPr>
        <w:t xml:space="preserve"> </w:t>
      </w:r>
      <w:r>
        <w:rPr>
          <w:rFonts w:ascii="Arial" w:cs="Arial" w:eastAsia="Arial" w:hAnsi="Arial"/>
          <w:sz w:val="19"/>
          <w:szCs w:val="19"/>
          <w:color w:val="000000"/>
        </w:rPr>
        <w:t>materially conflict with and are not materially inconsistent with any other agreements to which the Company is a party or by which it is bound. Without the prior written consent of Holders of a majority of the then outstanding Registrable Securities, the Company will not enter into any agreement with respect to its securities that is inconsistent with the rights granted in this Agreement or otherwise conflicts with the provisions hereof or provides terms and conditions that are more favorable to, or less restrictive on, the other party thereto than the terms and conditions contained in this Agreement are to the Holders, other than any lock-up agreement with the underwriters in connection with any registered offering effected hereunder, pursuant to which the Company shall agree not to register for sale, and the Company shall agree not to sell or otherwise dispose of, Common Stock or any securities convertible into or exercisable or exchangeable for Common Stock, for a specified period following the registered offering. If the Company enters into any other registration rights agreement with respect to any of its securities that contains terms that are more favorable to, or less restrictive on, the other party thereto than the terms and conditions contained in this Agreement are to the Holders, the terms and conditions of this Agreement shall immediately be deemed to have been amended without further action by the Company or any of the Holders of Registrable Securities so that the Holders shall each be entitled to the benefit of any such more favorable or less restrictive terms or conditions.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4.1</w:t>
      </w:r>
      <w:r>
        <w:rPr>
          <w:sz w:val="20"/>
          <w:szCs w:val="20"/>
          <w:color w:val="auto"/>
        </w:rPr>
        <w:tab/>
      </w:r>
      <w:r>
        <w:rPr>
          <w:rFonts w:ascii="Arial" w:cs="Arial" w:eastAsia="Arial" w:hAnsi="Arial"/>
          <w:sz w:val="19"/>
          <w:szCs w:val="19"/>
          <w:u w:val="single" w:color="auto"/>
          <w:color w:val="auto"/>
        </w:rPr>
        <w:t>Amendment and Waiver</w:t>
      </w:r>
      <w:r>
        <w:rPr>
          <w:rFonts w:ascii="Arial" w:cs="Arial" w:eastAsia="Arial" w:hAnsi="Arial"/>
          <w:sz w:val="19"/>
          <w:szCs w:val="19"/>
          <w:color w:val="auto"/>
        </w:rPr>
        <w:t>.</w:t>
      </w:r>
    </w:p>
    <w:p>
      <w:pPr>
        <w:spacing w:after="0" w:line="179" w:lineRule="exact"/>
        <w:rPr>
          <w:sz w:val="20"/>
          <w:szCs w:val="20"/>
          <w:color w:val="auto"/>
        </w:rPr>
      </w:pPr>
    </w:p>
    <w:p>
      <w:pPr>
        <w:jc w:val="both"/>
        <w:ind w:right="100" w:firstLine="1304"/>
        <w:spacing w:after="0" w:line="223" w:lineRule="auto"/>
        <w:tabs>
          <w:tab w:leader="none" w:pos="1752" w:val="left"/>
        </w:tabs>
        <w:numPr>
          <w:ilvl w:val="0"/>
          <w:numId w:val="113"/>
        </w:numPr>
        <w:rPr>
          <w:rFonts w:ascii="Arial" w:cs="Arial" w:eastAsia="Arial" w:hAnsi="Arial"/>
          <w:sz w:val="22"/>
          <w:szCs w:val="22"/>
          <w:color w:val="010000"/>
        </w:rPr>
      </w:pPr>
      <w:r>
        <w:rPr>
          <w:rFonts w:ascii="Arial" w:cs="Arial" w:eastAsia="Arial" w:hAnsi="Arial"/>
          <w:sz w:val="22"/>
          <w:szCs w:val="22"/>
          <w:color w:val="auto"/>
        </w:rPr>
        <w:t>Any provision of this Agreement may be amended or waived if, and only if, such amendment or waiver is in writing and is signed, by (A) the Company, (B) Ranbir Singh, if he is a Holder, (C) Singh Trust, if it is a Holder and (D) Holders representing a majority of Registrable Securities.</w:t>
      </w:r>
    </w:p>
    <w:p>
      <w:pPr>
        <w:spacing w:after="0" w:line="158" w:lineRule="exact"/>
        <w:rPr>
          <w:rFonts w:ascii="Arial" w:cs="Arial" w:eastAsia="Arial" w:hAnsi="Arial"/>
          <w:sz w:val="22"/>
          <w:szCs w:val="22"/>
          <w:color w:val="010000"/>
        </w:rPr>
      </w:pPr>
    </w:p>
    <w:p>
      <w:pPr>
        <w:ind w:right="180" w:firstLine="1304"/>
        <w:spacing w:after="0" w:line="216" w:lineRule="auto"/>
        <w:tabs>
          <w:tab w:leader="none" w:pos="1764" w:val="left"/>
        </w:tabs>
        <w:numPr>
          <w:ilvl w:val="0"/>
          <w:numId w:val="113"/>
        </w:numPr>
        <w:rPr>
          <w:rFonts w:ascii="Arial" w:cs="Arial" w:eastAsia="Arial" w:hAnsi="Arial"/>
          <w:sz w:val="22"/>
          <w:szCs w:val="22"/>
          <w:color w:val="010000"/>
        </w:rPr>
      </w:pPr>
      <w:r>
        <w:rPr>
          <w:rFonts w:ascii="Arial" w:cs="Arial" w:eastAsia="Arial" w:hAnsi="Arial"/>
          <w:sz w:val="22"/>
          <w:szCs w:val="22"/>
          <w:color w:val="auto"/>
        </w:rPr>
        <w:t>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3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010000"/>
        </w:rPr>
        <w:t>Section 4.2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duly given</w:t>
      </w:r>
    </w:p>
    <w:p>
      <w:pPr>
        <w:ind w:right="100" w:firstLine="8"/>
        <w:spacing w:after="0" w:line="211" w:lineRule="auto"/>
        <w:tabs>
          <w:tab w:leader="none" w:pos="29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on the date of delivery if delivered personally, or if by facsimile or e-mail, upon written confirmation of receipt by facsimile, e-mail or otherwise,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7" w:lineRule="exact"/>
        <w:rPr>
          <w:sz w:val="20"/>
          <w:szCs w:val="20"/>
          <w:color w:val="auto"/>
        </w:rPr>
      </w:pPr>
    </w:p>
    <w:p>
      <w:pPr>
        <w:ind w:right="460" w:firstLine="1304"/>
        <w:spacing w:after="0" w:line="232" w:lineRule="auto"/>
        <w:tabs>
          <w:tab w:leader="none" w:pos="1716"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if to any Holder other than the Original Holders, to its last known address appearing on the books of the Company maintained for such purpose, and if to the Original Holders, to:</w:t>
      </w:r>
    </w:p>
    <w:p>
      <w:pPr>
        <w:spacing w:after="0" w:line="1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Ranbir Singh</w:t>
      </w:r>
    </w:p>
    <w:p>
      <w:pPr>
        <w:ind w:left="1960"/>
        <w:spacing w:after="0" w:line="204" w:lineRule="auto"/>
        <w:rPr>
          <w:sz w:val="20"/>
          <w:szCs w:val="20"/>
          <w:color w:val="auto"/>
        </w:rPr>
      </w:pPr>
      <w:r>
        <w:rPr>
          <w:rFonts w:ascii="Arial" w:cs="Arial" w:eastAsia="Arial" w:hAnsi="Arial"/>
          <w:sz w:val="22"/>
          <w:szCs w:val="22"/>
          <w:color w:val="auto"/>
        </w:rPr>
        <w:t>43670 Trade Center Place Ste. 155</w:t>
      </w:r>
    </w:p>
    <w:p>
      <w:pPr>
        <w:ind w:left="1960"/>
        <w:spacing w:after="0" w:line="205" w:lineRule="auto"/>
        <w:rPr>
          <w:sz w:val="20"/>
          <w:szCs w:val="20"/>
          <w:color w:val="auto"/>
        </w:rPr>
      </w:pPr>
      <w:r>
        <w:rPr>
          <w:rFonts w:ascii="Arial" w:cs="Arial" w:eastAsia="Arial" w:hAnsi="Arial"/>
          <w:sz w:val="22"/>
          <w:szCs w:val="22"/>
          <w:color w:val="auto"/>
        </w:rPr>
        <w:t>Dulles, VA 20166 USA</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ranbir.singh@genesicsemi.com</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Gibson, Dunn &amp; Crutcher LLP</w:t>
      </w:r>
    </w:p>
    <w:p>
      <w:pPr>
        <w:ind w:left="1960"/>
        <w:spacing w:after="0" w:line="204" w:lineRule="auto"/>
        <w:rPr>
          <w:sz w:val="20"/>
          <w:szCs w:val="20"/>
          <w:color w:val="auto"/>
        </w:rPr>
      </w:pPr>
      <w:r>
        <w:rPr>
          <w:rFonts w:ascii="Arial" w:cs="Arial" w:eastAsia="Arial" w:hAnsi="Arial"/>
          <w:sz w:val="22"/>
          <w:szCs w:val="22"/>
          <w:color w:val="auto"/>
        </w:rPr>
        <w:t>200 Park Avenue</w:t>
      </w:r>
    </w:p>
    <w:p>
      <w:pPr>
        <w:ind w:left="1960"/>
        <w:spacing w:after="0" w:line="205" w:lineRule="auto"/>
        <w:rPr>
          <w:sz w:val="20"/>
          <w:szCs w:val="20"/>
          <w:color w:val="auto"/>
        </w:rPr>
      </w:pPr>
      <w:r>
        <w:rPr>
          <w:rFonts w:ascii="Arial" w:cs="Arial" w:eastAsia="Arial" w:hAnsi="Arial"/>
          <w:sz w:val="22"/>
          <w:szCs w:val="22"/>
          <w:color w:val="auto"/>
        </w:rPr>
        <w:t>New York, New York 10166-0193</w:t>
      </w:r>
    </w:p>
    <w:p>
      <w:pPr>
        <w:ind w:left="1960"/>
        <w:spacing w:after="0" w:line="205" w:lineRule="auto"/>
        <w:rPr>
          <w:sz w:val="20"/>
          <w:szCs w:val="20"/>
          <w:color w:val="auto"/>
        </w:rPr>
      </w:pPr>
      <w:r>
        <w:rPr>
          <w:rFonts w:ascii="Arial" w:cs="Arial" w:eastAsia="Arial" w:hAnsi="Arial"/>
          <w:sz w:val="22"/>
          <w:szCs w:val="22"/>
          <w:color w:val="auto"/>
        </w:rPr>
        <w:t>Attention: John Gaffney</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jgaffney@gibsondunn.com</w:t>
      </w:r>
    </w:p>
    <w:p>
      <w:pPr>
        <w:spacing w:after="0" w:line="161" w:lineRule="exact"/>
        <w:rPr>
          <w:sz w:val="20"/>
          <w:szCs w:val="20"/>
          <w:color w:val="auto"/>
        </w:rPr>
      </w:pPr>
    </w:p>
    <w:p>
      <w:pPr>
        <w:ind w:left="1780" w:hanging="476"/>
        <w:spacing w:after="0"/>
        <w:tabs>
          <w:tab w:leader="none" w:pos="1780" w:val="left"/>
        </w:tabs>
        <w:numPr>
          <w:ilvl w:val="0"/>
          <w:numId w:val="116"/>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Navitas Semiconductor Corporation</w:t>
      </w:r>
    </w:p>
    <w:p>
      <w:pPr>
        <w:ind w:left="1960"/>
        <w:spacing w:after="0" w:line="204" w:lineRule="auto"/>
        <w:rPr>
          <w:sz w:val="20"/>
          <w:szCs w:val="20"/>
          <w:color w:val="auto"/>
        </w:rPr>
      </w:pPr>
      <w:r>
        <w:rPr>
          <w:rFonts w:ascii="Arial" w:cs="Arial" w:eastAsia="Arial" w:hAnsi="Arial"/>
          <w:sz w:val="22"/>
          <w:szCs w:val="22"/>
          <w:color w:val="auto"/>
        </w:rPr>
        <w:t>2101 E. El Segundo Blvd., Suite 205</w:t>
      </w:r>
    </w:p>
    <w:p>
      <w:pPr>
        <w:ind w:left="1960"/>
        <w:spacing w:after="0" w:line="205" w:lineRule="auto"/>
        <w:rPr>
          <w:sz w:val="20"/>
          <w:szCs w:val="20"/>
          <w:color w:val="auto"/>
        </w:rPr>
      </w:pPr>
      <w:r>
        <w:rPr>
          <w:rFonts w:ascii="Arial" w:cs="Arial" w:eastAsia="Arial" w:hAnsi="Arial"/>
          <w:sz w:val="22"/>
          <w:szCs w:val="22"/>
          <w:color w:val="auto"/>
        </w:rPr>
        <w:t>El Segundo, CA 90245</w:t>
      </w:r>
    </w:p>
    <w:p>
      <w:pPr>
        <w:ind w:left="1960"/>
        <w:spacing w:after="0" w:line="205"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legalnotices@navitassemi.com</w:t>
      </w:r>
    </w:p>
    <w:p>
      <w:pPr>
        <w:spacing w:after="0" w:line="142"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or after October 1, 2022 to:</w:t>
      </w:r>
    </w:p>
    <w:p>
      <w:pPr>
        <w:ind w:left="1960"/>
        <w:spacing w:after="0" w:line="204" w:lineRule="auto"/>
        <w:rPr>
          <w:sz w:val="20"/>
          <w:szCs w:val="20"/>
          <w:color w:val="auto"/>
        </w:rPr>
      </w:pPr>
      <w:r>
        <w:rPr>
          <w:rFonts w:ascii="Arial" w:cs="Arial" w:eastAsia="Arial" w:hAnsi="Arial"/>
          <w:sz w:val="22"/>
          <w:szCs w:val="22"/>
          <w:color w:val="auto"/>
        </w:rPr>
        <w:t>Navitas Semiconductor Corporation</w:t>
      </w:r>
    </w:p>
    <w:p>
      <w:pPr>
        <w:ind w:left="1960"/>
        <w:spacing w:after="0" w:line="205" w:lineRule="auto"/>
        <w:rPr>
          <w:sz w:val="20"/>
          <w:szCs w:val="20"/>
          <w:color w:val="auto"/>
        </w:rPr>
      </w:pPr>
      <w:r>
        <w:rPr>
          <w:rFonts w:ascii="Arial" w:cs="Arial" w:eastAsia="Arial" w:hAnsi="Arial"/>
          <w:sz w:val="22"/>
          <w:szCs w:val="22"/>
          <w:color w:val="auto"/>
        </w:rPr>
        <w:t>3520 Challenger Street</w:t>
      </w:r>
    </w:p>
    <w:p>
      <w:pPr>
        <w:ind w:left="1960"/>
        <w:spacing w:after="0" w:line="205" w:lineRule="auto"/>
        <w:rPr>
          <w:sz w:val="20"/>
          <w:szCs w:val="20"/>
          <w:color w:val="auto"/>
        </w:rPr>
      </w:pPr>
      <w:r>
        <w:rPr>
          <w:rFonts w:ascii="Arial" w:cs="Arial" w:eastAsia="Arial" w:hAnsi="Arial"/>
          <w:sz w:val="22"/>
          <w:szCs w:val="22"/>
          <w:color w:val="auto"/>
        </w:rPr>
        <w:t>Torrance, CA 90503</w:t>
      </w:r>
    </w:p>
    <w:p>
      <w:pPr>
        <w:ind w:left="1960"/>
        <w:spacing w:after="0" w:line="205"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legalnotices@navitassemi.com</w:t>
      </w:r>
    </w:p>
    <w:p>
      <w:pPr>
        <w:spacing w:after="0" w:line="161"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or such other address as the Company or the Holders shall have specified to the other party in writing in accordance with this Section 4.2.</w:t>
      </w:r>
    </w:p>
    <w:p>
      <w:pPr>
        <w:spacing w:after="0" w:line="159"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010000"/>
        </w:rPr>
        <w:t xml:space="preserve">Section 4.3 </w:t>
      </w:r>
      <w:r>
        <w:rPr>
          <w:rFonts w:ascii="Arial" w:cs="Arial" w:eastAsia="Arial" w:hAnsi="Arial"/>
          <w:sz w:val="19"/>
          <w:szCs w:val="19"/>
          <w:u w:val="single" w:color="auto"/>
          <w:color w:val="000000"/>
        </w:rPr>
        <w:t>Interpretation</w:t>
      </w:r>
      <w:r>
        <w:rPr>
          <w:rFonts w:ascii="Arial" w:cs="Arial" w:eastAsia="Arial" w:hAnsi="Arial"/>
          <w:sz w:val="19"/>
          <w:szCs w:val="19"/>
          <w:color w:val="000000"/>
        </w:rPr>
        <w:t>. When a reference is made in this Agreement to a Section, Article, Exhibit or Schedule such</w:t>
      </w:r>
      <w:r>
        <w:rPr>
          <w:rFonts w:ascii="Arial" w:cs="Arial" w:eastAsia="Arial" w:hAnsi="Arial"/>
          <w:sz w:val="19"/>
          <w:szCs w:val="19"/>
          <w:color w:val="010000"/>
        </w:rPr>
        <w:t xml:space="preserve"> </w:t>
      </w:r>
      <w:r>
        <w:rPr>
          <w:rFonts w:ascii="Arial" w:cs="Arial" w:eastAsia="Arial" w:hAnsi="Arial"/>
          <w:sz w:val="19"/>
          <w:szCs w:val="19"/>
          <w:color w:val="000000"/>
        </w:rPr>
        <w:t>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w:t>
      </w:r>
    </w:p>
    <w:p>
      <w:pPr>
        <w:spacing w:after="0" w:line="159" w:lineRule="exact"/>
        <w:rPr>
          <w:sz w:val="20"/>
          <w:szCs w:val="20"/>
          <w:color w:val="auto"/>
        </w:rPr>
      </w:pPr>
    </w:p>
    <w:p>
      <w:pPr>
        <w:ind w:right="260" w:firstLine="648"/>
        <w:spacing w:after="0" w:line="223" w:lineRule="auto"/>
        <w:rPr>
          <w:sz w:val="20"/>
          <w:szCs w:val="20"/>
          <w:color w:val="auto"/>
        </w:rPr>
      </w:pPr>
      <w:r>
        <w:rPr>
          <w:rFonts w:ascii="Arial" w:cs="Arial" w:eastAsia="Arial" w:hAnsi="Arial"/>
          <w:sz w:val="22"/>
          <w:szCs w:val="22"/>
          <w:color w:val="010000"/>
        </w:rPr>
        <w:t xml:space="preserve">Section 4.4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and the Merger Agreement constitute the entire agreement, and</w:t>
      </w:r>
      <w:r>
        <w:rPr>
          <w:rFonts w:ascii="Arial" w:cs="Arial" w:eastAsia="Arial" w:hAnsi="Arial"/>
          <w:sz w:val="22"/>
          <w:szCs w:val="22"/>
          <w:color w:val="010000"/>
        </w:rPr>
        <w:t xml:space="preserve"> </w:t>
      </w:r>
      <w:r>
        <w:rPr>
          <w:rFonts w:ascii="Arial" w:cs="Arial" w:eastAsia="Arial" w:hAnsi="Arial"/>
          <w:sz w:val="22"/>
          <w:szCs w:val="22"/>
          <w:color w:val="000000"/>
        </w:rPr>
        <w:t>supersede all prior written agreements, arrangements, communications and understandings and all prior and contemporaneous oral agreements, arrangements,</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160"/>
          </w:cols>
          <w:pgMar w:left="320" w:top="1440" w:right="419" w:bottom="1440" w:gutter="0" w:footer="0" w:header="0"/>
          <w:type w:val="continuous"/>
        </w:sectPr>
      </w:pPr>
    </w:p>
    <w:bookmarkStart w:id="134" w:name="page135"/>
    <w:bookmarkEnd w:id="134"/>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communications and understandings between the parties with respect to the subject matter hereof and thereof.</w:t>
      </w:r>
    </w:p>
    <w:p>
      <w:pPr>
        <w:spacing w:after="0" w:line="179" w:lineRule="exact"/>
        <w:rPr>
          <w:sz w:val="20"/>
          <w:szCs w:val="20"/>
          <w:color w:val="auto"/>
        </w:rPr>
      </w:pPr>
    </w:p>
    <w:p>
      <w:pPr>
        <w:ind w:right="500" w:firstLine="648"/>
        <w:spacing w:after="0" w:line="268" w:lineRule="auto"/>
        <w:rPr>
          <w:sz w:val="20"/>
          <w:szCs w:val="20"/>
          <w:color w:val="auto"/>
        </w:rPr>
      </w:pPr>
      <w:r>
        <w:rPr>
          <w:rFonts w:ascii="Arial" w:cs="Arial" w:eastAsia="Arial" w:hAnsi="Arial"/>
          <w:sz w:val="19"/>
          <w:szCs w:val="19"/>
          <w:color w:val="010000"/>
        </w:rPr>
        <w:t xml:space="preserve">Section 4.5 </w:t>
      </w:r>
      <w:r>
        <w:rPr>
          <w:rFonts w:ascii="Arial" w:cs="Arial" w:eastAsia="Arial" w:hAnsi="Arial"/>
          <w:sz w:val="19"/>
          <w:szCs w:val="19"/>
          <w:u w:val="single" w:color="auto"/>
          <w:color w:val="000000"/>
        </w:rPr>
        <w:t>No Third-Party Beneficiaries</w:t>
      </w:r>
      <w:r>
        <w:rPr>
          <w:rFonts w:ascii="Arial" w:cs="Arial" w:eastAsia="Arial" w:hAnsi="Arial"/>
          <w:sz w:val="19"/>
          <w:szCs w:val="19"/>
          <w:color w:val="000000"/>
        </w:rPr>
        <w:t>. Except as provided in Section 2.9, nothing in this Agreement, express or</w:t>
      </w:r>
      <w:r>
        <w:rPr>
          <w:rFonts w:ascii="Arial" w:cs="Arial" w:eastAsia="Arial" w:hAnsi="Arial"/>
          <w:sz w:val="19"/>
          <w:szCs w:val="19"/>
          <w:color w:val="010000"/>
        </w:rPr>
        <w:t xml:space="preserve"> </w:t>
      </w:r>
      <w:r>
        <w:rPr>
          <w:rFonts w:ascii="Arial" w:cs="Arial" w:eastAsia="Arial" w:hAnsi="Arial"/>
          <w:sz w:val="19"/>
          <w:szCs w:val="19"/>
          <w:color w:val="000000"/>
        </w:rPr>
        <w:t>implied, is intended to or shall confer upon any Person other than the parties and their respective successors and permitted assigns any legal or equitable right, benefit or remedy of any nature under or by reason of this Agreement.</w:t>
      </w:r>
    </w:p>
    <w:p>
      <w:pPr>
        <w:spacing w:after="0" w:line="132" w:lineRule="exact"/>
        <w:rPr>
          <w:sz w:val="20"/>
          <w:szCs w:val="20"/>
          <w:color w:val="auto"/>
        </w:rPr>
      </w:pPr>
    </w:p>
    <w:p>
      <w:pPr>
        <w:ind w:right="180" w:firstLine="648"/>
        <w:spacing w:after="0" w:line="218" w:lineRule="auto"/>
        <w:rPr>
          <w:sz w:val="20"/>
          <w:szCs w:val="20"/>
          <w:color w:val="auto"/>
        </w:rPr>
      </w:pPr>
      <w:r>
        <w:rPr>
          <w:rFonts w:ascii="Arial" w:cs="Arial" w:eastAsia="Arial" w:hAnsi="Arial"/>
          <w:sz w:val="22"/>
          <w:szCs w:val="22"/>
          <w:color w:val="010000"/>
        </w:rPr>
        <w:t xml:space="preserve">Section 4.6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and all disputes or controversies arising out of or relating to this</w:t>
      </w:r>
      <w:r>
        <w:rPr>
          <w:rFonts w:ascii="Arial" w:cs="Arial" w:eastAsia="Arial" w:hAnsi="Arial"/>
          <w:sz w:val="22"/>
          <w:szCs w:val="22"/>
          <w:color w:val="010000"/>
        </w:rPr>
        <w:t xml:space="preserve"> </w:t>
      </w:r>
      <w:r>
        <w:rPr>
          <w:rFonts w:ascii="Arial" w:cs="Arial" w:eastAsia="Arial" w:hAnsi="Arial"/>
          <w:sz w:val="22"/>
          <w:szCs w:val="22"/>
          <w:color w:val="000000"/>
        </w:rPr>
        <w:t>Agreement or the transactions contemplated hereby shall be governed by, and construed in accordance with, the internal laws of the State of Delaware, without regard to the laws of any other jurisdiction that might be applied because of the conflicts of laws principles.</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010000"/>
        </w:rPr>
        <w:t xml:space="preserve">Section 4.7 </w:t>
      </w:r>
      <w:r>
        <w:rPr>
          <w:rFonts w:ascii="Arial" w:cs="Arial" w:eastAsia="Arial" w:hAnsi="Arial"/>
          <w:sz w:val="19"/>
          <w:szCs w:val="19"/>
          <w:u w:val="single" w:color="auto"/>
          <w:color w:val="000000"/>
        </w:rPr>
        <w:t>Submission to Jurisdiction</w:t>
      </w:r>
      <w:r>
        <w:rPr>
          <w:rFonts w:ascii="Arial" w:cs="Arial" w:eastAsia="Arial" w:hAnsi="Arial"/>
          <w:sz w:val="19"/>
          <w:szCs w:val="19"/>
          <w:color w:val="000000"/>
        </w:rPr>
        <w:t>. Each of the parties irrevocably agrees that any legal action or proceeding arising</w:t>
      </w:r>
      <w:r>
        <w:rPr>
          <w:rFonts w:ascii="Arial" w:cs="Arial" w:eastAsia="Arial" w:hAnsi="Arial"/>
          <w:sz w:val="19"/>
          <w:szCs w:val="19"/>
          <w:color w:val="010000"/>
        </w:rPr>
        <w:t xml:space="preserve"> </w:t>
      </w:r>
      <w:r>
        <w:rPr>
          <w:rFonts w:ascii="Arial" w:cs="Arial" w:eastAsia="Arial" w:hAnsi="Arial"/>
          <w:sz w:val="19"/>
          <w:szCs w:val="19"/>
          <w:color w:val="000000"/>
        </w:rPr>
        <w:t>out of or relating to this Agreement brought by any other party or its successors or assigns shall be brought and determined in any Delaware State or federal court sitting in the State of Delaware (or, if such court lacks subject matter jurisdiction, in any appropriate Delaware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58" w:lineRule="exact"/>
        <w:rPr>
          <w:sz w:val="20"/>
          <w:szCs w:val="20"/>
          <w:color w:val="auto"/>
        </w:rPr>
      </w:pPr>
    </w:p>
    <w:p>
      <w:pPr>
        <w:ind w:right="60" w:firstLine="648"/>
        <w:spacing w:after="0" w:line="221" w:lineRule="auto"/>
        <w:rPr>
          <w:sz w:val="20"/>
          <w:szCs w:val="20"/>
          <w:color w:val="auto"/>
        </w:rPr>
      </w:pPr>
      <w:r>
        <w:rPr>
          <w:rFonts w:ascii="Arial" w:cs="Arial" w:eastAsia="Arial" w:hAnsi="Arial"/>
          <w:sz w:val="21"/>
          <w:szCs w:val="21"/>
          <w:color w:val="010000"/>
        </w:rPr>
        <w:t xml:space="preserve">Section 4.8 </w:t>
      </w:r>
      <w:r>
        <w:rPr>
          <w:rFonts w:ascii="Arial" w:cs="Arial" w:eastAsia="Arial" w:hAnsi="Arial"/>
          <w:sz w:val="21"/>
          <w:szCs w:val="21"/>
          <w:u w:val="single" w:color="auto"/>
          <w:color w:val="000000"/>
        </w:rPr>
        <w:t>Assignment; Successors</w:t>
      </w:r>
      <w:r>
        <w:rPr>
          <w:rFonts w:ascii="Arial" w:cs="Arial" w:eastAsia="Arial" w:hAnsi="Arial"/>
          <w:sz w:val="21"/>
          <w:szCs w:val="21"/>
          <w:color w:val="000000"/>
        </w:rPr>
        <w:t>. This Agreement will be binding upon, inure to the benefit of, and be enforceable</w:t>
      </w:r>
      <w:r>
        <w:rPr>
          <w:rFonts w:ascii="Arial" w:cs="Arial" w:eastAsia="Arial" w:hAnsi="Arial"/>
          <w:sz w:val="21"/>
          <w:szCs w:val="21"/>
          <w:color w:val="010000"/>
        </w:rPr>
        <w:t xml:space="preserve"> </w:t>
      </w:r>
      <w:r>
        <w:rPr>
          <w:rFonts w:ascii="Arial" w:cs="Arial" w:eastAsia="Arial" w:hAnsi="Arial"/>
          <w:sz w:val="21"/>
          <w:szCs w:val="21"/>
          <w:color w:val="000000"/>
        </w:rPr>
        <w:t>by, the parties and their respective successors and assigns. If any Person shall acquire Registrable Securities from any Holder in any manner, whether by operation of law or otherwise, such Person shall promptly notify the Company and such Registrable Securities acquired from such Holder shall be held subject to all of the terms of this Agreement, and by taking and holding such Registrable Securities such Person shall be entitled to receive the benefits of and be conclusively deemed to have agreed to be bound by and to perform all of the terms and provisions of this Agreement. Any such successor or assign shall agree in writing to acquire and hold the Registrable Securities acquired from such Holder subject to all of the terms hereof. If any Holder shall acquire additional Registrable Securities, such Registrable Securities shall be subject to all of the terms, and entitled to all of the benefits, of this Agreement.</w:t>
      </w:r>
    </w:p>
    <w:p>
      <w:pPr>
        <w:spacing w:after="0" w:line="159" w:lineRule="exact"/>
        <w:rPr>
          <w:sz w:val="20"/>
          <w:szCs w:val="20"/>
          <w:color w:val="auto"/>
        </w:rPr>
      </w:pPr>
    </w:p>
    <w:p>
      <w:pPr>
        <w:jc w:val="both"/>
        <w:ind w:right="160" w:firstLine="648"/>
        <w:spacing w:after="0" w:line="223" w:lineRule="auto"/>
        <w:rPr>
          <w:sz w:val="20"/>
          <w:szCs w:val="20"/>
          <w:color w:val="auto"/>
        </w:rPr>
      </w:pPr>
      <w:r>
        <w:rPr>
          <w:rFonts w:ascii="Arial" w:cs="Arial" w:eastAsia="Arial" w:hAnsi="Arial"/>
          <w:sz w:val="22"/>
          <w:szCs w:val="22"/>
          <w:color w:val="010000"/>
        </w:rPr>
        <w:t xml:space="preserve">Section 4.9 </w:t>
      </w:r>
      <w:r>
        <w:rPr>
          <w:rFonts w:ascii="Arial" w:cs="Arial" w:eastAsia="Arial" w:hAnsi="Arial"/>
          <w:sz w:val="22"/>
          <w:szCs w:val="22"/>
          <w:u w:val="single" w:color="auto"/>
          <w:color w:val="000000"/>
        </w:rPr>
        <w:t>Enforcement</w:t>
      </w:r>
      <w:r>
        <w:rPr>
          <w:rFonts w:ascii="Arial" w:cs="Arial" w:eastAsia="Arial" w:hAnsi="Arial"/>
          <w:sz w:val="22"/>
          <w:szCs w:val="22"/>
          <w:color w:val="000000"/>
        </w:rPr>
        <w:t>. The parties agree that irreparable damage would occur in the event that any of the provisions</w:t>
      </w:r>
      <w:r>
        <w:rPr>
          <w:rFonts w:ascii="Arial" w:cs="Arial" w:eastAsia="Arial" w:hAnsi="Arial"/>
          <w:sz w:val="22"/>
          <w:szCs w:val="22"/>
          <w:color w:val="010000"/>
        </w:rPr>
        <w:t xml:space="preserve"> </w:t>
      </w:r>
      <w:r>
        <w:rPr>
          <w:rFonts w:ascii="Arial" w:cs="Arial" w:eastAsia="Arial" w:hAnsi="Arial"/>
          <w:sz w:val="22"/>
          <w:szCs w:val="22"/>
          <w:color w:val="000000"/>
        </w:rPr>
        <w:t>of this Agreement were not performed in accordance with their specific terms or were otherwise breached. Accordingly, each of the parties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7"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color w:val="auto"/>
        </w:rPr>
        <w:t>entitled to specific performance of the terms hereof, including an injunction or injunctions to prevent breaches of this Agreement and to enforce specifically the terms and provisions of this Agreement in any New York State or federal court sitting in the Borough of Manhattan in The City of New York (or, if such court lacks subject matter jurisdiction, in any appropriate New York State or federal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52"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010000"/>
        </w:rPr>
        <w:t xml:space="preserve">Section 4.10 </w:t>
      </w:r>
      <w:r>
        <w:rPr>
          <w:rFonts w:ascii="Arial" w:cs="Arial" w:eastAsia="Arial" w:hAnsi="Arial"/>
          <w:sz w:val="21"/>
          <w:szCs w:val="21"/>
          <w:u w:val="single" w:color="auto"/>
          <w:color w:val="000000"/>
        </w:rPr>
        <w:t>Severability</w:t>
      </w:r>
      <w:r>
        <w:rPr>
          <w:rFonts w:ascii="Arial" w:cs="Arial" w:eastAsia="Arial" w:hAnsi="Arial"/>
          <w:sz w:val="21"/>
          <w:szCs w:val="21"/>
          <w:color w:val="000000"/>
        </w:rPr>
        <w:t>. Whenever possible, each provision or portion of any provision of this Agreement shall be</w:t>
      </w:r>
      <w:r>
        <w:rPr>
          <w:rFonts w:ascii="Arial" w:cs="Arial" w:eastAsia="Arial" w:hAnsi="Arial"/>
          <w:sz w:val="21"/>
          <w:szCs w:val="21"/>
          <w:color w:val="010000"/>
        </w:rPr>
        <w:t xml:space="preserve"> </w:t>
      </w:r>
      <w:r>
        <w:rPr>
          <w:rFonts w:ascii="Arial" w:cs="Arial" w:eastAsia="Arial" w:hAnsi="Arial"/>
          <w:sz w:val="21"/>
          <w:szCs w:val="21"/>
          <w:color w:val="000000"/>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60" w:lineRule="exact"/>
        <w:rPr>
          <w:sz w:val="20"/>
          <w:szCs w:val="20"/>
          <w:color w:val="auto"/>
        </w:rPr>
      </w:pPr>
    </w:p>
    <w:p>
      <w:pPr>
        <w:ind w:firstLine="648"/>
        <w:spacing w:after="0" w:line="234" w:lineRule="auto"/>
        <w:rPr>
          <w:sz w:val="20"/>
          <w:szCs w:val="20"/>
          <w:color w:val="auto"/>
        </w:rPr>
      </w:pPr>
      <w:r>
        <w:rPr>
          <w:rFonts w:ascii="Arial" w:cs="Arial" w:eastAsia="Arial" w:hAnsi="Arial"/>
          <w:sz w:val="21"/>
          <w:szCs w:val="21"/>
          <w:color w:val="010000"/>
        </w:rPr>
        <w:t xml:space="preserve">Section 4.11 </w:t>
      </w:r>
      <w:r>
        <w:rPr>
          <w:rFonts w:ascii="Arial" w:cs="Arial" w:eastAsia="Arial" w:hAnsi="Arial"/>
          <w:sz w:val="21"/>
          <w:szCs w:val="21"/>
          <w:u w:val="single" w:color="auto"/>
          <w:color w:val="000000"/>
        </w:rPr>
        <w:t>Waiver of Jury Trial</w:t>
      </w:r>
      <w:r>
        <w:rPr>
          <w:rFonts w:ascii="Arial" w:cs="Arial" w:eastAsia="Arial" w:hAnsi="Arial"/>
          <w:sz w:val="21"/>
          <w:szCs w:val="21"/>
          <w:color w:val="000000"/>
        </w:rPr>
        <w:t>. EACH OF THE PARTIES TO THIS AGREEMENT HEREBY IRREVOCABLY</w:t>
      </w:r>
      <w:r>
        <w:rPr>
          <w:rFonts w:ascii="Arial" w:cs="Arial" w:eastAsia="Arial" w:hAnsi="Arial"/>
          <w:sz w:val="21"/>
          <w:szCs w:val="21"/>
          <w:color w:val="010000"/>
        </w:rPr>
        <w:t xml:space="preserve"> </w:t>
      </w:r>
      <w:r>
        <w:rPr>
          <w:rFonts w:ascii="Arial" w:cs="Arial" w:eastAsia="Arial" w:hAnsi="Arial"/>
          <w:sz w:val="21"/>
          <w:szCs w:val="21"/>
          <w:color w:val="000000"/>
        </w:rPr>
        <w:t>WAIVES ALL RIGHT TO A TRIAL BY JURY IN ANY ACTION, PROCEEDING OR COUNTERCLAIM ARISING OUT OF OR RELATING TO THIS AGREEMENT OR THE TRANSACTIONS CONTEMPLATED HEREBY.</w:t>
      </w:r>
    </w:p>
    <w:p>
      <w:pPr>
        <w:spacing w:after="0" w:line="158" w:lineRule="exact"/>
        <w:rPr>
          <w:sz w:val="20"/>
          <w:szCs w:val="20"/>
          <w:color w:val="auto"/>
        </w:rPr>
      </w:pPr>
    </w:p>
    <w:p>
      <w:pPr>
        <w:ind w:right="160" w:firstLine="648"/>
        <w:spacing w:after="0" w:line="223" w:lineRule="auto"/>
        <w:rPr>
          <w:sz w:val="20"/>
          <w:szCs w:val="20"/>
          <w:color w:val="auto"/>
        </w:rPr>
      </w:pPr>
      <w:r>
        <w:rPr>
          <w:rFonts w:ascii="Arial" w:cs="Arial" w:eastAsia="Arial" w:hAnsi="Arial"/>
          <w:sz w:val="22"/>
          <w:szCs w:val="22"/>
          <w:color w:val="010000"/>
        </w:rPr>
        <w:t xml:space="preserve">Section 4.12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two or more counterparts, all of which shall be</w:t>
      </w:r>
      <w:r>
        <w:rPr>
          <w:rFonts w:ascii="Arial" w:cs="Arial" w:eastAsia="Arial" w:hAnsi="Arial"/>
          <w:sz w:val="22"/>
          <w:szCs w:val="22"/>
          <w:color w:val="010000"/>
        </w:rPr>
        <w:t xml:space="preserve"> </w:t>
      </w:r>
      <w:r>
        <w:rPr>
          <w:rFonts w:ascii="Arial" w:cs="Arial" w:eastAsia="Arial" w:hAnsi="Arial"/>
          <w:sz w:val="22"/>
          <w:szCs w:val="22"/>
          <w:color w:val="000000"/>
        </w:rPr>
        <w:t>considered one and the same instrument and shall become effective when one or more counterparts have been signed by each of the parties and delivered to the other parties.</w:t>
      </w:r>
    </w:p>
    <w:p>
      <w:pPr>
        <w:spacing w:after="0" w:line="159"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010000"/>
        </w:rPr>
        <w:t xml:space="preserve">Section 4.13 </w:t>
      </w:r>
      <w:r>
        <w:rPr>
          <w:rFonts w:ascii="Arial" w:cs="Arial" w:eastAsia="Arial" w:hAnsi="Arial"/>
          <w:sz w:val="22"/>
          <w:szCs w:val="22"/>
          <w:u w:val="single" w:color="auto"/>
          <w:color w:val="000000"/>
        </w:rPr>
        <w:t>Facsimile or .pdf Signature</w:t>
      </w:r>
      <w:r>
        <w:rPr>
          <w:rFonts w:ascii="Arial" w:cs="Arial" w:eastAsia="Arial" w:hAnsi="Arial"/>
          <w:sz w:val="22"/>
          <w:szCs w:val="22"/>
          <w:color w:val="000000"/>
        </w:rPr>
        <w:t>. This Agreement may be executed by facsimile or .pdf signature and a</w:t>
      </w:r>
      <w:r>
        <w:rPr>
          <w:rFonts w:ascii="Arial" w:cs="Arial" w:eastAsia="Arial" w:hAnsi="Arial"/>
          <w:sz w:val="22"/>
          <w:szCs w:val="22"/>
          <w:color w:val="010000"/>
        </w:rPr>
        <w:t xml:space="preserve"> </w:t>
      </w:r>
      <w:r>
        <w:rPr>
          <w:rFonts w:ascii="Arial" w:cs="Arial" w:eastAsia="Arial" w:hAnsi="Arial"/>
          <w:sz w:val="22"/>
          <w:szCs w:val="22"/>
          <w:color w:val="000000"/>
        </w:rPr>
        <w:t>facsimile or .pdf signature shall constitute an original for all purposes</w:t>
      </w:r>
    </w:p>
    <w:p>
      <w:pPr>
        <w:spacing w:after="0" w:line="159" w:lineRule="exact"/>
        <w:rPr>
          <w:sz w:val="20"/>
          <w:szCs w:val="20"/>
          <w:color w:val="auto"/>
        </w:rPr>
      </w:pPr>
    </w:p>
    <w:p>
      <w:pPr>
        <w:ind w:right="220" w:firstLine="648"/>
        <w:spacing w:after="0" w:line="218" w:lineRule="auto"/>
        <w:rPr>
          <w:sz w:val="20"/>
          <w:szCs w:val="20"/>
          <w:color w:val="auto"/>
        </w:rPr>
      </w:pPr>
      <w:r>
        <w:rPr>
          <w:rFonts w:ascii="Arial" w:cs="Arial" w:eastAsia="Arial" w:hAnsi="Arial"/>
          <w:sz w:val="22"/>
          <w:szCs w:val="22"/>
          <w:color w:val="010000"/>
        </w:rPr>
        <w:t xml:space="preserve">Section 4.14 </w:t>
      </w:r>
      <w:r>
        <w:rPr>
          <w:rFonts w:ascii="Arial" w:cs="Arial" w:eastAsia="Arial" w:hAnsi="Arial"/>
          <w:sz w:val="22"/>
          <w:szCs w:val="22"/>
          <w:u w:val="single" w:color="auto"/>
          <w:color w:val="000000"/>
        </w:rPr>
        <w:t>No Presumption Against Drafting Party</w:t>
      </w:r>
      <w:r>
        <w:rPr>
          <w:rFonts w:ascii="Arial" w:cs="Arial" w:eastAsia="Arial" w:hAnsi="Arial"/>
          <w:sz w:val="22"/>
          <w:szCs w:val="22"/>
          <w:color w:val="000000"/>
        </w:rPr>
        <w:t>. Each of the parties hereto acknowledges that it has been</w:t>
      </w:r>
      <w:r>
        <w:rPr>
          <w:rFonts w:ascii="Arial" w:cs="Arial" w:eastAsia="Arial" w:hAnsi="Arial"/>
          <w:sz w:val="22"/>
          <w:szCs w:val="22"/>
          <w:color w:val="010000"/>
        </w:rPr>
        <w:t xml:space="preserve"> </w:t>
      </w:r>
      <w:r>
        <w:rPr>
          <w:rFonts w:ascii="Arial" w:cs="Arial" w:eastAsia="Arial" w:hAnsi="Arial"/>
          <w:sz w:val="22"/>
          <w:szCs w:val="22"/>
          <w:color w:val="000000"/>
        </w:rPr>
        <w:t>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77"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pacing w:after="0" w:line="200" w:lineRule="exact"/>
        <w:rPr>
          <w:sz w:val="20"/>
          <w:szCs w:val="20"/>
          <w:color w:val="auto"/>
        </w:rPr>
      </w:pPr>
    </w:p>
    <w:p>
      <w:pPr>
        <w:spacing w:after="0" w:line="22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Navitas Semiconductor Corporation</w:t>
      </w:r>
    </w:p>
    <w:p>
      <w:pPr>
        <w:spacing w:after="0" w:line="38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 /s/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2557780</wp:posOffset>
            </wp:positionH>
            <wp:positionV relativeFrom="paragraph">
              <wp:posOffset>-5715</wp:posOffset>
            </wp:positionV>
            <wp:extent cx="2621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ind w:left="3720"/>
        <w:spacing w:after="0" w:line="204" w:lineRule="auto"/>
        <w:rPr>
          <w:sz w:val="20"/>
          <w:szCs w:val="20"/>
          <w:color w:val="auto"/>
        </w:rPr>
      </w:pPr>
      <w:r>
        <w:rPr>
          <w:rFonts w:ascii="Arial" w:cs="Arial" w:eastAsia="Arial" w:hAnsi="Arial"/>
          <w:sz w:val="22"/>
          <w:szCs w:val="22"/>
          <w:color w:val="auto"/>
        </w:rPr>
        <w:t>Name: Gene Sheridan</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 Chief Executive Officer</w:t>
      </w:r>
    </w:p>
    <w:p>
      <w:pPr>
        <w:spacing w:after="0" w:line="37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Ranbir Singh</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w:t>
      </w:r>
    </w:p>
    <w:p>
      <w:pPr>
        <w:ind w:left="37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w:t>
      </w:r>
    </w:p>
    <w:p>
      <w:pPr>
        <w:spacing w:after="0" w:line="37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The Ranbir Singh Irrevocable Trust dated February 4, 2022</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w:t>
      </w:r>
    </w:p>
    <w:p>
      <w:pPr>
        <w:ind w:left="37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959"/>
          </w:cols>
          <w:pgMar w:left="500" w:top="1440" w:right="1440" w:bottom="1440" w:gutter="0" w:footer="0" w:header="0"/>
        </w:sectPr>
      </w:pPr>
    </w:p>
    <w:bookmarkStart w:id="137" w:name="page138"/>
    <w:bookmarkEnd w:id="137"/>
    <w:p>
      <w:pPr>
        <w:spacing w:after="0" w:line="177"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pacing w:after="0" w:line="200" w:lineRule="exact"/>
        <w:rPr>
          <w:sz w:val="20"/>
          <w:szCs w:val="20"/>
          <w:color w:val="auto"/>
        </w:rPr>
      </w:pPr>
    </w:p>
    <w:p>
      <w:pPr>
        <w:spacing w:after="0" w:line="22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Navitas Semiconductor Corporation</w:t>
      </w:r>
    </w:p>
    <w:p>
      <w:pPr>
        <w:spacing w:after="0" w:line="38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w:t>
      </w:r>
    </w:p>
    <w:p>
      <w:pPr>
        <w:ind w:left="37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w:t>
      </w:r>
    </w:p>
    <w:p>
      <w:pPr>
        <w:spacing w:after="0" w:line="37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Ranbir Singh</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 /s/ Ranbir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-5715</wp:posOffset>
            </wp:positionV>
            <wp:extent cx="1851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3720"/>
        <w:spacing w:after="0" w:line="204" w:lineRule="auto"/>
        <w:rPr>
          <w:sz w:val="20"/>
          <w:szCs w:val="20"/>
          <w:color w:val="auto"/>
        </w:rPr>
      </w:pPr>
      <w:r>
        <w:rPr>
          <w:rFonts w:ascii="Arial" w:cs="Arial" w:eastAsia="Arial" w:hAnsi="Arial"/>
          <w:sz w:val="22"/>
          <w:szCs w:val="22"/>
          <w:color w:val="auto"/>
        </w:rPr>
        <w:t>Name: Ranbir Singh</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 President</w:t>
      </w:r>
    </w:p>
    <w:p>
      <w:pPr>
        <w:spacing w:after="0" w:line="37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The Ranbir Singh Irrevocable Trust dated February 4, 2022</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w:t>
      </w:r>
    </w:p>
    <w:p>
      <w:pPr>
        <w:ind w:left="37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959"/>
          </w:cols>
          <w:pgMar w:left="500" w:top="1440" w:right="1440" w:bottom="1440" w:gutter="0" w:footer="0" w:header="0"/>
        </w:sectPr>
      </w:pPr>
    </w:p>
    <w:bookmarkStart w:id="138" w:name="page139"/>
    <w:bookmarkEnd w:id="138"/>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IN WITNESS WHEREOF, the parties hereto have executed this Agreement as of the date first above written.</w:t>
      </w: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Navitas Semiconductor Corporation</w:t>
      </w:r>
    </w:p>
    <w:p>
      <w:pPr>
        <w:spacing w:after="0" w:line="38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w:t>
      </w:r>
    </w:p>
    <w:p>
      <w:pPr>
        <w:ind w:left="37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w:t>
      </w:r>
    </w:p>
    <w:p>
      <w:pPr>
        <w:spacing w:after="0" w:line="37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Ranbir Singh</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w:t>
      </w:r>
    </w:p>
    <w:p>
      <w:pPr>
        <w:ind w:left="37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w:t>
      </w:r>
    </w:p>
    <w:p>
      <w:pPr>
        <w:spacing w:after="0" w:line="371"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The Ranbir Singh Irrevocable Trust dated February 4, 2022</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By:  /s/ Tracey Stegemeier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-5715</wp:posOffset>
            </wp:positionV>
            <wp:extent cx="2560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ind w:left="3720"/>
        <w:spacing w:after="0" w:line="204" w:lineRule="auto"/>
        <w:rPr>
          <w:sz w:val="20"/>
          <w:szCs w:val="20"/>
          <w:color w:val="auto"/>
        </w:rPr>
      </w:pPr>
      <w:r>
        <w:rPr>
          <w:rFonts w:ascii="Arial" w:cs="Arial" w:eastAsia="Arial" w:hAnsi="Arial"/>
          <w:sz w:val="22"/>
          <w:szCs w:val="22"/>
          <w:color w:val="auto"/>
        </w:rPr>
        <w:t>Name: Tracey Stegemeier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 Vice President, The Bryn Mawr Trust Company of Delaware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420"/>
          </w:cols>
          <w:pgMar w:left="500" w:top="1440" w:right="9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43"/>
        <w:spacing w:after="0"/>
        <w:rPr>
          <w:sz w:val="20"/>
          <w:szCs w:val="20"/>
          <w:color w:val="auto"/>
        </w:rPr>
      </w:pPr>
      <w:r>
        <w:rPr>
          <w:rFonts w:ascii="Arial" w:cs="Arial" w:eastAsia="Arial" w:hAnsi="Arial"/>
          <w:sz w:val="18"/>
          <w:szCs w:val="18"/>
          <w:b w:val="1"/>
          <w:bCs w:val="1"/>
          <w:color w:val="auto"/>
        </w:rPr>
        <w:t>NAVITAS SEMICONDUCTOR 2022 EMPLOYEE STOCK PURCHASE PLAN</w:t>
      </w:r>
    </w:p>
    <w:p>
      <w:pPr>
        <w:spacing w:after="0" w:line="185" w:lineRule="exact"/>
        <w:rPr>
          <w:sz w:val="20"/>
          <w:szCs w:val="20"/>
          <w:color w:val="auto"/>
        </w:rPr>
      </w:pPr>
    </w:p>
    <w:p>
      <w:pPr>
        <w:ind w:left="323" w:hanging="323"/>
        <w:spacing w:after="0"/>
        <w:tabs>
          <w:tab w:leader="none" w:pos="323"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98" w:lineRule="exact"/>
        <w:rPr>
          <w:rFonts w:ascii="Arial" w:cs="Arial" w:eastAsia="Arial" w:hAnsi="Arial"/>
          <w:sz w:val="18"/>
          <w:szCs w:val="18"/>
          <w:b w:val="1"/>
          <w:bCs w:val="1"/>
          <w:color w:val="auto"/>
        </w:rPr>
      </w:pPr>
    </w:p>
    <w:p>
      <w:pPr>
        <w:ind w:left="903" w:hanging="385"/>
        <w:spacing w:after="0"/>
        <w:tabs>
          <w:tab w:leader="none" w:pos="903"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in this Plan have the meanings given in Section 17.</w:t>
      </w:r>
    </w:p>
    <w:p>
      <w:pPr>
        <w:spacing w:after="0" w:line="76" w:lineRule="exact"/>
        <w:rPr>
          <w:rFonts w:ascii="Arial" w:cs="Arial" w:eastAsia="Arial" w:hAnsi="Arial"/>
          <w:sz w:val="18"/>
          <w:szCs w:val="18"/>
          <w:b w:val="1"/>
          <w:bCs w:val="1"/>
          <w:color w:val="auto"/>
        </w:rPr>
      </w:pPr>
    </w:p>
    <w:p>
      <w:pPr>
        <w:jc w:val="both"/>
        <w:ind w:left="3" w:firstLine="515"/>
        <w:spacing w:after="0" w:line="220" w:lineRule="auto"/>
        <w:tabs>
          <w:tab w:leader="none" w:pos="948"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Company, by means of the Plan, seeks to retain the services of such Employees, to secure and retain the services of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to provide incentives for such persons to exert maximum efforts for the success of the Company and its Related Corporations and Affiliates.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171" w:lineRule="exact"/>
        <w:rPr>
          <w:rFonts w:ascii="Arial" w:cs="Arial" w:eastAsia="Arial" w:hAnsi="Arial"/>
          <w:sz w:val="18"/>
          <w:szCs w:val="18"/>
          <w:b w:val="1"/>
          <w:bCs w:val="1"/>
          <w:color w:val="auto"/>
        </w:rPr>
      </w:pPr>
    </w:p>
    <w:p>
      <w:pPr>
        <w:jc w:val="both"/>
        <w:ind w:left="3" w:firstLine="515"/>
        <w:spacing w:after="0" w:line="243" w:lineRule="auto"/>
        <w:tabs>
          <w:tab w:leader="none" w:pos="914"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Qualified and Non-Qualified Offerings Permitted</w:t>
      </w:r>
      <w:r>
        <w:rPr>
          <w:rFonts w:ascii="Arial" w:cs="Arial" w:eastAsia="Arial" w:hAnsi="Arial"/>
          <w:sz w:val="16"/>
          <w:szCs w:val="16"/>
          <w:color w:val="auto"/>
        </w:rPr>
        <w:t>. The Plan includes two components: a 423 Component and a Non-423 Component.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56" w:lineRule="exact"/>
        <w:rPr>
          <w:rFonts w:ascii="Arial" w:cs="Arial" w:eastAsia="Arial" w:hAnsi="Arial"/>
          <w:sz w:val="16"/>
          <w:szCs w:val="16"/>
          <w:b w:val="1"/>
          <w:bCs w:val="1"/>
          <w:color w:val="auto"/>
        </w:rPr>
      </w:pPr>
    </w:p>
    <w:p>
      <w:pPr>
        <w:ind w:left="303" w:hanging="303"/>
        <w:spacing w:after="0"/>
        <w:tabs>
          <w:tab w:leader="none" w:pos="303"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94" w:lineRule="exact"/>
        <w:rPr>
          <w:rFonts w:ascii="Arial" w:cs="Arial" w:eastAsia="Arial" w:hAnsi="Arial"/>
          <w:sz w:val="18"/>
          <w:szCs w:val="18"/>
          <w:b w:val="1"/>
          <w:bCs w:val="1"/>
          <w:color w:val="auto"/>
        </w:rPr>
      </w:pPr>
    </w:p>
    <w:p>
      <w:pPr>
        <w:ind w:left="3" w:right="20" w:firstLine="515"/>
        <w:spacing w:after="0" w:line="235" w:lineRule="auto"/>
        <w:tabs>
          <w:tab w:leader="none" w:pos="964"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61" w:lineRule="exact"/>
        <w:rPr>
          <w:rFonts w:ascii="Arial" w:cs="Arial" w:eastAsia="Arial" w:hAnsi="Arial"/>
          <w:sz w:val="18"/>
          <w:szCs w:val="18"/>
          <w:b w:val="1"/>
          <w:bCs w:val="1"/>
          <w:color w:val="auto"/>
        </w:rPr>
      </w:pPr>
    </w:p>
    <w:p>
      <w:pPr>
        <w:ind w:left="923" w:hanging="405"/>
        <w:spacing w:after="0"/>
        <w:tabs>
          <w:tab w:leader="none" w:pos="923"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198" w:lineRule="exact"/>
        <w:rPr>
          <w:rFonts w:ascii="Arial" w:cs="Arial" w:eastAsia="Arial" w:hAnsi="Arial"/>
          <w:sz w:val="18"/>
          <w:szCs w:val="18"/>
          <w:b w:val="1"/>
          <w:bCs w:val="1"/>
          <w:color w:val="auto"/>
        </w:rPr>
      </w:pPr>
    </w:p>
    <w:p>
      <w:pPr>
        <w:ind w:left="1583" w:hanging="352"/>
        <w:spacing w:after="0"/>
        <w:tabs>
          <w:tab w:leader="none" w:pos="1583" w:val="left"/>
        </w:tabs>
        <w:numPr>
          <w:ilvl w:val="2"/>
          <w:numId w:val="117"/>
        </w:numPr>
        <w:rPr>
          <w:rFonts w:ascii="Arial" w:cs="Arial" w:eastAsia="Arial" w:hAnsi="Arial"/>
          <w:sz w:val="16"/>
          <w:szCs w:val="16"/>
          <w:color w:val="auto"/>
        </w:rPr>
      </w:pPr>
      <w:r>
        <w:rPr>
          <w:rFonts w:ascii="Arial" w:cs="Arial" w:eastAsia="Arial" w:hAnsi="Arial"/>
          <w:sz w:val="16"/>
          <w:szCs w:val="16"/>
          <w:color w:val="auto"/>
        </w:rPr>
        <w:t>To determine how and when Purchase Rights will be granted and the provisions of each Offering (which need not be identical).</w:t>
      </w:r>
    </w:p>
    <w:p>
      <w:pPr>
        <w:spacing w:after="0" w:line="207" w:lineRule="exact"/>
        <w:rPr>
          <w:rFonts w:ascii="Arial" w:cs="Arial" w:eastAsia="Arial" w:hAnsi="Arial"/>
          <w:sz w:val="16"/>
          <w:szCs w:val="16"/>
          <w:color w:val="auto"/>
        </w:rPr>
      </w:pPr>
    </w:p>
    <w:p>
      <w:pPr>
        <w:jc w:val="right"/>
        <w:ind w:left="1883" w:hanging="652"/>
        <w:spacing w:after="0" w:line="254" w:lineRule="auto"/>
        <w:tabs>
          <w:tab w:leader="none" w:pos="1742" w:val="left"/>
        </w:tabs>
        <w:numPr>
          <w:ilvl w:val="2"/>
          <w:numId w:val="117"/>
        </w:numPr>
        <w:rPr>
          <w:rFonts w:ascii="Arial" w:cs="Arial" w:eastAsia="Arial" w:hAnsi="Arial"/>
          <w:sz w:val="16"/>
          <w:szCs w:val="16"/>
          <w:color w:val="auto"/>
        </w:rPr>
      </w:pPr>
      <w:r>
        <w:rPr>
          <w:rFonts w:ascii="Arial" w:cs="Arial" w:eastAsia="Arial" w:hAnsi="Arial"/>
          <w:sz w:val="16"/>
          <w:szCs w:val="16"/>
          <w:color w:val="auto"/>
        </w:rPr>
        <w:t>To designate from time to time which Related Corporations will be eligible to participate in the Plan as Designated 423 Corporations or which Related Corporations or Affiliates will be eligible to participate in the Plan as Designated Non-423 Corporations, which Affiliates or Related Corporations may be excluded from participation in the Plan, and which Designated Companies will participate in each separate Offering (to the extent that the Company makes separate Offerings).</w:t>
      </w:r>
    </w:p>
    <w:p>
      <w:pPr>
        <w:spacing w:after="0" w:line="152" w:lineRule="exact"/>
        <w:rPr>
          <w:rFonts w:ascii="Arial" w:cs="Arial" w:eastAsia="Arial" w:hAnsi="Arial"/>
          <w:sz w:val="16"/>
          <w:szCs w:val="16"/>
          <w:color w:val="auto"/>
        </w:rPr>
      </w:pPr>
    </w:p>
    <w:p>
      <w:pPr>
        <w:ind w:left="1883" w:hanging="652"/>
        <w:spacing w:after="0" w:line="245" w:lineRule="auto"/>
        <w:tabs>
          <w:tab w:leader="none" w:pos="1783"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57" w:lineRule="exact"/>
        <w:rPr>
          <w:rFonts w:ascii="Arial" w:cs="Arial" w:eastAsia="Arial" w:hAnsi="Arial"/>
          <w:sz w:val="17"/>
          <w:szCs w:val="17"/>
          <w:color w:val="auto"/>
        </w:rPr>
      </w:pPr>
    </w:p>
    <w:p>
      <w:pPr>
        <w:ind w:left="1663" w:hanging="432"/>
        <w:spacing w:after="0"/>
        <w:tabs>
          <w:tab w:leader="none" w:pos="1663"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settle all controversies regarding the Plan and Purchase Rights granted under the Plan.</w:t>
      </w:r>
    </w:p>
    <w:p>
      <w:pPr>
        <w:spacing w:after="0" w:line="198" w:lineRule="exact"/>
        <w:rPr>
          <w:rFonts w:ascii="Arial" w:cs="Arial" w:eastAsia="Arial" w:hAnsi="Arial"/>
          <w:sz w:val="18"/>
          <w:szCs w:val="18"/>
          <w:color w:val="auto"/>
        </w:rPr>
      </w:pPr>
    </w:p>
    <w:p>
      <w:pPr>
        <w:ind w:left="1623" w:hanging="392"/>
        <w:spacing w:after="0"/>
        <w:tabs>
          <w:tab w:leader="none" w:pos="1623"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suspend or terminate the Plan at any time as provided in Section 12.</w:t>
      </w:r>
    </w:p>
    <w:p>
      <w:pPr>
        <w:spacing w:after="0" w:line="184" w:lineRule="exact"/>
        <w:rPr>
          <w:rFonts w:ascii="Arial" w:cs="Arial" w:eastAsia="Arial" w:hAnsi="Arial"/>
          <w:sz w:val="18"/>
          <w:szCs w:val="18"/>
          <w:color w:val="auto"/>
        </w:rPr>
      </w:pPr>
    </w:p>
    <w:p>
      <w:pPr>
        <w:ind w:left="1663" w:hanging="432"/>
        <w:spacing w:after="0"/>
        <w:tabs>
          <w:tab w:leader="none" w:pos="1663"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amend the Plan at any time as provided in Section 12.</w:t>
      </w:r>
    </w:p>
    <w:p>
      <w:pPr>
        <w:spacing w:after="0" w:line="184" w:lineRule="exact"/>
        <w:rPr>
          <w:rFonts w:ascii="Arial" w:cs="Arial" w:eastAsia="Arial" w:hAnsi="Arial"/>
          <w:sz w:val="18"/>
          <w:szCs w:val="18"/>
          <w:color w:val="auto"/>
        </w:rPr>
      </w:pPr>
    </w:p>
    <w:p>
      <w:pPr>
        <w:ind w:left="1883" w:hanging="652"/>
        <w:spacing w:after="0" w:line="229" w:lineRule="auto"/>
        <w:tabs>
          <w:tab w:leader="none" w:pos="1725" w:val="left"/>
        </w:tabs>
        <w:numPr>
          <w:ilvl w:val="2"/>
          <w:numId w:val="117"/>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63" w:lineRule="exact"/>
        <w:rPr>
          <w:rFonts w:ascii="Arial" w:cs="Arial" w:eastAsia="Arial" w:hAnsi="Arial"/>
          <w:sz w:val="18"/>
          <w:szCs w:val="18"/>
          <w:color w:val="auto"/>
        </w:rPr>
      </w:pPr>
    </w:p>
    <w:p>
      <w:pPr>
        <w:ind w:left="1883" w:hanging="652"/>
        <w:spacing w:after="0" w:line="289" w:lineRule="auto"/>
        <w:tabs>
          <w:tab w:leader="none" w:pos="1835" w:val="left"/>
        </w:tabs>
        <w:numPr>
          <w:ilvl w:val="2"/>
          <w:numId w:val="117"/>
        </w:numPr>
        <w:rPr>
          <w:rFonts w:ascii="Arial" w:cs="Arial" w:eastAsia="Arial" w:hAnsi="Arial"/>
          <w:sz w:val="16"/>
          <w:szCs w:val="16"/>
          <w:color w:val="auto"/>
        </w:rPr>
      </w:pPr>
      <w:r>
        <w:rPr>
          <w:rFonts w:ascii="Arial" w:cs="Arial" w:eastAsia="Arial" w:hAnsi="Arial"/>
          <w:sz w:val="16"/>
          <w:szCs w:val="16"/>
          <w:color w:val="auto"/>
        </w:rPr>
        <w:t>To adopt such rules, procedures and sub-plans relating to the operation and administration of the Plan as are necessary or appropriate under applicable local laws, regulations and procedures to permit or facilitate participation in the Plan by</w:t>
      </w:r>
    </w:p>
    <w:p>
      <w:pPr>
        <w:sectPr>
          <w:pgSz w:w="11900" w:h="16838" w:orient="portrait"/>
          <w:cols w:equalWidth="0" w:num="1">
            <w:col w:w="10843"/>
          </w:cols>
          <w:pgMar w:left="717" w:top="364" w:right="339" w:bottom="1440" w:gutter="0" w:footer="0" w:header="0"/>
        </w:sectPr>
      </w:pPr>
    </w:p>
    <w:bookmarkStart w:id="140" w:name="page141"/>
    <w:bookmarkEnd w:id="140"/>
    <w:p>
      <w:pPr>
        <w:spacing w:after="0" w:line="76" w:lineRule="exact"/>
        <w:rPr>
          <w:sz w:val="20"/>
          <w:szCs w:val="20"/>
          <w:color w:val="auto"/>
        </w:rPr>
      </w:pPr>
    </w:p>
    <w:p>
      <w:pPr>
        <w:jc w:val="both"/>
        <w:ind w:left="1883"/>
        <w:spacing w:after="0" w:line="248" w:lineRule="auto"/>
        <w:rPr>
          <w:sz w:val="20"/>
          <w:szCs w:val="20"/>
          <w:color w:val="auto"/>
        </w:rPr>
      </w:pPr>
      <w:r>
        <w:rPr>
          <w:rFonts w:ascii="Arial" w:cs="Arial" w:eastAsia="Arial" w:hAnsi="Arial"/>
          <w:sz w:val="16"/>
          <w:szCs w:val="16"/>
          <w:color w:val="auto"/>
        </w:rPr>
        <w:t>Employees who are foreign nationals or employed or located outside the United States. Without limiting the generality of, but consistent with, the foregoing, the Board specifically is authorized to adopt rules, procedures, and sub-plans, which, if</w:t>
      </w:r>
    </w:p>
    <w:p>
      <w:pPr>
        <w:jc w:val="both"/>
        <w:ind w:left="1883"/>
        <w:spacing w:after="0" w:line="234" w:lineRule="auto"/>
        <w:rPr>
          <w:sz w:val="20"/>
          <w:szCs w:val="20"/>
          <w:color w:val="auto"/>
        </w:rPr>
      </w:pPr>
      <w:r>
        <w:rPr>
          <w:rFonts w:ascii="Arial" w:cs="Arial" w:eastAsia="Arial" w:hAnsi="Arial"/>
          <w:sz w:val="16"/>
          <w:szCs w:val="16"/>
          <w:color w:val="auto"/>
        </w:rPr>
        <w:t>applicable to a Designated Non-423 Corporation, do not have to comply with the requirements of Section 423 of the Code, regarding, without limitation, eligibility to participate in the Plan, the definition of eligible “earnings,” handling and making of Contributions, establishment of bank or trust accounts to hold Contributions, payment of interest, conversion of local</w:t>
      </w:r>
    </w:p>
    <w:p>
      <w:pPr>
        <w:spacing w:after="0" w:line="2" w:lineRule="exact"/>
        <w:rPr>
          <w:sz w:val="20"/>
          <w:szCs w:val="20"/>
          <w:color w:val="auto"/>
        </w:rPr>
      </w:pPr>
    </w:p>
    <w:p>
      <w:pPr>
        <w:jc w:val="both"/>
        <w:ind w:left="1883" w:right="20"/>
        <w:spacing w:after="0" w:line="226" w:lineRule="auto"/>
        <w:rPr>
          <w:sz w:val="20"/>
          <w:szCs w:val="20"/>
          <w:color w:val="auto"/>
        </w:rPr>
      </w:pPr>
      <w:r>
        <w:rPr>
          <w:rFonts w:ascii="Arial" w:cs="Arial" w:eastAsia="Arial" w:hAnsi="Arial"/>
          <w:sz w:val="18"/>
          <w:szCs w:val="18"/>
          <w:color w:val="auto"/>
        </w:rPr>
        <w:t>currency, obligations to pay payroll tax, withholding procedures and handling of share issuances, any of which may vary according to applicable requirements.</w:t>
      </w:r>
    </w:p>
    <w:p>
      <w:pPr>
        <w:spacing w:after="0" w:line="161" w:lineRule="exact"/>
        <w:rPr>
          <w:sz w:val="20"/>
          <w:szCs w:val="20"/>
          <w:color w:val="auto"/>
        </w:rPr>
      </w:pPr>
    </w:p>
    <w:p>
      <w:pPr>
        <w:jc w:val="both"/>
        <w:ind w:left="3" w:firstLine="515"/>
        <w:spacing w:after="0" w:line="241" w:lineRule="auto"/>
        <w:tabs>
          <w:tab w:leader="none" w:pos="928" w:val="left"/>
        </w:tabs>
        <w:numPr>
          <w:ilvl w:val="1"/>
          <w:numId w:val="118"/>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other persons or groups of persons, including without limitation the Plan Administrator,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7" w:lineRule="exact"/>
        <w:rPr>
          <w:rFonts w:ascii="Arial" w:cs="Arial" w:eastAsia="Arial" w:hAnsi="Arial"/>
          <w:sz w:val="16"/>
          <w:szCs w:val="16"/>
          <w:b w:val="1"/>
          <w:bCs w:val="1"/>
          <w:color w:val="auto"/>
        </w:rPr>
      </w:pPr>
    </w:p>
    <w:p>
      <w:pPr>
        <w:ind w:left="3" w:right="20" w:firstLine="515"/>
        <w:spacing w:after="0" w:line="235" w:lineRule="auto"/>
        <w:tabs>
          <w:tab w:leader="none" w:pos="963"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will not be subject to review by any person and will be final, binding and conclusive on all persons.</w:t>
      </w:r>
    </w:p>
    <w:p>
      <w:pPr>
        <w:spacing w:after="0" w:line="157" w:lineRule="exact"/>
        <w:rPr>
          <w:rFonts w:ascii="Arial" w:cs="Arial" w:eastAsia="Arial" w:hAnsi="Arial"/>
          <w:sz w:val="18"/>
          <w:szCs w:val="18"/>
          <w:b w:val="1"/>
          <w:bCs w:val="1"/>
          <w:color w:val="auto"/>
        </w:rPr>
      </w:pPr>
    </w:p>
    <w:p>
      <w:pPr>
        <w:ind w:left="323" w:hanging="323"/>
        <w:spacing w:after="0"/>
        <w:tabs>
          <w:tab w:leader="none" w:pos="323"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198" w:lineRule="exact"/>
        <w:rPr>
          <w:rFonts w:ascii="Arial" w:cs="Arial" w:eastAsia="Arial" w:hAnsi="Arial"/>
          <w:sz w:val="18"/>
          <w:szCs w:val="18"/>
          <w:b w:val="1"/>
          <w:bCs w:val="1"/>
          <w:color w:val="auto"/>
        </w:rPr>
      </w:pPr>
    </w:p>
    <w:p>
      <w:pPr>
        <w:jc w:val="both"/>
        <w:ind w:left="3" w:firstLine="515"/>
        <w:spacing w:after="0" w:line="220" w:lineRule="auto"/>
        <w:tabs>
          <w:tab w:leader="none" w:pos="965"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Available</w:t>
      </w:r>
      <w:r>
        <w:rPr>
          <w:rFonts w:ascii="Arial" w:cs="Arial" w:eastAsia="Arial" w:hAnsi="Arial"/>
          <w:sz w:val="18"/>
          <w:szCs w:val="18"/>
          <w:color w:val="auto"/>
        </w:rPr>
        <w:t>. Subject to the provisions of Section 11(a) relating to Capitalization Adjustments, the initial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that may be issued under the Plan shall equal 3,000,000 shares of Common Stock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58" w:lineRule="exact"/>
        <w:rPr>
          <w:rFonts w:ascii="Arial" w:cs="Arial" w:eastAsia="Arial" w:hAnsi="Arial"/>
          <w:sz w:val="18"/>
          <w:szCs w:val="18"/>
          <w:b w:val="1"/>
          <w:bCs w:val="1"/>
          <w:color w:val="auto"/>
        </w:rPr>
      </w:pPr>
    </w:p>
    <w:p>
      <w:pPr>
        <w:jc w:val="both"/>
        <w:ind w:left="3" w:firstLine="515"/>
        <w:spacing w:after="0" w:line="312" w:lineRule="auto"/>
        <w:tabs>
          <w:tab w:leader="none" w:pos="975"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Shares Available Following Purchase Right Terminations</w:t>
      </w:r>
      <w:r>
        <w:rPr>
          <w:rFonts w:ascii="Arial" w:cs="Arial" w:eastAsia="Arial" w:hAnsi="Arial"/>
          <w:sz w:val="16"/>
          <w:szCs w:val="16"/>
          <w:color w:val="auto"/>
        </w:rPr>
        <w:t>. If any Purchase Right granted under the Plan terminates without having</w:t>
      </w:r>
      <w:r>
        <w:rPr>
          <w:rFonts w:ascii="Arial" w:cs="Arial" w:eastAsia="Arial" w:hAnsi="Arial"/>
          <w:sz w:val="16"/>
          <w:szCs w:val="16"/>
          <w:b w:val="1"/>
          <w:bCs w:val="1"/>
          <w:color w:val="auto"/>
        </w:rPr>
        <w:t xml:space="preserve"> </w:t>
      </w:r>
      <w:r>
        <w:rPr>
          <w:rFonts w:ascii="Arial" w:cs="Arial" w:eastAsia="Arial" w:hAnsi="Arial"/>
          <w:sz w:val="16"/>
          <w:szCs w:val="16"/>
          <w:color w:val="auto"/>
        </w:rPr>
        <w:t>been exercised in full, the shares of Common Stock not purchased under such Purchase Right will again become available for issuance under the Plan.</w:t>
      </w:r>
    </w:p>
    <w:p>
      <w:pPr>
        <w:spacing w:after="0" w:line="102" w:lineRule="exact"/>
        <w:rPr>
          <w:rFonts w:ascii="Arial" w:cs="Arial" w:eastAsia="Arial" w:hAnsi="Arial"/>
          <w:sz w:val="16"/>
          <w:szCs w:val="16"/>
          <w:b w:val="1"/>
          <w:bCs w:val="1"/>
          <w:color w:val="auto"/>
        </w:rPr>
      </w:pPr>
    </w:p>
    <w:p>
      <w:pPr>
        <w:ind w:left="3" w:firstLine="515"/>
        <w:spacing w:after="0" w:line="237" w:lineRule="auto"/>
        <w:tabs>
          <w:tab w:leader="none" w:pos="1009"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purchasable under the Plan will be shares of authorized but unissued or reacquired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repurchased by the Company on the open market.</w:t>
      </w:r>
    </w:p>
    <w:p>
      <w:pPr>
        <w:spacing w:after="0" w:line="171" w:lineRule="exact"/>
        <w:rPr>
          <w:rFonts w:ascii="Arial" w:cs="Arial" w:eastAsia="Arial" w:hAnsi="Arial"/>
          <w:sz w:val="18"/>
          <w:szCs w:val="18"/>
          <w:b w:val="1"/>
          <w:bCs w:val="1"/>
          <w:color w:val="auto"/>
        </w:rPr>
      </w:pPr>
    </w:p>
    <w:p>
      <w:pPr>
        <w:ind w:left="323" w:hanging="323"/>
        <w:spacing w:after="0"/>
        <w:tabs>
          <w:tab w:leader="none" w:pos="323"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Purchase Rights; Offerings.</w:t>
      </w:r>
    </w:p>
    <w:p>
      <w:pPr>
        <w:spacing w:after="0" w:line="184" w:lineRule="exact"/>
        <w:rPr>
          <w:rFonts w:ascii="Arial" w:cs="Arial" w:eastAsia="Arial" w:hAnsi="Arial"/>
          <w:sz w:val="18"/>
          <w:szCs w:val="18"/>
          <w:b w:val="1"/>
          <w:bCs w:val="1"/>
          <w:color w:val="auto"/>
        </w:rPr>
      </w:pPr>
    </w:p>
    <w:p>
      <w:pPr>
        <w:jc w:val="both"/>
        <w:ind w:left="3" w:firstLine="515"/>
        <w:spacing w:after="0" w:line="228" w:lineRule="auto"/>
        <w:tabs>
          <w:tab w:leader="none" w:pos="925" w:val="left"/>
        </w:tabs>
        <w:numPr>
          <w:ilvl w:val="1"/>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Offerings</w:t>
      </w:r>
      <w:r>
        <w:rPr>
          <w:rFonts w:ascii="Arial" w:cs="Arial" w:eastAsia="Arial" w:hAnsi="Arial"/>
          <w:sz w:val="17"/>
          <w:szCs w:val="17"/>
          <w:color w:val="auto"/>
        </w:rPr>
        <w:t>. The Board may from time to time grant or provide for the grant of Purchase Rights to Eligible Employees under an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requirements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of the Plan, inclusive.</w:t>
      </w:r>
    </w:p>
    <w:p>
      <w:pPr>
        <w:spacing w:after="0" w:line="161" w:lineRule="exact"/>
        <w:rPr>
          <w:rFonts w:ascii="Arial" w:cs="Arial" w:eastAsia="Arial" w:hAnsi="Arial"/>
          <w:sz w:val="17"/>
          <w:szCs w:val="17"/>
          <w:b w:val="1"/>
          <w:bCs w:val="1"/>
          <w:color w:val="auto"/>
        </w:rPr>
      </w:pPr>
    </w:p>
    <w:p>
      <w:pPr>
        <w:jc w:val="both"/>
        <w:ind w:left="3" w:firstLine="515"/>
        <w:spacing w:after="0" w:line="270" w:lineRule="auto"/>
        <w:tabs>
          <w:tab w:leader="none" w:pos="948"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Restart Provision Permitted</w:t>
      </w:r>
      <w:r>
        <w:rPr>
          <w:rFonts w:ascii="Arial" w:cs="Arial" w:eastAsia="Arial" w:hAnsi="Arial"/>
          <w:sz w:val="16"/>
          <w:szCs w:val="16"/>
          <w:color w:val="auto"/>
        </w:rPr>
        <w:t>. The Board will have the discretion to structure an Offering so that if the Fair Market Value of a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3"/>
          </w:cols>
          <w:pgMar w:left="717" w:top="1440" w:right="339" w:bottom="1440" w:gutter="0" w:footer="0" w:header="0"/>
        </w:sectPr>
      </w:pPr>
    </w:p>
    <w:bookmarkStart w:id="141" w:name="page142"/>
    <w:bookmarkEnd w:id="141"/>
    <w:p>
      <w:pPr>
        <w:spacing w:after="0" w:line="76" w:lineRule="exact"/>
        <w:rPr>
          <w:sz w:val="20"/>
          <w:szCs w:val="20"/>
          <w:color w:val="auto"/>
        </w:rPr>
      </w:pPr>
    </w:p>
    <w:p>
      <w:pPr>
        <w:ind w:left="3"/>
        <w:spacing w:after="0" w:line="235" w:lineRule="auto"/>
        <w:rPr>
          <w:sz w:val="20"/>
          <w:szCs w:val="20"/>
          <w:color w:val="auto"/>
        </w:rPr>
      </w:pPr>
      <w:r>
        <w:rPr>
          <w:rFonts w:ascii="Arial" w:cs="Arial" w:eastAsia="Arial" w:hAnsi="Arial"/>
          <w:sz w:val="18"/>
          <w:szCs w:val="18"/>
          <w:color w:val="auto"/>
        </w:rPr>
        <w:t>Participants in such terminated Offering will be automatically enrolled in a new Offering beginning on the first Trading Day of such new Purchase Period.</w:t>
      </w:r>
    </w:p>
    <w:p>
      <w:pPr>
        <w:spacing w:after="0" w:line="171" w:lineRule="exact"/>
        <w:rPr>
          <w:sz w:val="20"/>
          <w:szCs w:val="20"/>
          <w:color w:val="auto"/>
        </w:rPr>
      </w:pPr>
    </w:p>
    <w:p>
      <w:pPr>
        <w:ind w:left="323" w:hanging="323"/>
        <w:spacing w:after="0"/>
        <w:tabs>
          <w:tab w:leader="none" w:pos="32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84" w:lineRule="exact"/>
        <w:rPr>
          <w:rFonts w:ascii="Arial" w:cs="Arial" w:eastAsia="Arial" w:hAnsi="Arial"/>
          <w:sz w:val="18"/>
          <w:szCs w:val="18"/>
          <w:b w:val="1"/>
          <w:bCs w:val="1"/>
          <w:color w:val="auto"/>
        </w:rPr>
      </w:pPr>
    </w:p>
    <w:p>
      <w:pPr>
        <w:jc w:val="both"/>
        <w:ind w:left="3" w:firstLine="515"/>
        <w:spacing w:after="0" w:line="227" w:lineRule="auto"/>
        <w:tabs>
          <w:tab w:leader="none" w:pos="1019" w:val="left"/>
        </w:tabs>
        <w:numPr>
          <w:ilvl w:val="1"/>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Purchase Rights may be granted only to Employees of the Company or, as the Board may designate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2(b), to Employees of a Related Corporation or an Affiliate. Except as provided in Section 5(b) or as required by Applicable Law,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 to or greater than two years. The Board may provide that no Employee will be eligible to be granted Purchase Rights under the Plan unless, on the Offering Date, such Employee’s customary employment with the Company, the Related Corporation or the Affiliate, as applicable, is more than 20 hours per week and/or more than five months per calendar year and/or such other criteria as the Board may determine consistent with Section 423 of the Code with respect to the 423 Component and Applicable Law. The Board further retains the discretion to determine which Eligible Employees may participate in an Offering pursuant to and consistent with U.S. Treasury Regulation Section 1.423-2(e) and (f).</w:t>
      </w:r>
    </w:p>
    <w:p>
      <w:pPr>
        <w:spacing w:after="0" w:line="162" w:lineRule="exact"/>
        <w:rPr>
          <w:rFonts w:ascii="Arial" w:cs="Arial" w:eastAsia="Arial" w:hAnsi="Arial"/>
          <w:sz w:val="17"/>
          <w:szCs w:val="17"/>
          <w:b w:val="1"/>
          <w:bCs w:val="1"/>
          <w:color w:val="auto"/>
        </w:rPr>
      </w:pPr>
    </w:p>
    <w:p>
      <w:pPr>
        <w:jc w:val="both"/>
        <w:ind w:left="3" w:firstLine="515"/>
        <w:spacing w:after="0" w:line="223" w:lineRule="auto"/>
        <w:tabs>
          <w:tab w:leader="none" w:pos="948"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Purchase Rights in Ongoing Offering</w:t>
      </w:r>
      <w:r>
        <w:rPr>
          <w:rFonts w:ascii="Arial" w:cs="Arial" w:eastAsia="Arial" w:hAnsi="Arial"/>
          <w:sz w:val="18"/>
          <w:szCs w:val="18"/>
          <w:color w:val="auto"/>
        </w:rPr>
        <w:t>. The Board may provide that each person who, during the course of an Offering, first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62" w:lineRule="exact"/>
        <w:rPr>
          <w:rFonts w:ascii="Arial" w:cs="Arial" w:eastAsia="Arial" w:hAnsi="Arial"/>
          <w:sz w:val="18"/>
          <w:szCs w:val="18"/>
          <w:b w:val="1"/>
          <w:bCs w:val="1"/>
          <w:color w:val="auto"/>
        </w:rPr>
      </w:pPr>
    </w:p>
    <w:p>
      <w:pPr>
        <w:ind w:left="1883" w:hanging="652"/>
        <w:spacing w:after="0" w:line="235" w:lineRule="auto"/>
        <w:tabs>
          <w:tab w:leader="none" w:pos="1596"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5" w:lineRule="exact"/>
        <w:rPr>
          <w:rFonts w:ascii="Arial" w:cs="Arial" w:eastAsia="Arial" w:hAnsi="Arial"/>
          <w:sz w:val="18"/>
          <w:szCs w:val="18"/>
          <w:color w:val="auto"/>
        </w:rPr>
      </w:pPr>
    </w:p>
    <w:p>
      <w:pPr>
        <w:ind w:left="1883" w:hanging="652"/>
        <w:spacing w:after="0" w:line="235" w:lineRule="auto"/>
        <w:tabs>
          <w:tab w:leader="none" w:pos="1658"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period of the Offering with respect to such Purchase Right will begin on its Offering Date and end coincident with the end of such Offering; and</w:t>
      </w:r>
    </w:p>
    <w:p>
      <w:pPr>
        <w:spacing w:after="0" w:line="161" w:lineRule="exact"/>
        <w:rPr>
          <w:rFonts w:ascii="Arial" w:cs="Arial" w:eastAsia="Arial" w:hAnsi="Arial"/>
          <w:sz w:val="18"/>
          <w:szCs w:val="18"/>
          <w:color w:val="auto"/>
        </w:rPr>
      </w:pPr>
    </w:p>
    <w:p>
      <w:pPr>
        <w:ind w:left="1883" w:hanging="652"/>
        <w:spacing w:after="0" w:line="246" w:lineRule="auto"/>
        <w:tabs>
          <w:tab w:leader="none" w:pos="169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52" w:lineRule="exact"/>
        <w:rPr>
          <w:rFonts w:ascii="Arial" w:cs="Arial" w:eastAsia="Arial" w:hAnsi="Arial"/>
          <w:sz w:val="18"/>
          <w:szCs w:val="18"/>
          <w:color w:val="auto"/>
        </w:rPr>
      </w:pPr>
    </w:p>
    <w:p>
      <w:pPr>
        <w:jc w:val="both"/>
        <w:ind w:left="3" w:firstLine="515"/>
        <w:spacing w:after="0" w:line="220" w:lineRule="auto"/>
        <w:tabs>
          <w:tab w:leader="none" w:pos="914"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5% Stockholders Excluded</w:t>
      </w:r>
      <w:r>
        <w:rPr>
          <w:rFonts w:ascii="Arial" w:cs="Arial" w:eastAsia="Arial" w:hAnsi="Arial"/>
          <w:sz w:val="18"/>
          <w:szCs w:val="18"/>
          <w:color w:val="auto"/>
        </w:rPr>
        <w:t>. No Employee will be eligible for the grant of any Purchase Rights if, immediately after any such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71" w:lineRule="exact"/>
        <w:rPr>
          <w:rFonts w:ascii="Arial" w:cs="Arial" w:eastAsia="Arial" w:hAnsi="Arial"/>
          <w:sz w:val="18"/>
          <w:szCs w:val="18"/>
          <w:b w:val="1"/>
          <w:bCs w:val="1"/>
          <w:color w:val="auto"/>
        </w:rPr>
      </w:pPr>
    </w:p>
    <w:p>
      <w:pPr>
        <w:jc w:val="both"/>
        <w:ind w:left="3" w:firstLine="515"/>
        <w:spacing w:after="0" w:line="217" w:lineRule="auto"/>
        <w:tabs>
          <w:tab w:leader="none" w:pos="962"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US$25,000 Limit</w:t>
      </w:r>
      <w:r>
        <w:rPr>
          <w:rFonts w:ascii="Arial" w:cs="Arial" w:eastAsia="Arial" w:hAnsi="Arial"/>
          <w:sz w:val="18"/>
          <w:szCs w:val="18"/>
          <w:color w:val="auto"/>
        </w:rPr>
        <w:t>. As specified by Section 423(b)(8) of the Code, an Eligible Employee may be granted Purchase Rights only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Rights, together with any other rights granted under all Employee Stock Purchase Plans of the Company and any Related Corporations or Affiliates, do not permit such Eligible Employee’s rights to purchase stock of the Company or any Related Corporation or Affiliates to accrue at a rate which, when aggregated, exceeds US$25,000 of Fair Market Value of such stock (determined at the time such rights are granted, and which, with respect to the Plan, will be determined as of their respective Offering Dates) for each calendar year in which such rights are outstanding at any time, subject to compliance with Applicable Law.</w:t>
      </w:r>
    </w:p>
    <w:p>
      <w:pPr>
        <w:spacing w:after="0" w:line="159" w:lineRule="exact"/>
        <w:rPr>
          <w:rFonts w:ascii="Arial" w:cs="Arial" w:eastAsia="Arial" w:hAnsi="Arial"/>
          <w:sz w:val="18"/>
          <w:szCs w:val="18"/>
          <w:b w:val="1"/>
          <w:bCs w:val="1"/>
          <w:color w:val="auto"/>
        </w:rPr>
      </w:pPr>
    </w:p>
    <w:p>
      <w:pPr>
        <w:jc w:val="both"/>
        <w:ind w:left="3" w:firstLine="515"/>
        <w:spacing w:after="0" w:line="247" w:lineRule="auto"/>
        <w:tabs>
          <w:tab w:leader="none" w:pos="955" w:val="left"/>
        </w:tabs>
        <w:numPr>
          <w:ilvl w:val="1"/>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Highly Compensated Employees</w:t>
      </w:r>
      <w:r>
        <w:rPr>
          <w:rFonts w:ascii="Arial" w:cs="Arial" w:eastAsia="Arial" w:hAnsi="Arial"/>
          <w:sz w:val="17"/>
          <w:szCs w:val="17"/>
          <w:color w:val="auto"/>
        </w:rPr>
        <w:t>. Officers of the Company and any Designated Company, if they are otherwise Eligible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52" w:lineRule="exact"/>
        <w:rPr>
          <w:rFonts w:ascii="Arial" w:cs="Arial" w:eastAsia="Arial" w:hAnsi="Arial"/>
          <w:sz w:val="17"/>
          <w:szCs w:val="17"/>
          <w:b w:val="1"/>
          <w:bCs w:val="1"/>
          <w:color w:val="auto"/>
        </w:rPr>
      </w:pPr>
    </w:p>
    <w:p>
      <w:pPr>
        <w:ind w:left="3" w:firstLine="515"/>
        <w:spacing w:after="0" w:line="250" w:lineRule="auto"/>
        <w:tabs>
          <w:tab w:leader="none" w:pos="881"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Non-423 Component Offerings</w:t>
      </w:r>
      <w:r>
        <w:rPr>
          <w:rFonts w:ascii="Arial" w:cs="Arial" w:eastAsia="Arial" w:hAnsi="Arial"/>
          <w:sz w:val="18"/>
          <w:szCs w:val="18"/>
          <w:color w:val="auto"/>
        </w:rPr>
        <w:t>. Notwithstanding anything in this Section 5 to the contrary, in the case of an Offering under the Non-423</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an Eligible Employee (or group of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3"/>
          </w:cols>
          <w:pgMar w:left="717" w:top="1440" w:right="339" w:bottom="1440" w:gutter="0" w:footer="0" w:header="0"/>
        </w:sectPr>
      </w:pPr>
    </w:p>
    <w:bookmarkStart w:id="142" w:name="page143"/>
    <w:bookmarkEnd w:id="142"/>
    <w:p>
      <w:pPr>
        <w:spacing w:after="0" w:line="76" w:lineRule="exact"/>
        <w:rPr>
          <w:sz w:val="20"/>
          <w:szCs w:val="20"/>
          <w:color w:val="auto"/>
        </w:rPr>
      </w:pPr>
    </w:p>
    <w:p>
      <w:pPr>
        <w:ind w:left="3"/>
        <w:spacing w:after="0" w:line="235" w:lineRule="auto"/>
        <w:rPr>
          <w:sz w:val="20"/>
          <w:szCs w:val="20"/>
          <w:color w:val="auto"/>
        </w:rPr>
      </w:pPr>
      <w:r>
        <w:rPr>
          <w:rFonts w:ascii="Arial" w:cs="Arial" w:eastAsia="Arial" w:hAnsi="Arial"/>
          <w:sz w:val="18"/>
          <w:szCs w:val="18"/>
          <w:color w:val="auto"/>
        </w:rPr>
        <w:t>may be excluded from participation in the Plan or an Offering if the Board has determined, in its sole discretion, that participation of such Eligible Employee(s) is not advisable or practical for any reason.</w:t>
      </w:r>
    </w:p>
    <w:p>
      <w:pPr>
        <w:spacing w:after="0" w:line="171" w:lineRule="exact"/>
        <w:rPr>
          <w:sz w:val="20"/>
          <w:szCs w:val="20"/>
          <w:color w:val="auto"/>
        </w:rPr>
      </w:pPr>
    </w:p>
    <w:p>
      <w:pPr>
        <w:ind w:left="323" w:hanging="323"/>
        <w:spacing w:after="0"/>
        <w:tabs>
          <w:tab w:leader="none" w:pos="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Rights; Purchase Price.</w:t>
      </w:r>
    </w:p>
    <w:p>
      <w:pPr>
        <w:spacing w:after="0" w:line="184" w:lineRule="exact"/>
        <w:rPr>
          <w:rFonts w:ascii="Arial" w:cs="Arial" w:eastAsia="Arial" w:hAnsi="Arial"/>
          <w:sz w:val="18"/>
          <w:szCs w:val="18"/>
          <w:b w:val="1"/>
          <w:bCs w:val="1"/>
          <w:color w:val="auto"/>
        </w:rPr>
      </w:pPr>
    </w:p>
    <w:p>
      <w:pPr>
        <w:jc w:val="both"/>
        <w:ind w:left="3" w:firstLine="515"/>
        <w:spacing w:after="0" w:line="249" w:lineRule="auto"/>
        <w:tabs>
          <w:tab w:leader="none" w:pos="965" w:val="left"/>
        </w:tabs>
        <w:numPr>
          <w:ilvl w:val="2"/>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and Maximum Contribution Rate. </w:t>
      </w:r>
      <w:r>
        <w:rPr>
          <w:rFonts w:ascii="Arial" w:cs="Arial" w:eastAsia="Arial" w:hAnsi="Arial"/>
          <w:sz w:val="16"/>
          <w:szCs w:val="16"/>
          <w:color w:val="auto"/>
        </w:rPr>
        <w:t>On each Offering Date, each Eligible Employee, pursuant to an Offering made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will be granted a Purchase Right to purchase up to that number of shares of Common Stock (rounded down to the nearest whole number of shares) purchasable either with a percentage or with a maximum dollar amount, as designated by the Board, but in either case not exceeding 20%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66" w:lineRule="exact"/>
        <w:rPr>
          <w:rFonts w:ascii="Arial" w:cs="Arial" w:eastAsia="Arial" w:hAnsi="Arial"/>
          <w:sz w:val="16"/>
          <w:szCs w:val="16"/>
          <w:b w:val="1"/>
          <w:bCs w:val="1"/>
          <w:color w:val="auto"/>
        </w:rPr>
      </w:pPr>
    </w:p>
    <w:p>
      <w:pPr>
        <w:ind w:left="3" w:firstLine="438"/>
        <w:spacing w:after="0" w:line="237" w:lineRule="auto"/>
        <w:tabs>
          <w:tab w:leader="none" w:pos="911"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Dates</w:t>
      </w:r>
      <w:r>
        <w:rPr>
          <w:rFonts w:ascii="Arial" w:cs="Arial" w:eastAsia="Arial" w:hAnsi="Arial"/>
          <w:sz w:val="18"/>
          <w:szCs w:val="18"/>
          <w:color w:val="auto"/>
        </w:rPr>
        <w:t>. The Board will establish one or more Purchase Dates during an Offering on which Purchase Rights granted for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will be exercised and shares of Common Stock will be purchased in accordance with such Offering.</w:t>
      </w:r>
    </w:p>
    <w:p>
      <w:pPr>
        <w:spacing w:after="0" w:line="50" w:lineRule="exact"/>
        <w:rPr>
          <w:rFonts w:ascii="Arial" w:cs="Arial" w:eastAsia="Arial" w:hAnsi="Arial"/>
          <w:sz w:val="18"/>
          <w:szCs w:val="18"/>
          <w:b w:val="1"/>
          <w:bCs w:val="1"/>
          <w:color w:val="auto"/>
        </w:rPr>
      </w:pPr>
    </w:p>
    <w:p>
      <w:pPr>
        <w:jc w:val="both"/>
        <w:ind w:left="3" w:firstLine="438"/>
        <w:spacing w:after="0" w:line="243" w:lineRule="auto"/>
        <w:tabs>
          <w:tab w:leader="none" w:pos="904" w:val="left"/>
        </w:tabs>
        <w:numPr>
          <w:ilvl w:val="1"/>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Other Purchase Limitations</w:t>
      </w:r>
      <w:r>
        <w:rPr>
          <w:rFonts w:ascii="Arial" w:cs="Arial" w:eastAsia="Arial" w:hAnsi="Arial"/>
          <w:sz w:val="16"/>
          <w:szCs w:val="16"/>
          <w:color w:val="auto"/>
        </w:rPr>
        <w:t>. A Participant may not purchase more than 3,000 shares of Common Stock under the Plan on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Date. Without stockholder approval the Board may increase or reduce such maximum (including without limitation pursuant to Section 11(a) relating to Capitalization Adjustments) but shall not eliminate it under any circumstances with respect to an Offering under the 423 Component. In addition, in connection with each Offering made under the Plan, the Board may specify (i) a maximum aggregate number of shares of Common Stock that may be purchased by all Participants pursuant to such Offering and/or (ii)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allocation (based on each Participant’s accumulated Contributions) of the shares of Common Stock (rounded down to the nearest whole number of shares) available will be made in as nearly a uniform manner as will be practicable and equitable.</w:t>
      </w:r>
    </w:p>
    <w:p>
      <w:pPr>
        <w:spacing w:after="0" w:line="51" w:lineRule="exact"/>
        <w:rPr>
          <w:rFonts w:ascii="Arial" w:cs="Arial" w:eastAsia="Arial" w:hAnsi="Arial"/>
          <w:sz w:val="16"/>
          <w:szCs w:val="16"/>
          <w:b w:val="1"/>
          <w:bCs w:val="1"/>
          <w:color w:val="auto"/>
        </w:rPr>
      </w:pPr>
    </w:p>
    <w:p>
      <w:pPr>
        <w:ind w:left="843" w:hanging="402"/>
        <w:spacing w:after="0"/>
        <w:tabs>
          <w:tab w:leader="none" w:pos="843" w:val="left"/>
        </w:tabs>
        <w:numPr>
          <w:ilvl w:val="1"/>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w:t>
      </w:r>
      <w:r>
        <w:rPr>
          <w:rFonts w:ascii="Arial" w:cs="Arial" w:eastAsia="Arial" w:hAnsi="Arial"/>
          <w:sz w:val="16"/>
          <w:szCs w:val="16"/>
          <w:color w:val="auto"/>
        </w:rPr>
        <w:t>. The purchase price of shares of Common Stock acquired pursuant to Purchase Rights will be not less than the lesser of:</w:t>
      </w:r>
    </w:p>
    <w:p>
      <w:pPr>
        <w:spacing w:after="0" w:line="117" w:lineRule="exact"/>
        <w:rPr>
          <w:rFonts w:ascii="Arial" w:cs="Arial" w:eastAsia="Arial" w:hAnsi="Arial"/>
          <w:sz w:val="16"/>
          <w:szCs w:val="16"/>
          <w:b w:val="1"/>
          <w:bCs w:val="1"/>
          <w:color w:val="auto"/>
        </w:rPr>
      </w:pPr>
    </w:p>
    <w:p>
      <w:pPr>
        <w:ind w:left="1263" w:hanging="356"/>
        <w:spacing w:after="0"/>
        <w:tabs>
          <w:tab w:leader="none" w:pos="1263" w:val="left"/>
        </w:tabs>
        <w:numPr>
          <w:ilvl w:val="3"/>
          <w:numId w:val="121"/>
        </w:numPr>
        <w:rPr>
          <w:rFonts w:ascii="Arial" w:cs="Arial" w:eastAsia="Arial" w:hAnsi="Arial"/>
          <w:sz w:val="18"/>
          <w:szCs w:val="18"/>
          <w:color w:val="auto"/>
        </w:rPr>
      </w:pPr>
      <w:r>
        <w:rPr>
          <w:rFonts w:ascii="Arial" w:cs="Arial" w:eastAsia="Arial" w:hAnsi="Arial"/>
          <w:sz w:val="18"/>
          <w:szCs w:val="18"/>
          <w:color w:val="auto"/>
        </w:rPr>
        <w:t>an amount equal to 85% of the Fair Market Value of the shares of Common Stock on the Offering Date; or</w:t>
      </w:r>
    </w:p>
    <w:p>
      <w:pPr>
        <w:spacing w:after="0" w:line="184" w:lineRule="exact"/>
        <w:rPr>
          <w:rFonts w:ascii="Arial" w:cs="Arial" w:eastAsia="Arial" w:hAnsi="Arial"/>
          <w:sz w:val="18"/>
          <w:szCs w:val="18"/>
          <w:color w:val="auto"/>
        </w:rPr>
      </w:pPr>
    </w:p>
    <w:p>
      <w:pPr>
        <w:ind w:left="1303" w:hanging="396"/>
        <w:spacing w:after="0"/>
        <w:tabs>
          <w:tab w:leader="none" w:pos="1303" w:val="left"/>
        </w:tabs>
        <w:numPr>
          <w:ilvl w:val="3"/>
          <w:numId w:val="121"/>
        </w:numPr>
        <w:rPr>
          <w:rFonts w:ascii="Arial" w:cs="Arial" w:eastAsia="Arial" w:hAnsi="Arial"/>
          <w:sz w:val="18"/>
          <w:szCs w:val="18"/>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180" w:lineRule="exact"/>
        <w:rPr>
          <w:rFonts w:ascii="Arial" w:cs="Arial" w:eastAsia="Arial" w:hAnsi="Arial"/>
          <w:sz w:val="18"/>
          <w:szCs w:val="18"/>
          <w:color w:val="auto"/>
        </w:rPr>
      </w:pPr>
    </w:p>
    <w:p>
      <w:pPr>
        <w:ind w:left="323" w:hanging="323"/>
        <w:spacing w:after="0"/>
        <w:tabs>
          <w:tab w:leader="none" w:pos="32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Withdrawal; Termination.</w:t>
      </w:r>
    </w:p>
    <w:p>
      <w:pPr>
        <w:spacing w:after="0" w:line="198" w:lineRule="exact"/>
        <w:rPr>
          <w:rFonts w:ascii="Arial" w:cs="Arial" w:eastAsia="Arial" w:hAnsi="Arial"/>
          <w:sz w:val="18"/>
          <w:szCs w:val="18"/>
          <w:b w:val="1"/>
          <w:bCs w:val="1"/>
          <w:color w:val="auto"/>
        </w:rPr>
      </w:pPr>
    </w:p>
    <w:p>
      <w:pPr>
        <w:jc w:val="both"/>
        <w:ind w:left="3" w:firstLine="515"/>
        <w:spacing w:after="0" w:line="226" w:lineRule="auto"/>
        <w:tabs>
          <w:tab w:leader="none" w:pos="925" w:val="left"/>
        </w:tabs>
        <w:numPr>
          <w:ilvl w:val="2"/>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Enrollment and Contributions</w:t>
      </w:r>
      <w:r>
        <w:rPr>
          <w:rFonts w:ascii="Arial" w:cs="Arial" w:eastAsia="Arial" w:hAnsi="Arial"/>
          <w:sz w:val="17"/>
          <w:szCs w:val="17"/>
          <w:color w:val="auto"/>
        </w:rPr>
        <w:t>. An Eligible Employee may elect to authorize payroll deductions as the means of making Contributions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by completing and delivering to the Company or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require that Contributions be deposited with a Company Designee or otherwise segregated.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during the Offering reduce (including to zero) or increase his or her Contributions. If required under Applicable Law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pacing w:after="0" w:line="162" w:lineRule="exact"/>
        <w:rPr>
          <w:rFonts w:ascii="Arial" w:cs="Arial" w:eastAsia="Arial" w:hAnsi="Arial"/>
          <w:sz w:val="17"/>
          <w:szCs w:val="17"/>
          <w:b w:val="1"/>
          <w:bCs w:val="1"/>
          <w:color w:val="auto"/>
        </w:rPr>
      </w:pPr>
    </w:p>
    <w:p>
      <w:pPr>
        <w:jc w:val="both"/>
        <w:ind w:left="3" w:firstLine="515"/>
        <w:spacing w:after="0" w:line="220" w:lineRule="auto"/>
        <w:tabs>
          <w:tab w:leader="none" w:pos="962" w:val="left"/>
        </w:tabs>
        <w:numPr>
          <w:ilvl w:val="2"/>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Withdrawals</w:t>
      </w:r>
      <w:r>
        <w:rPr>
          <w:rFonts w:ascii="Arial" w:cs="Arial" w:eastAsia="Arial" w:hAnsi="Arial"/>
          <w:sz w:val="18"/>
          <w:szCs w:val="18"/>
          <w:color w:val="auto"/>
        </w:rPr>
        <w:t>. During an Offering, a Participant may cease making Contributions and withdraw from the Offering by delivering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 Participant’s withdrawal from that Offering will have no effect upon his or her eligibility to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3"/>
          </w:cols>
          <w:pgMar w:left="717" w:top="1440" w:right="339" w:bottom="1440" w:gutter="0" w:footer="0" w:header="0"/>
        </w:sectPr>
      </w:pPr>
    </w:p>
    <w:bookmarkStart w:id="143" w:name="page144"/>
    <w:bookmarkEnd w:id="143"/>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any other Offerings under the Plan, but such Participant will be required to deliver a new enrollment form to participate in subsequent Offerings.</w:t>
      </w:r>
    </w:p>
    <w:p>
      <w:pPr>
        <w:spacing w:after="0" w:line="192" w:lineRule="exact"/>
        <w:rPr>
          <w:sz w:val="20"/>
          <w:szCs w:val="20"/>
          <w:color w:val="auto"/>
        </w:rPr>
      </w:pPr>
    </w:p>
    <w:p>
      <w:pPr>
        <w:jc w:val="both"/>
        <w:ind w:firstLine="515"/>
        <w:spacing w:after="0" w:line="256" w:lineRule="auto"/>
        <w:tabs>
          <w:tab w:leader="none" w:pos="898" w:val="left"/>
        </w:tabs>
        <w:numPr>
          <w:ilvl w:val="1"/>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 or Eligible Employee Status</w:t>
      </w:r>
      <w:r>
        <w:rPr>
          <w:rFonts w:ascii="Arial" w:cs="Arial" w:eastAsia="Arial" w:hAnsi="Arial"/>
          <w:sz w:val="16"/>
          <w:szCs w:val="16"/>
          <w:color w:val="auto"/>
        </w:rPr>
        <w:t>. Unless otherwise required by Applicable Law, Purchase Rights granted to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pursuant to any Offering under the Plan will terminate immediately if the Participant either (i) is no longer an Employee for any reason or for no reason or (ii) is otherwise no longer eligible to participate, and the Company will distribute as soon as practicable to such Participant all of his or her accumulated but unused Contributions and such Participant’s Purchase Right in that Offering shall thereupon terminate.</w:t>
      </w:r>
    </w:p>
    <w:p>
      <w:pPr>
        <w:spacing w:after="0" w:line="159" w:lineRule="exact"/>
        <w:rPr>
          <w:rFonts w:ascii="Arial" w:cs="Arial" w:eastAsia="Arial" w:hAnsi="Arial"/>
          <w:sz w:val="16"/>
          <w:szCs w:val="16"/>
          <w:b w:val="1"/>
          <w:bCs w:val="1"/>
          <w:color w:val="auto"/>
        </w:rPr>
      </w:pPr>
    </w:p>
    <w:p>
      <w:pPr>
        <w:jc w:val="both"/>
        <w:ind w:firstLine="515"/>
        <w:spacing w:after="0" w:line="249" w:lineRule="auto"/>
        <w:tabs>
          <w:tab w:leader="none" w:pos="985" w:val="left"/>
        </w:tabs>
        <w:numPr>
          <w:ilvl w:val="1"/>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Leave of Absence</w:t>
      </w:r>
      <w:r>
        <w:rPr>
          <w:rFonts w:ascii="Arial" w:cs="Arial" w:eastAsia="Arial" w:hAnsi="Arial"/>
          <w:sz w:val="16"/>
          <w:szCs w:val="16"/>
          <w:color w:val="auto"/>
        </w:rPr>
        <w:t>. For purposes of this Section 7, an Employee will be deemed not to have terminated employment or not failed 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the continuous employ of the Company or of a Designated Company in the case of sick leave, military leave, or any other leave of absence approved by the Company; provided that such leave is for a period of not more than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52" w:lineRule="exact"/>
        <w:rPr>
          <w:rFonts w:ascii="Arial" w:cs="Arial" w:eastAsia="Arial" w:hAnsi="Arial"/>
          <w:sz w:val="16"/>
          <w:szCs w:val="16"/>
          <w:b w:val="1"/>
          <w:bCs w:val="1"/>
          <w:color w:val="auto"/>
        </w:rPr>
      </w:pPr>
    </w:p>
    <w:p>
      <w:pPr>
        <w:jc w:val="both"/>
        <w:ind w:firstLine="515"/>
        <w:spacing w:after="0" w:line="230" w:lineRule="auto"/>
        <w:tabs>
          <w:tab w:leader="none" w:pos="952" w:val="left"/>
        </w:tabs>
        <w:numPr>
          <w:ilvl w:val="1"/>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Employment Transfers</w:t>
      </w:r>
      <w:r>
        <w:rPr>
          <w:rFonts w:ascii="Arial" w:cs="Arial" w:eastAsia="Arial" w:hAnsi="Arial"/>
          <w:sz w:val="17"/>
          <w:szCs w:val="17"/>
          <w:color w:val="auto"/>
        </w:rPr>
        <w:t>. Unless otherwise determined by the Board, a Participant whose employment transfers or whose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Plan, the Company will distribute as soon as practicable to such individual all of his or her accumulated but unused Contributions.</w:t>
      </w:r>
    </w:p>
    <w:p>
      <w:pPr>
        <w:spacing w:after="0" w:line="161" w:lineRule="exact"/>
        <w:rPr>
          <w:rFonts w:ascii="Arial" w:cs="Arial" w:eastAsia="Arial" w:hAnsi="Arial"/>
          <w:sz w:val="17"/>
          <w:szCs w:val="17"/>
          <w:b w:val="1"/>
          <w:bCs w:val="1"/>
          <w:color w:val="auto"/>
        </w:rPr>
      </w:pPr>
    </w:p>
    <w:p>
      <w:pPr>
        <w:jc w:val="both"/>
        <w:ind w:firstLine="515"/>
        <w:spacing w:after="0" w:line="231" w:lineRule="auto"/>
        <w:tabs>
          <w:tab w:leader="none" w:pos="878"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No Transfers of Purchase Rights</w:t>
      </w:r>
      <w:r>
        <w:rPr>
          <w:rFonts w:ascii="Arial" w:cs="Arial" w:eastAsia="Arial" w:hAnsi="Arial"/>
          <w:sz w:val="18"/>
          <w:szCs w:val="18"/>
          <w:color w:val="auto"/>
        </w:rPr>
        <w:t>. During a Participant’s lifetime, Purchase Rights will be exercisable only by such Participant.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are not transferable by a Participant, except by will, by the laws of descent and distribution, or, if permitted by the Company, by a beneficiary designation.</w:t>
      </w:r>
    </w:p>
    <w:p>
      <w:pPr>
        <w:spacing w:after="0" w:line="158" w:lineRule="exact"/>
        <w:rPr>
          <w:rFonts w:ascii="Arial" w:cs="Arial" w:eastAsia="Arial" w:hAnsi="Arial"/>
          <w:sz w:val="18"/>
          <w:szCs w:val="18"/>
          <w:b w:val="1"/>
          <w:bCs w:val="1"/>
          <w:color w:val="auto"/>
        </w:rPr>
      </w:pPr>
    </w:p>
    <w:p>
      <w:pPr>
        <w:ind w:firstLine="515"/>
        <w:spacing w:after="0" w:line="237" w:lineRule="auto"/>
        <w:tabs>
          <w:tab w:leader="none" w:pos="973"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No Interest</w:t>
      </w:r>
      <w:r>
        <w:rPr>
          <w:rFonts w:ascii="Arial" w:cs="Arial" w:eastAsia="Arial" w:hAnsi="Arial"/>
          <w:sz w:val="18"/>
          <w:szCs w:val="18"/>
          <w:color w:val="auto"/>
        </w:rPr>
        <w:t>. Unless otherwise specified in the Offering or required by Applicable Law, the Company will have no obligation to pay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on Contributions.</w:t>
      </w:r>
    </w:p>
    <w:p>
      <w:pPr>
        <w:spacing w:after="0" w:line="171" w:lineRule="exact"/>
        <w:rPr>
          <w:rFonts w:ascii="Arial" w:cs="Arial" w:eastAsia="Arial" w:hAnsi="Arial"/>
          <w:sz w:val="18"/>
          <w:szCs w:val="18"/>
          <w:b w:val="1"/>
          <w:bCs w:val="1"/>
          <w:color w:val="auto"/>
        </w:rPr>
      </w:pPr>
    </w:p>
    <w:p>
      <w:pPr>
        <w:ind w:left="360" w:hanging="311"/>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Purchase Rights.</w:t>
      </w:r>
    </w:p>
    <w:p>
      <w:pPr>
        <w:spacing w:after="0" w:line="80" w:lineRule="exact"/>
        <w:rPr>
          <w:rFonts w:ascii="Arial" w:cs="Arial" w:eastAsia="Arial" w:hAnsi="Arial"/>
          <w:sz w:val="18"/>
          <w:szCs w:val="18"/>
          <w:b w:val="1"/>
          <w:bCs w:val="1"/>
          <w:color w:val="auto"/>
        </w:rPr>
      </w:pPr>
    </w:p>
    <w:p>
      <w:pPr>
        <w:jc w:val="both"/>
        <w:ind w:firstLine="515"/>
        <w:spacing w:after="0" w:line="267" w:lineRule="auto"/>
        <w:tabs>
          <w:tab w:leader="none" w:pos="1016" w:val="left"/>
        </w:tabs>
        <w:numPr>
          <w:ilvl w:val="1"/>
          <w:numId w:val="123"/>
        </w:numPr>
        <w:rPr>
          <w:rFonts w:ascii="Arial" w:cs="Arial" w:eastAsia="Arial" w:hAnsi="Arial"/>
          <w:sz w:val="16"/>
          <w:szCs w:val="16"/>
          <w:b w:val="1"/>
          <w:bCs w:val="1"/>
          <w:color w:val="auto"/>
        </w:rPr>
      </w:pPr>
      <w:r>
        <w:rPr>
          <w:rFonts w:ascii="Arial" w:cs="Arial" w:eastAsia="Arial" w:hAnsi="Arial"/>
          <w:sz w:val="16"/>
          <w:szCs w:val="16"/>
          <w:color w:val="auto"/>
        </w:rPr>
        <w:t>On each Purchase Date, each Participant’s accumulated Contributions will be applied to the purchase of shares of Common Stock (rounded down to the nearest whole number of shares), up to the maximum number of shares of Common Stock permitted by the Plan and the applicable Offering, at the purchase price specified in the Offering. No fractional shares will be issued unless specifically provided for in the Offering.</w:t>
      </w:r>
    </w:p>
    <w:p>
      <w:pPr>
        <w:spacing w:after="0" w:line="141" w:lineRule="exact"/>
        <w:rPr>
          <w:rFonts w:ascii="Arial" w:cs="Arial" w:eastAsia="Arial" w:hAnsi="Arial"/>
          <w:sz w:val="16"/>
          <w:szCs w:val="16"/>
          <w:b w:val="1"/>
          <w:bCs w:val="1"/>
          <w:color w:val="auto"/>
        </w:rPr>
      </w:pPr>
    </w:p>
    <w:p>
      <w:pPr>
        <w:jc w:val="both"/>
        <w:ind w:firstLine="515"/>
        <w:spacing w:after="0" w:line="248" w:lineRule="auto"/>
        <w:tabs>
          <w:tab w:leader="none" w:pos="1009" w:val="left"/>
        </w:tabs>
        <w:numPr>
          <w:ilvl w:val="1"/>
          <w:numId w:val="123"/>
        </w:numPr>
        <w:rPr>
          <w:rFonts w:ascii="Arial" w:cs="Arial" w:eastAsia="Arial" w:hAnsi="Arial"/>
          <w:sz w:val="16"/>
          <w:szCs w:val="16"/>
          <w:b w:val="1"/>
          <w:bCs w:val="1"/>
          <w:color w:val="auto"/>
        </w:rPr>
      </w:pPr>
      <w:r>
        <w:rPr>
          <w:rFonts w:ascii="Arial" w:cs="Arial" w:eastAsia="Arial" w:hAnsi="Arial"/>
          <w:sz w:val="16"/>
          <w:szCs w:val="16"/>
          <w:color w:val="auto"/>
        </w:rPr>
        <w:t xml:space="preserve">Unless otherwise provided in the Offering, if any amount of accumulated Contributions remains in a Participant’s account after the purchase of shares of Common Stock on a Purchase Date in an Offering, then such remaining amount will be distributed to such Participant as soon as practicable after the applicable Purchase Date, without interest, unless the payment of interest is required by Applicable Law and </w:t>
      </w:r>
      <w:r>
        <w:rPr>
          <w:rFonts w:ascii="Arial" w:cs="Arial" w:eastAsia="Arial" w:hAnsi="Arial"/>
          <w:sz w:val="16"/>
          <w:szCs w:val="16"/>
          <w:i w:val="1"/>
          <w:iCs w:val="1"/>
          <w:color w:val="auto"/>
        </w:rPr>
        <w:t>provided, that</w:t>
      </w:r>
      <w:r>
        <w:rPr>
          <w:rFonts w:ascii="Arial" w:cs="Arial" w:eastAsia="Arial" w:hAnsi="Arial"/>
          <w:sz w:val="16"/>
          <w:szCs w:val="16"/>
          <w:color w:val="auto"/>
        </w:rPr>
        <w:t>, if the remaining amount is less than the applicable purchase price of one full share of Common Stock on such Purchase Date, then the Company may approve, in its discretion, for such amount to be included in Contributions for the next Offering (if the Participant elects to participate therein).</w:t>
      </w:r>
    </w:p>
    <w:p>
      <w:pPr>
        <w:spacing w:after="0" w:line="169" w:lineRule="exact"/>
        <w:rPr>
          <w:rFonts w:ascii="Arial" w:cs="Arial" w:eastAsia="Arial" w:hAnsi="Arial"/>
          <w:sz w:val="16"/>
          <w:szCs w:val="16"/>
          <w:b w:val="1"/>
          <w:bCs w:val="1"/>
          <w:color w:val="auto"/>
        </w:rPr>
      </w:pPr>
    </w:p>
    <w:p>
      <w:pPr>
        <w:jc w:val="both"/>
        <w:ind w:firstLine="515"/>
        <w:spacing w:after="0" w:line="228" w:lineRule="auto"/>
        <w:tabs>
          <w:tab w:leader="none" w:pos="932" w:val="left"/>
        </w:tabs>
        <w:numPr>
          <w:ilvl w:val="1"/>
          <w:numId w:val="123"/>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and permitted to be sold under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and permitted to be sold, or the Plan is not in such compliance, no Purchase Rights will be exercised on such Purchase Date, and the Purchase Date will be delayed until the shares of Common Stock are subject to and may be sold under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permitted to be sold under such registration,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720" w:top="1440" w:right="339" w:bottom="1440" w:gutter="0" w:footer="0" w:header="0"/>
        </w:sectPr>
      </w:pPr>
    </w:p>
    <w:bookmarkStart w:id="144" w:name="page145"/>
    <w:bookmarkEnd w:id="144"/>
    <w:p>
      <w:pPr>
        <w:spacing w:after="0" w:line="76"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Plan is not in material compliance with Applicable Law, as determined by the Company in its sole discretion, no Purchase Rights will be exercised and all accumulated but unused Contributions will be distributed as soon as practicable to the Participants without interest, unless the payment of</w:t>
      </w:r>
    </w:p>
    <w:p>
      <w:pPr>
        <w:ind w:left="3"/>
        <w:spacing w:after="0"/>
        <w:rPr>
          <w:sz w:val="20"/>
          <w:szCs w:val="20"/>
          <w:color w:val="auto"/>
        </w:rPr>
      </w:pPr>
      <w:r>
        <w:rPr>
          <w:rFonts w:ascii="Arial" w:cs="Arial" w:eastAsia="Arial" w:hAnsi="Arial"/>
          <w:sz w:val="18"/>
          <w:szCs w:val="18"/>
          <w:color w:val="auto"/>
        </w:rPr>
        <w:t>interest is required by Applicable Law.</w:t>
      </w:r>
    </w:p>
    <w:p>
      <w:pPr>
        <w:spacing w:after="0" w:line="165" w:lineRule="exact"/>
        <w:rPr>
          <w:sz w:val="20"/>
          <w:szCs w:val="20"/>
          <w:color w:val="auto"/>
        </w:rPr>
      </w:pPr>
    </w:p>
    <w:p>
      <w:pPr>
        <w:ind w:left="3"/>
        <w:spacing w:after="0"/>
        <w:tabs>
          <w:tab w:leader="none" w:pos="303"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Covenants of the Company.</w:t>
      </w:r>
    </w:p>
    <w:p>
      <w:pPr>
        <w:spacing w:after="0" w:line="189" w:lineRule="exact"/>
        <w:rPr>
          <w:sz w:val="20"/>
          <w:szCs w:val="20"/>
          <w:color w:val="auto"/>
        </w:rPr>
      </w:pPr>
    </w:p>
    <w:p>
      <w:pPr>
        <w:ind w:left="523"/>
        <w:spacing w:after="0"/>
        <w:rPr>
          <w:sz w:val="20"/>
          <w:szCs w:val="20"/>
          <w:color w:val="auto"/>
        </w:rPr>
      </w:pPr>
      <w:r>
        <w:rPr>
          <w:rFonts w:ascii="Arial" w:cs="Arial" w:eastAsia="Arial" w:hAnsi="Arial"/>
          <w:sz w:val="16"/>
          <w:szCs w:val="16"/>
          <w:color w:val="auto"/>
        </w:rPr>
        <w:t>The Company will seek to obtain from each U.S. federal or state, non-U.S., or other regulatory commission or agency having jurisdiction over</w:t>
      </w:r>
    </w:p>
    <w:p>
      <w:pPr>
        <w:spacing w:after="0" w:line="21" w:lineRule="exact"/>
        <w:rPr>
          <w:sz w:val="20"/>
          <w:szCs w:val="20"/>
          <w:color w:val="auto"/>
        </w:rPr>
      </w:pPr>
    </w:p>
    <w:p>
      <w:pPr>
        <w:jc w:val="both"/>
        <w:ind w:left="3"/>
        <w:spacing w:after="0" w:line="234" w:lineRule="auto"/>
        <w:rPr>
          <w:sz w:val="20"/>
          <w:szCs w:val="20"/>
          <w:color w:val="auto"/>
        </w:rPr>
      </w:pPr>
      <w:r>
        <w:rPr>
          <w:rFonts w:ascii="Arial" w:cs="Arial" w:eastAsia="Arial" w:hAnsi="Arial"/>
          <w:sz w:val="16"/>
          <w:szCs w:val="16"/>
          <w:color w:val="auto"/>
        </w:rPr>
        <w:t>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and</w:t>
      </w:r>
    </w:p>
    <w:p>
      <w:pPr>
        <w:spacing w:after="0" w:line="2" w:lineRule="exact"/>
        <w:rPr>
          <w:sz w:val="20"/>
          <w:szCs w:val="20"/>
          <w:color w:val="auto"/>
        </w:rPr>
      </w:pPr>
    </w:p>
    <w:p>
      <w:pPr>
        <w:jc w:val="both"/>
        <w:ind w:left="3"/>
        <w:spacing w:after="0" w:line="226" w:lineRule="auto"/>
        <w:rPr>
          <w:sz w:val="20"/>
          <w:szCs w:val="20"/>
          <w:color w:val="auto"/>
        </w:rPr>
      </w:pPr>
      <w:r>
        <w:rPr>
          <w:rFonts w:ascii="Arial" w:cs="Arial" w:eastAsia="Arial" w:hAnsi="Arial"/>
          <w:sz w:val="18"/>
          <w:szCs w:val="18"/>
          <w:color w:val="auto"/>
        </w:rPr>
        <w:t>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57" w:lineRule="exact"/>
        <w:rPr>
          <w:sz w:val="20"/>
          <w:szCs w:val="20"/>
          <w:color w:val="auto"/>
        </w:rPr>
      </w:pPr>
    </w:p>
    <w:p>
      <w:pPr>
        <w:ind w:left="403" w:hanging="403"/>
        <w:spacing w:after="0"/>
        <w:tabs>
          <w:tab w:leader="none" w:pos="403"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Death of Participant.</w:t>
      </w:r>
    </w:p>
    <w:p>
      <w:pPr>
        <w:spacing w:after="0" w:line="202" w:lineRule="exact"/>
        <w:rPr>
          <w:sz w:val="20"/>
          <w:szCs w:val="20"/>
          <w:color w:val="auto"/>
        </w:rPr>
      </w:pPr>
    </w:p>
    <w:p>
      <w:pPr>
        <w:jc w:val="both"/>
        <w:ind w:left="3" w:firstLine="518"/>
        <w:spacing w:after="0" w:line="241" w:lineRule="auto"/>
        <w:rPr>
          <w:sz w:val="20"/>
          <w:szCs w:val="20"/>
          <w:color w:val="auto"/>
        </w:rPr>
      </w:pPr>
      <w:r>
        <w:rPr>
          <w:rFonts w:ascii="Arial" w:cs="Arial" w:eastAsia="Arial" w:hAnsi="Arial"/>
          <w:sz w:val="16"/>
          <w:szCs w:val="16"/>
          <w:color w:val="auto"/>
        </w:rPr>
        <w:t>If a Participant dies,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required by Applicable Law, to the</w:t>
      </w:r>
    </w:p>
    <w:p>
      <w:pPr>
        <w:spacing w:after="0" w:line="2" w:lineRule="exact"/>
        <w:rPr>
          <w:sz w:val="20"/>
          <w:szCs w:val="20"/>
          <w:color w:val="auto"/>
        </w:rPr>
      </w:pPr>
    </w:p>
    <w:p>
      <w:pPr>
        <w:jc w:val="both"/>
        <w:ind w:left="3"/>
        <w:spacing w:after="0" w:line="226" w:lineRule="auto"/>
        <w:rPr>
          <w:sz w:val="20"/>
          <w:szCs w:val="20"/>
          <w:color w:val="auto"/>
        </w:rPr>
      </w:pPr>
      <w:r>
        <w:rPr>
          <w:rFonts w:ascii="Arial" w:cs="Arial" w:eastAsia="Arial" w:hAnsi="Arial"/>
          <w:sz w:val="18"/>
          <w:szCs w:val="18"/>
          <w:color w:val="auto"/>
        </w:rPr>
        <w:t>Participant’s spouse, dependents or relatives, or if no spouse, dependent or relative is known to the Company, then to such other person as the Company may designate.</w:t>
      </w:r>
    </w:p>
    <w:p>
      <w:pPr>
        <w:spacing w:after="0" w:line="157" w:lineRule="exact"/>
        <w:rPr>
          <w:sz w:val="20"/>
          <w:szCs w:val="20"/>
          <w:color w:val="auto"/>
        </w:rPr>
      </w:pPr>
    </w:p>
    <w:p>
      <w:pPr>
        <w:ind w:left="383" w:hanging="383"/>
        <w:spacing w:after="0"/>
        <w:tabs>
          <w:tab w:leader="none" w:pos="38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Corporate Transactions.</w:t>
      </w:r>
    </w:p>
    <w:p>
      <w:pPr>
        <w:spacing w:after="0" w:line="198" w:lineRule="exact"/>
        <w:rPr>
          <w:rFonts w:ascii="Arial" w:cs="Arial" w:eastAsia="Arial" w:hAnsi="Arial"/>
          <w:sz w:val="18"/>
          <w:szCs w:val="18"/>
          <w:b w:val="1"/>
          <w:bCs w:val="1"/>
          <w:color w:val="auto"/>
        </w:rPr>
      </w:pPr>
    </w:p>
    <w:p>
      <w:pPr>
        <w:jc w:val="both"/>
        <w:ind w:left="3" w:firstLine="515"/>
        <w:spacing w:after="0" w:line="220" w:lineRule="auto"/>
        <w:tabs>
          <w:tab w:leader="none" w:pos="925"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w:t>
      </w:r>
      <w:r>
        <w:rPr>
          <w:rFonts w:ascii="Arial" w:cs="Arial" w:eastAsia="Arial" w:hAnsi="Arial"/>
          <w:sz w:val="18"/>
          <w:szCs w:val="18"/>
          <w:color w:val="auto"/>
        </w:rPr>
        <w:t>. In the event of a Capitalization Adjustment, the Board will appropriately and proportionately adjust: (i)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class(es) or kind and maximum number of securities subject to the Plan pursuant to Section 3(a); (ii) the class(es) or kind and number of securities subject to, and the purchase price applicable to outstanding Offerings and Purchase Rights; and (iv) the class(es) or kind and number of securities that are the subject of the purchase limits under each ongoing Offering. The Board will make these adjustments, and its determination will be final, binding and conclusive.</w:t>
      </w:r>
    </w:p>
    <w:p>
      <w:pPr>
        <w:spacing w:after="0" w:line="158" w:lineRule="exact"/>
        <w:rPr>
          <w:rFonts w:ascii="Arial" w:cs="Arial" w:eastAsia="Arial" w:hAnsi="Arial"/>
          <w:sz w:val="18"/>
          <w:szCs w:val="18"/>
          <w:b w:val="1"/>
          <w:bCs w:val="1"/>
          <w:color w:val="auto"/>
        </w:rPr>
      </w:pPr>
    </w:p>
    <w:p>
      <w:pPr>
        <w:jc w:val="both"/>
        <w:ind w:left="3" w:firstLine="515"/>
        <w:spacing w:after="0" w:line="230" w:lineRule="auto"/>
        <w:tabs>
          <w:tab w:leader="none" w:pos="989" w:val="left"/>
        </w:tabs>
        <w:numPr>
          <w:ilvl w:val="1"/>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Transaction</w:t>
      </w:r>
      <w:r>
        <w:rPr>
          <w:rFonts w:ascii="Arial" w:cs="Arial" w:eastAsia="Arial" w:hAnsi="Arial"/>
          <w:sz w:val="17"/>
          <w:szCs w:val="17"/>
          <w:color w:val="auto"/>
        </w:rPr>
        <w:t>. In the event of a Corporate Transaction, then: (i)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number of shares) within ten business days (or such other period specified by the Board) prior to the Corporate Transaction under the outstanding Purchase Rights, and the Purchase Rights will terminate immediately after such purchase.</w:t>
      </w:r>
    </w:p>
    <w:p>
      <w:pPr>
        <w:spacing w:after="0" w:line="173" w:lineRule="exact"/>
        <w:rPr>
          <w:rFonts w:ascii="Arial" w:cs="Arial" w:eastAsia="Arial" w:hAnsi="Arial"/>
          <w:sz w:val="17"/>
          <w:szCs w:val="17"/>
          <w:b w:val="1"/>
          <w:bCs w:val="1"/>
          <w:color w:val="auto"/>
        </w:rPr>
      </w:pPr>
    </w:p>
    <w:p>
      <w:pPr>
        <w:jc w:val="both"/>
        <w:ind w:left="3" w:firstLine="515"/>
        <w:spacing w:after="0" w:line="217" w:lineRule="auto"/>
        <w:tabs>
          <w:tab w:leader="none" w:pos="982"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Spin-Off</w:t>
      </w:r>
      <w:r>
        <w:rPr>
          <w:rFonts w:ascii="Arial" w:cs="Arial" w:eastAsia="Arial" w:hAnsi="Arial"/>
          <w:sz w:val="18"/>
          <w:szCs w:val="18"/>
          <w:color w:val="auto"/>
        </w:rPr>
        <w:t>. In the event of a spin-off or similar transaction involving the Company, the Board may take actions deemed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in connection with an ongoing Offering and subject to compliance with Applicable Law (including the assumption of Purchase Rights under an ongoing Offering by the spun-off company, or shortening an Offering and scheduling a new Purchase Date prior to the closing of such transaction). In the absence of any such action by the Board, a Participant in an ongoing Offering whose employer ceases to qualify as a Related Corporation as of the closing of a spin-off or similar transaction will be treated in the same manner as if the Participant had terminated employment (as provided in Section 7(c)).</w:t>
      </w:r>
    </w:p>
    <w:p>
      <w:pPr>
        <w:spacing w:after="0" w:line="159" w:lineRule="exact"/>
        <w:rPr>
          <w:rFonts w:ascii="Arial" w:cs="Arial" w:eastAsia="Arial" w:hAnsi="Arial"/>
          <w:sz w:val="18"/>
          <w:szCs w:val="18"/>
          <w:b w:val="1"/>
          <w:bCs w:val="1"/>
          <w:color w:val="auto"/>
        </w:rPr>
      </w:pPr>
    </w:p>
    <w:p>
      <w:pPr>
        <w:ind w:left="403" w:hanging="403"/>
        <w:spacing w:after="0"/>
        <w:tabs>
          <w:tab w:leader="none" w:pos="40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Termination or Suspension of the Plan.</w:t>
      </w:r>
    </w:p>
    <w:p>
      <w:pPr>
        <w:spacing w:after="0" w:line="198" w:lineRule="exact"/>
        <w:rPr>
          <w:rFonts w:ascii="Arial" w:cs="Arial" w:eastAsia="Arial" w:hAnsi="Arial"/>
          <w:sz w:val="18"/>
          <w:szCs w:val="18"/>
          <w:b w:val="1"/>
          <w:bCs w:val="1"/>
          <w:color w:val="auto"/>
        </w:rPr>
      </w:pPr>
    </w:p>
    <w:p>
      <w:pPr>
        <w:jc w:val="both"/>
        <w:ind w:left="3" w:firstLine="515"/>
        <w:spacing w:after="0" w:line="217" w:lineRule="auto"/>
        <w:tabs>
          <w:tab w:leader="none" w:pos="925"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Plan Amendment</w:t>
      </w:r>
      <w:r>
        <w:rPr>
          <w:rFonts w:ascii="Arial" w:cs="Arial" w:eastAsia="Arial" w:hAnsi="Arial"/>
          <w:sz w:val="18"/>
          <w:szCs w:val="18"/>
          <w:color w:val="auto"/>
        </w:rPr>
        <w:t>. The Board may amend the Plan at any time in any respect the Board deems necessary or advisable. However,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11(a) relating to Capitalization Adjustments, stockholder approval will be required for any amendment of the Plan for which stockholder approval is required by Applicable Law, including any amendment that either (i) materially increases the number of shares of Common Stock available for issuance under the Plan, (ii) materially expands the class of individuals eligible to become Participants and receive Purchase Rights, (iii) materially increases the benefits accruing to Participants under the Plan or materially reduces the price at which shares of Common Stock may be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3"/>
          </w:cols>
          <w:pgMar w:left="717" w:top="1440" w:right="339" w:bottom="1440" w:gutter="0" w:footer="0" w:header="0"/>
        </w:sectPr>
      </w:pPr>
    </w:p>
    <w:bookmarkStart w:id="145" w:name="page146"/>
    <w:bookmarkEnd w:id="145"/>
    <w:p>
      <w:pPr>
        <w:spacing w:after="0" w:line="76" w:lineRule="exact"/>
        <w:rPr>
          <w:sz w:val="20"/>
          <w:szCs w:val="20"/>
          <w:color w:val="auto"/>
        </w:rPr>
      </w:pPr>
    </w:p>
    <w:p>
      <w:pPr>
        <w:ind w:left="400" w:right="20"/>
        <w:spacing w:after="0" w:line="235" w:lineRule="auto"/>
        <w:rPr>
          <w:sz w:val="20"/>
          <w:szCs w:val="20"/>
          <w:color w:val="auto"/>
        </w:rPr>
      </w:pPr>
      <w:r>
        <w:rPr>
          <w:rFonts w:ascii="Arial" w:cs="Arial" w:eastAsia="Arial" w:hAnsi="Arial"/>
          <w:sz w:val="18"/>
          <w:szCs w:val="18"/>
          <w:color w:val="auto"/>
        </w:rPr>
        <w:t>under the Plan, or (iv) expands the types of awards available for issuance under the Plan, but in each of (i) through (iv) above only to the extent stockholder approval is required by Applicable Law.</w:t>
      </w:r>
    </w:p>
    <w:p>
      <w:pPr>
        <w:spacing w:after="0" w:line="171" w:lineRule="exact"/>
        <w:rPr>
          <w:sz w:val="20"/>
          <w:szCs w:val="20"/>
          <w:color w:val="auto"/>
        </w:rPr>
      </w:pPr>
    </w:p>
    <w:p>
      <w:pPr>
        <w:ind w:left="400" w:firstLine="515"/>
        <w:spacing w:after="0" w:line="237" w:lineRule="auto"/>
        <w:tabs>
          <w:tab w:leader="none" w:pos="1345" w:val="left"/>
        </w:tabs>
        <w:numPr>
          <w:ilvl w:val="1"/>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or Termination</w:t>
      </w:r>
      <w:r>
        <w:rPr>
          <w:rFonts w:ascii="Arial" w:cs="Arial" w:eastAsia="Arial" w:hAnsi="Arial"/>
          <w:sz w:val="18"/>
          <w:szCs w:val="18"/>
          <w:color w:val="auto"/>
        </w:rPr>
        <w:t>. The Board may suspend or terminate the Plan at any time. No Purchase Rights may be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while the Plan is suspended or after it is terminated.</w:t>
      </w:r>
    </w:p>
    <w:p>
      <w:pPr>
        <w:spacing w:after="0" w:line="158" w:lineRule="exact"/>
        <w:rPr>
          <w:rFonts w:ascii="Arial" w:cs="Arial" w:eastAsia="Arial" w:hAnsi="Arial"/>
          <w:sz w:val="18"/>
          <w:szCs w:val="18"/>
          <w:b w:val="1"/>
          <w:bCs w:val="1"/>
          <w:color w:val="auto"/>
        </w:rPr>
      </w:pPr>
    </w:p>
    <w:p>
      <w:pPr>
        <w:jc w:val="both"/>
        <w:ind w:left="400" w:firstLine="515"/>
        <w:spacing w:after="0" w:line="250" w:lineRule="auto"/>
        <w:tabs>
          <w:tab w:leader="none" w:pos="1325" w:val="left"/>
        </w:tabs>
        <w:numPr>
          <w:ilvl w:val="1"/>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No Impairment of Rights</w:t>
      </w:r>
      <w:r>
        <w:rPr>
          <w:rFonts w:ascii="Arial" w:cs="Arial" w:eastAsia="Arial" w:hAnsi="Arial"/>
          <w:sz w:val="16"/>
          <w:szCs w:val="16"/>
          <w:color w:val="auto"/>
        </w:rPr>
        <w:t>. Any benefits, privileges, entitlements and obligations under any outstanding Purchase Rights granted before</w:t>
      </w:r>
      <w:r>
        <w:rPr>
          <w:rFonts w:ascii="Arial" w:cs="Arial" w:eastAsia="Arial" w:hAnsi="Arial"/>
          <w:sz w:val="16"/>
          <w:szCs w:val="16"/>
          <w:b w:val="1"/>
          <w:bCs w:val="1"/>
          <w:color w:val="auto"/>
        </w:rPr>
        <w:t xml:space="preserve"> </w:t>
      </w:r>
      <w:r>
        <w:rPr>
          <w:rFonts w:ascii="Arial" w:cs="Arial" w:eastAsia="Arial" w:hAnsi="Arial"/>
          <w:sz w:val="16"/>
          <w:szCs w:val="16"/>
          <w:color w:val="auto"/>
        </w:rPr>
        <w:t>an amendment, suspension or termination of the Plan will not be materially impaired by any such amendment, suspension or termination except</w:t>
      </w:r>
    </w:p>
    <w:p>
      <w:pPr>
        <w:spacing w:after="0" w:line="1" w:lineRule="exact"/>
        <w:rPr>
          <w:rFonts w:ascii="Arial" w:cs="Arial" w:eastAsia="Arial" w:hAnsi="Arial"/>
          <w:sz w:val="16"/>
          <w:szCs w:val="16"/>
          <w:b w:val="1"/>
          <w:bCs w:val="1"/>
          <w:color w:val="auto"/>
        </w:rPr>
      </w:pPr>
    </w:p>
    <w:p>
      <w:pPr>
        <w:jc w:val="both"/>
        <w:ind w:left="400" w:hanging="3"/>
        <w:spacing w:after="0" w:line="228" w:lineRule="auto"/>
        <w:tabs>
          <w:tab w:leader="none" w:pos="64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 (iii) as necessary to obtain or maintain any special tax, listing, or regulatory treatment. To be clear, the Board may amend outstanding Purchase Rights without a Participant’s consent if such amendment is necessary to ensure that the Purchase Right and/or the 423 Component complies with the requirements of Section 423 of the Code, or other Applicable Law.</w:t>
      </w:r>
    </w:p>
    <w:p>
      <w:pPr>
        <w:spacing w:after="0" w:line="161" w:lineRule="exact"/>
        <w:rPr>
          <w:rFonts w:ascii="Arial" w:cs="Arial" w:eastAsia="Arial" w:hAnsi="Arial"/>
          <w:sz w:val="17"/>
          <w:szCs w:val="17"/>
          <w:color w:val="auto"/>
        </w:rPr>
      </w:pPr>
    </w:p>
    <w:p>
      <w:pPr>
        <w:jc w:val="both"/>
        <w:ind w:left="400" w:firstLine="515"/>
        <w:spacing w:after="0" w:line="229" w:lineRule="auto"/>
        <w:tabs>
          <w:tab w:leader="none" w:pos="1318" w:val="left"/>
        </w:tabs>
        <w:numPr>
          <w:ilvl w:val="1"/>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Corrections and Administrative Procedures</w:t>
      </w:r>
      <w:r>
        <w:rPr>
          <w:rFonts w:ascii="Arial" w:cs="Arial" w:eastAsia="Arial" w:hAnsi="Arial"/>
          <w:sz w:val="17"/>
          <w:szCs w:val="17"/>
          <w:color w:val="auto"/>
        </w:rPr>
        <w:t>. Notwithstanding anything in the Plan to the contrary, the Board or the Plan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entitled to: (i) permit Contributions in excess of the amount designated by a Participant in order to adjust for mistakes in the Company’s processing of properly completed Contribution elections; (ii) establish reasonable waiting and adjustment periods and/or accounting and crediting procedures to ensure that amounts applied toward the purchase of Common Stock for each Participant properly correspond with amounts withheld from the Participant’s Contributions; (iii) amend any outstanding Purchase Rights or clarify any ambiguities regarding the terms of any Offering to enable the Purchase Rights to qualify under and/or comply with Section 423 of the Code; and (iv) establish other limitations or procedures as the Board or the Plan Administrator determines in its sole discretion advisable that are consistent with the Plan. The actions of the Board or the Plan Administrator pursuant to this paragraph will not be considered to alter or impair any Purchase Rights granted under an Offering as they are part of the initial terms of each Offering and the Purchase Rights granted under each Offering.</w:t>
      </w:r>
    </w:p>
    <w:p>
      <w:pPr>
        <w:spacing w:after="0" w:line="157" w:lineRule="exact"/>
        <w:rPr>
          <w:sz w:val="20"/>
          <w:szCs w:val="20"/>
          <w:color w:val="auto"/>
        </w:rPr>
      </w:pPr>
    </w:p>
    <w:p>
      <w:pPr>
        <w:ind w:left="800" w:hanging="403"/>
        <w:spacing w:after="0"/>
        <w:tabs>
          <w:tab w:leader="none" w:pos="8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p>
    <w:p>
      <w:pPr>
        <w:spacing w:after="0" w:line="184" w:lineRule="exact"/>
        <w:rPr>
          <w:rFonts w:ascii="Arial" w:cs="Arial" w:eastAsia="Arial" w:hAnsi="Arial"/>
          <w:sz w:val="18"/>
          <w:szCs w:val="18"/>
          <w:b w:val="1"/>
          <w:bCs w:val="1"/>
          <w:color w:val="auto"/>
        </w:rPr>
      </w:pPr>
    </w:p>
    <w:p>
      <w:pPr>
        <w:jc w:val="both"/>
        <w:ind w:left="400" w:firstLine="515"/>
        <w:spacing w:after="0" w:line="237" w:lineRule="auto"/>
        <w:tabs>
          <w:tab w:leader="none" w:pos="1321" w:val="left"/>
        </w:tabs>
        <w:numPr>
          <w:ilvl w:val="1"/>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Code Section 409A</w:t>
      </w:r>
      <w:r>
        <w:rPr>
          <w:rFonts w:ascii="Arial" w:cs="Arial" w:eastAsia="Arial" w:hAnsi="Arial"/>
          <w:sz w:val="17"/>
          <w:szCs w:val="17"/>
          <w:color w:val="auto"/>
        </w:rPr>
        <w:t>. Purchase Rights granted under the 423 Component are intended to be exempt from the application of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under U.S. Treasury Regulation Section 1.409A-1(b)(5)(ii). Purchase Rights granted under the Non-423 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172" w:lineRule="exact"/>
        <w:rPr>
          <w:rFonts w:ascii="Arial" w:cs="Arial" w:eastAsia="Arial" w:hAnsi="Arial"/>
          <w:sz w:val="17"/>
          <w:szCs w:val="17"/>
          <w:b w:val="1"/>
          <w:bCs w:val="1"/>
          <w:color w:val="auto"/>
        </w:rPr>
      </w:pPr>
    </w:p>
    <w:p>
      <w:pPr>
        <w:jc w:val="both"/>
        <w:ind w:left="400" w:firstLine="515"/>
        <w:spacing w:after="0" w:line="224" w:lineRule="auto"/>
        <w:tabs>
          <w:tab w:leader="none" w:pos="1331"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No Guarantee of Tax Treatment</w:t>
      </w:r>
      <w:r>
        <w:rPr>
          <w:rFonts w:ascii="Arial" w:cs="Arial" w:eastAsia="Arial" w:hAnsi="Arial"/>
          <w:sz w:val="18"/>
          <w:szCs w:val="18"/>
          <w:color w:val="auto"/>
        </w:rPr>
        <w:t>. Although the Company may endeavor to qualify a Purchase Right for special tax treatment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United States or jurisdictions outside the United States, or avoid adverse tax treatment (e.g., under Section 409A of the Code), the Company makes no representation to that effect and expressly disavows any covenant to maintain special or to avoid unfavorable tax treatment, notwithstanding anything to the contrary in this Plan.</w:t>
      </w:r>
    </w:p>
    <w:p>
      <w:pPr>
        <w:spacing w:after="0" w:line="158" w:lineRule="exact"/>
        <w:rPr>
          <w:rFonts w:ascii="Arial" w:cs="Arial" w:eastAsia="Arial" w:hAnsi="Arial"/>
          <w:sz w:val="18"/>
          <w:szCs w:val="18"/>
          <w:b w:val="1"/>
          <w:bCs w:val="1"/>
          <w:color w:val="auto"/>
        </w:rPr>
      </w:pPr>
    </w:p>
    <w:p>
      <w:pPr>
        <w:ind w:left="800" w:hanging="403"/>
        <w:spacing w:after="0"/>
        <w:tabs>
          <w:tab w:leader="none" w:pos="8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Participant will make adequate provision to satisfy the Tax-Related Items withholding obligations, if any, of the Company and/or the applicable</w:t>
      </w:r>
    </w:p>
    <w:p>
      <w:pPr>
        <w:spacing w:after="0" w:line="2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 following exercise having an aggregate value sufficient to pay the Tax-Related Items or withhold from the proceeds of the sale of shares of Common Stock,</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 The Company shall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required to issue any shares of Common Stock under the Plan until such obligations are satisfied.</w:t>
      </w:r>
    </w:p>
    <w:p>
      <w:pPr>
        <w:spacing w:after="0" w:line="165" w:lineRule="exact"/>
        <w:rPr>
          <w:sz w:val="20"/>
          <w:szCs w:val="20"/>
          <w:color w:val="auto"/>
        </w:rPr>
      </w:pPr>
    </w:p>
    <w:p>
      <w:pPr>
        <w:ind w:left="800" w:hanging="403"/>
        <w:spacing w:after="0"/>
        <w:tabs>
          <w:tab w:leader="none" w:pos="8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76"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The Plan will become effective upon its adoption and approval by the Board. No Purchase Rights will be exercised unless and until the Plan has been approved by the stockholders of the Company, which approval must be within 12 months before or after the date the Plan is adopted (or if required under</w:t>
      </w:r>
    </w:p>
    <w:p>
      <w:pPr>
        <w:spacing w:after="0"/>
        <w:rPr>
          <w:sz w:val="20"/>
          <w:szCs w:val="20"/>
          <w:color w:val="auto"/>
        </w:rPr>
      </w:pPr>
      <w:r>
        <w:rPr>
          <w:rFonts w:ascii="Arial" w:cs="Arial" w:eastAsia="Arial" w:hAnsi="Arial"/>
          <w:sz w:val="18"/>
          <w:szCs w:val="18"/>
          <w:color w:val="auto"/>
        </w:rPr>
        <w:t>Section 12(a) above, materially amended) by the Board.</w:t>
      </w:r>
    </w:p>
    <w:p>
      <w:pPr>
        <w:spacing w:after="0" w:line="165" w:lineRule="exact"/>
        <w:rPr>
          <w:sz w:val="20"/>
          <w:szCs w:val="20"/>
          <w:color w:val="auto"/>
        </w:rPr>
      </w:pPr>
    </w:p>
    <w:p>
      <w:pPr>
        <w:ind w:left="800" w:hanging="403"/>
        <w:spacing w:after="0"/>
        <w:tabs>
          <w:tab w:leader="none" w:pos="8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88" w:lineRule="exact"/>
        <w:rPr>
          <w:rFonts w:ascii="Arial" w:cs="Arial" w:eastAsia="Arial" w:hAnsi="Arial"/>
          <w:sz w:val="18"/>
          <w:szCs w:val="18"/>
          <w:b w:val="1"/>
          <w:bCs w:val="1"/>
          <w:color w:val="auto"/>
        </w:rPr>
      </w:pPr>
    </w:p>
    <w:p>
      <w:pPr>
        <w:ind w:left="1300" w:hanging="385"/>
        <w:spacing w:after="0"/>
        <w:tabs>
          <w:tab w:leader="none" w:pos="1300" w:val="left"/>
        </w:tabs>
        <w:numPr>
          <w:ilvl w:val="1"/>
          <w:numId w:val="130"/>
        </w:numPr>
        <w:rPr>
          <w:rFonts w:ascii="Arial" w:cs="Arial" w:eastAsia="Arial" w:hAnsi="Arial"/>
          <w:sz w:val="17"/>
          <w:szCs w:val="17"/>
          <w:b w:val="1"/>
          <w:bCs w:val="1"/>
          <w:color w:val="auto"/>
        </w:rPr>
      </w:pPr>
      <w:r>
        <w:rPr>
          <w:rFonts w:ascii="Arial" w:cs="Arial" w:eastAsia="Arial" w:hAnsi="Arial"/>
          <w:sz w:val="17"/>
          <w:szCs w:val="17"/>
          <w:color w:val="auto"/>
        </w:rPr>
        <w:t>Proceeds from the sale of shares of Common Stock pursuant to Purchase Rights will constitute general funds of the Company.</w:t>
      </w:r>
    </w:p>
    <w:p>
      <w:pPr>
        <w:spacing w:after="0" w:line="209" w:lineRule="exact"/>
        <w:rPr>
          <w:rFonts w:ascii="Arial" w:cs="Arial" w:eastAsia="Arial" w:hAnsi="Arial"/>
          <w:sz w:val="17"/>
          <w:szCs w:val="17"/>
          <w:b w:val="1"/>
          <w:bCs w:val="1"/>
          <w:color w:val="auto"/>
        </w:rPr>
      </w:pPr>
    </w:p>
    <w:p>
      <w:pPr>
        <w:jc w:val="both"/>
        <w:ind w:left="400" w:right="20" w:firstLine="515"/>
        <w:spacing w:after="0" w:line="224" w:lineRule="auto"/>
        <w:tabs>
          <w:tab w:leader="none" w:pos="1350"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6" w:lineRule="exact"/>
        <w:rPr>
          <w:rFonts w:ascii="Arial" w:cs="Arial" w:eastAsia="Arial" w:hAnsi="Arial"/>
          <w:sz w:val="18"/>
          <w:szCs w:val="18"/>
          <w:b w:val="1"/>
          <w:bCs w:val="1"/>
          <w:color w:val="auto"/>
        </w:rPr>
      </w:pPr>
    </w:p>
    <w:p>
      <w:pPr>
        <w:jc w:val="both"/>
        <w:ind w:left="400" w:firstLine="515"/>
        <w:spacing w:after="0" w:line="223" w:lineRule="auto"/>
        <w:tabs>
          <w:tab w:leader="none" w:pos="1325"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at-will nature of a Participant’s employment or amend a Participant’s employment contract,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62" w:lineRule="exact"/>
        <w:rPr>
          <w:rFonts w:ascii="Arial" w:cs="Arial" w:eastAsia="Arial" w:hAnsi="Arial"/>
          <w:sz w:val="18"/>
          <w:szCs w:val="18"/>
          <w:b w:val="1"/>
          <w:bCs w:val="1"/>
          <w:color w:val="auto"/>
        </w:rPr>
      </w:pPr>
    </w:p>
    <w:p>
      <w:pPr>
        <w:ind w:left="1320" w:hanging="405"/>
        <w:spacing w:after="0"/>
        <w:tabs>
          <w:tab w:leader="none" w:pos="1320" w:val="left"/>
        </w:tabs>
        <w:numPr>
          <w:ilvl w:val="1"/>
          <w:numId w:val="130"/>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196" w:lineRule="exact"/>
        <w:rPr>
          <w:rFonts w:ascii="Arial" w:cs="Arial" w:eastAsia="Arial" w:hAnsi="Arial"/>
          <w:sz w:val="17"/>
          <w:szCs w:val="17"/>
          <w:b w:val="1"/>
          <w:bCs w:val="1"/>
          <w:color w:val="auto"/>
        </w:rPr>
      </w:pPr>
    </w:p>
    <w:p>
      <w:pPr>
        <w:ind w:left="400" w:firstLine="515"/>
        <w:spacing w:after="0" w:line="246" w:lineRule="auto"/>
        <w:tabs>
          <w:tab w:leader="none" w:pos="1423"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56" w:lineRule="exact"/>
        <w:rPr>
          <w:rFonts w:ascii="Arial" w:cs="Arial" w:eastAsia="Arial" w:hAnsi="Arial"/>
          <w:sz w:val="18"/>
          <w:szCs w:val="18"/>
          <w:b w:val="1"/>
          <w:bCs w:val="1"/>
          <w:color w:val="auto"/>
        </w:rPr>
      </w:pPr>
    </w:p>
    <w:p>
      <w:pPr>
        <w:ind w:left="400" w:firstLine="515"/>
        <w:spacing w:after="0" w:line="235" w:lineRule="auto"/>
        <w:tabs>
          <w:tab w:leader="none" w:pos="1293" w:val="left"/>
        </w:tabs>
        <w:numPr>
          <w:ilvl w:val="1"/>
          <w:numId w:val="130"/>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such provision shall be construed in such a manner as to comply with Applicable Law.</w:t>
      </w:r>
    </w:p>
    <w:p>
      <w:pPr>
        <w:spacing w:after="0" w:line="171" w:lineRule="exact"/>
        <w:rPr>
          <w:rFonts w:ascii="Arial" w:cs="Arial" w:eastAsia="Arial" w:hAnsi="Arial"/>
          <w:sz w:val="18"/>
          <w:szCs w:val="18"/>
          <w:b w:val="1"/>
          <w:bCs w:val="1"/>
          <w:color w:val="auto"/>
        </w:rPr>
      </w:pPr>
    </w:p>
    <w:p>
      <w:pPr>
        <w:ind w:left="800" w:hanging="403"/>
        <w:spacing w:after="0"/>
        <w:tabs>
          <w:tab w:leader="none" w:pos="8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capitalized terms have the respective meanings given:</w:t>
      </w:r>
    </w:p>
    <w:p>
      <w:pPr>
        <w:spacing w:after="0" w:line="9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62"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the requirements relating to the administration of equity-based awards under state corporate laws, United States federal and state securities laws, the Code, any stock exchange or quotation system on which the Common Stock is listed or quoted and the applicable laws of any foreign country or jurisdiction where Purchase Rights are, or will be, granted under the Plan.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including any applicable regulations and guidance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86"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2(c).</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par value $0.0001 per share,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Navitas Semiconductor Corporation, a Delaware corporation, and any successor corporation thereto.</w:t>
      </w:r>
    </w:p>
    <w:p>
      <w:pPr>
        <w:spacing w:after="0" w:line="104"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Contributions</w:t>
      </w:r>
      <w:r>
        <w:rPr>
          <w:rFonts w:ascii="Arial" w:cs="Arial" w:eastAsia="Arial" w:hAnsi="Arial"/>
          <w:sz w:val="16"/>
          <w:szCs w:val="16"/>
          <w:color w:val="auto"/>
        </w:rPr>
        <w:t>” means the payroll deductions and/or other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and/or other payments during the Offering.</w:t>
      </w:r>
    </w:p>
    <w:p>
      <w:pPr>
        <w:spacing w:after="0" w:line="2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35" w:lineRule="exact"/>
        <w:rPr>
          <w:sz w:val="20"/>
          <w:szCs w:val="20"/>
          <w:color w:val="auto"/>
        </w:rPr>
      </w:pPr>
    </w:p>
    <w:p>
      <w:pPr>
        <w:ind w:left="1560" w:right="400" w:hanging="661"/>
        <w:spacing w:after="0" w:line="246" w:lineRule="auto"/>
        <w:tabs>
          <w:tab w:leader="none" w:pos="12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56" w:lineRule="exact"/>
        <w:rPr>
          <w:rFonts w:ascii="Arial" w:cs="Arial" w:eastAsia="Arial" w:hAnsi="Arial"/>
          <w:sz w:val="18"/>
          <w:szCs w:val="18"/>
          <w:color w:val="auto"/>
        </w:rPr>
      </w:pPr>
    </w:p>
    <w:p>
      <w:pPr>
        <w:ind w:left="1300" w:hanging="401"/>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sale or other disposition of more than 50% of the outstanding securities of the Company;</w:t>
      </w:r>
    </w:p>
    <w:p>
      <w:pPr>
        <w:spacing w:after="0" w:line="184" w:lineRule="exact"/>
        <w:rPr>
          <w:rFonts w:ascii="Arial" w:cs="Arial" w:eastAsia="Arial" w:hAnsi="Arial"/>
          <w:sz w:val="18"/>
          <w:szCs w:val="18"/>
          <w:color w:val="auto"/>
        </w:rPr>
      </w:pPr>
    </w:p>
    <w:p>
      <w:pPr>
        <w:ind w:left="1560" w:right="340" w:hanging="661"/>
        <w:spacing w:after="0" w:line="246" w:lineRule="auto"/>
        <w:tabs>
          <w:tab w:leader="none" w:pos="13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merger, consolidation or similar transaction following which the Company is not the surviving corporation or the sole parent of the surviving corporation; or</w:t>
      </w:r>
    </w:p>
    <w:p>
      <w:pPr>
        <w:spacing w:after="0" w:line="156" w:lineRule="exact"/>
        <w:rPr>
          <w:rFonts w:ascii="Arial" w:cs="Arial" w:eastAsia="Arial" w:hAnsi="Arial"/>
          <w:sz w:val="18"/>
          <w:szCs w:val="18"/>
          <w:color w:val="auto"/>
        </w:rPr>
      </w:pPr>
    </w:p>
    <w:p>
      <w:pPr>
        <w:ind w:left="1560" w:hanging="661"/>
        <w:spacing w:after="0" w:line="245" w:lineRule="auto"/>
        <w:tabs>
          <w:tab w:leader="none" w:pos="141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423 Corporation</w:t>
      </w:r>
      <w:r>
        <w:rPr>
          <w:rFonts w:ascii="Arial" w:cs="Arial" w:eastAsia="Arial" w:hAnsi="Arial"/>
          <w:sz w:val="18"/>
          <w:szCs w:val="18"/>
          <w:color w:val="auto"/>
        </w:rPr>
        <w:t>” means any Related Corporation selected by the Board as participating in the 423 Component.</w:t>
      </w:r>
    </w:p>
    <w:p>
      <w:pPr>
        <w:spacing w:after="0" w:line="11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Company</w:t>
      </w:r>
      <w:r>
        <w:rPr>
          <w:rFonts w:ascii="Arial" w:cs="Arial" w:eastAsia="Arial" w:hAnsi="Arial"/>
          <w:sz w:val="17"/>
          <w:szCs w:val="17"/>
          <w:color w:val="auto"/>
        </w:rPr>
        <w:t>” means any Designated 423 Corporation or any Designated Non-423 Corporation, provided, however, that at any given time, a Related Corporation participating in the 423 Component shall not be a Related Corporation participating in the Non-423 Component.</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Non-423 Corporation</w:t>
      </w:r>
      <w:r>
        <w:rPr>
          <w:rFonts w:ascii="Arial" w:cs="Arial" w:eastAsia="Arial" w:hAnsi="Arial"/>
          <w:sz w:val="16"/>
          <w:szCs w:val="16"/>
          <w:color w:val="auto"/>
        </w:rPr>
        <w:t>” means any Related Corporation or Affiliate selected by the Board as participating in the Non-423 Component.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as set forth in Section 15.</w:t>
      </w:r>
    </w:p>
    <w:p>
      <w:pPr>
        <w:spacing w:after="0" w:line="11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 For purposes of clarity, the term “</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shall not include the following, regardless of any subsequent reclassification as an employee by the Company or a Designated Company, any governmental agency, or any court: (i) any independent contractor; (ii) any consultant; or (iii) any individual performing services for the Company or a Designated Company who has entered into an independent contractor or consultant agreement with the Company or a Designated Company. The Board shall have exclusive discretion to determine whether an individual is an Eligible Employee for purposes of the Plan.</w:t>
      </w:r>
    </w:p>
    <w:p>
      <w:pPr>
        <w:spacing w:after="0" w:line="48"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(including an Affiliate). However, service solely as a Director, or payment of a fee for such services, will not cause a Director to be considered an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for purposes of the Plan.</w:t>
      </w:r>
    </w:p>
    <w:p>
      <w:pPr>
        <w:spacing w:after="0" w:line="80"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90"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of determination, the closing sales price of the Common Stock as quoted on the Nasdaq Stock Market, LLC on such date. Unless otherwise provided by the Board, if there is no closing sales price for the Common Stock on the date of determination, then the Fair Market Value will be the closing sales price on the last preceding date for which such quotation exists. In the absence of such a market for the Common Stock, the Fair Market Value will be determined by the Board in good faith in compliance with Applicable Law and, to the extent applicable as determined in the sole discretion of the Board, in a manner that complies with Sections 409A of the Code.</w:t>
      </w:r>
    </w:p>
    <w:p>
      <w:pPr>
        <w:spacing w:after="0" w:line="7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Non-423 Component</w:t>
      </w:r>
      <w:r>
        <w:rPr>
          <w:rFonts w:ascii="Arial" w:cs="Arial" w:eastAsia="Arial" w:hAnsi="Arial"/>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49"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or Affiliate within the meaning of Section 16 of the Exchange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Navitas Semiconductor 2022 Employee Stock Purchase Plan, as amended from time to time.</w:t>
      </w:r>
    </w:p>
    <w:p>
      <w:pPr>
        <w:spacing w:after="0" w:line="11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one or more Officers or Employees designated by the Board to administer the day-to-day operations of the Plan and the Company’s other equity incentive programs.</w:t>
      </w:r>
    </w:p>
    <w:p>
      <w:pPr>
        <w:spacing w:after="0" w:line="4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4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11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117"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maximum number of shares of Common Stock that may be issued under the Plan, as defined and determined in accordance with Section 3(a) of the Plan.</w:t>
      </w:r>
    </w:p>
    <w:p>
      <w:pPr>
        <w:spacing w:after="0" w:line="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any income tax, social insurance, payroll tax, fringe benefit tax, payment on account or other tax-related items arising in relation to a Participant’s participation in the Plan and legally applicable to a Participant.</w:t>
      </w:r>
    </w:p>
    <w:p>
      <w:pPr>
        <w:spacing w:after="0" w:line="4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 to the Nasdaq Global Market or any successors thereto, is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September 30, 2022 of Navitas Semiconductor Corporation;</w:t>
      </w:r>
    </w:p>
    <w:p>
      <w:pPr>
        <w:spacing w:after="0" w:line="169" w:lineRule="exact"/>
        <w:rPr>
          <w:rFonts w:ascii="Arial" w:cs="Arial" w:eastAsia="Arial" w:hAnsi="Arial"/>
          <w:sz w:val="17"/>
          <w:szCs w:val="17"/>
          <w:color w:val="auto"/>
        </w:rPr>
      </w:pPr>
    </w:p>
    <w:p>
      <w:pPr>
        <w:jc w:val="both"/>
        <w:ind w:left="340" w:hanging="332"/>
        <w:spacing w:after="0" w:line="224" w:lineRule="auto"/>
        <w:tabs>
          <w:tab w:leader="none" w:pos="39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340" w:hanging="332"/>
        <w:spacing w:after="0" w:line="229" w:lineRule="auto"/>
        <w:tabs>
          <w:tab w:leader="none" w:pos="43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740" w:hanging="408"/>
        <w:spacing w:after="0" w:line="229" w:lineRule="auto"/>
        <w:tabs>
          <w:tab w:leader="none" w:pos="81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6" w:lineRule="exact"/>
        <w:rPr>
          <w:rFonts w:ascii="Arial" w:cs="Arial" w:eastAsia="Arial" w:hAnsi="Arial"/>
          <w:sz w:val="18"/>
          <w:szCs w:val="18"/>
          <w:color w:val="auto"/>
        </w:rPr>
      </w:pPr>
    </w:p>
    <w:p>
      <w:pPr>
        <w:ind w:left="720" w:hanging="388"/>
        <w:spacing w:after="0"/>
        <w:tabs>
          <w:tab w:leader="none" w:pos="7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144" w:lineRule="exact"/>
        <w:rPr>
          <w:rFonts w:ascii="Arial" w:cs="Arial" w:eastAsia="Arial" w:hAnsi="Arial"/>
          <w:sz w:val="18"/>
          <w:szCs w:val="18"/>
          <w:color w:val="auto"/>
        </w:rPr>
      </w:pPr>
    </w:p>
    <w:p>
      <w:pPr>
        <w:ind w:left="740" w:hanging="408"/>
        <w:spacing w:after="0" w:line="274" w:lineRule="auto"/>
        <w:tabs>
          <w:tab w:leader="none" w:pos="86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740" w:hanging="408"/>
        <w:spacing w:after="0" w:line="229" w:lineRule="auto"/>
        <w:tabs>
          <w:tab w:leader="none" w:pos="77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hanging="332"/>
        <w:spacing w:after="0" w:line="258" w:lineRule="auto"/>
        <w:tabs>
          <w:tab w:leader="none" w:pos="3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740" w:hanging="408"/>
        <w:spacing w:after="0" w:line="235" w:lineRule="auto"/>
        <w:tabs>
          <w:tab w:leader="none" w:pos="74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740" w:hanging="408"/>
        <w:spacing w:after="0" w:line="246" w:lineRule="auto"/>
        <w:tabs>
          <w:tab w:leader="none" w:pos="74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5"/>
          <w:szCs w:val="15"/>
          <w:u w:val="single" w:color="auto"/>
          <w:color w:val="auto"/>
        </w:rPr>
        <w:t>/s/ Gene Sheridan</w:t>
      </w:r>
    </w:p>
    <w:p>
      <w:pPr>
        <w:ind w:left="5480"/>
        <w:spacing w:after="0" w:line="203" w:lineRule="auto"/>
        <w:rPr>
          <w:sz w:val="20"/>
          <w:szCs w:val="20"/>
          <w:color w:val="auto"/>
        </w:rPr>
      </w:pPr>
      <w:r>
        <w:rPr>
          <w:rFonts w:ascii="Arial" w:cs="Arial" w:eastAsia="Arial" w:hAnsi="Arial"/>
          <w:sz w:val="18"/>
          <w:szCs w:val="18"/>
          <w:color w:val="auto"/>
        </w:rPr>
        <w:t>Gene Sheridan</w:t>
      </w:r>
    </w:p>
    <w:p>
      <w:pPr>
        <w:ind w:left="54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Ron Shelton, certify that:</w:t>
      </w:r>
    </w:p>
    <w:p>
      <w:pPr>
        <w:spacing w:after="0" w:line="158" w:lineRule="exact"/>
        <w:rPr>
          <w:sz w:val="20"/>
          <w:szCs w:val="20"/>
          <w:color w:val="auto"/>
        </w:rPr>
      </w:pPr>
    </w:p>
    <w:p>
      <w:pPr>
        <w:ind w:left="320" w:hanging="312"/>
        <w:spacing w:after="0"/>
        <w:tabs>
          <w:tab w:leader="none" w:pos="3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September 30, 2022, of Navitas Semiconductor Corporation;</w:t>
      </w:r>
    </w:p>
    <w:p>
      <w:pPr>
        <w:spacing w:after="0" w:line="169" w:lineRule="exact"/>
        <w:rPr>
          <w:rFonts w:ascii="Arial" w:cs="Arial" w:eastAsia="Arial" w:hAnsi="Arial"/>
          <w:sz w:val="17"/>
          <w:szCs w:val="17"/>
          <w:color w:val="auto"/>
        </w:rPr>
      </w:pPr>
    </w:p>
    <w:p>
      <w:pPr>
        <w:jc w:val="both"/>
        <w:ind w:left="340" w:hanging="332"/>
        <w:spacing w:after="0" w:line="224" w:lineRule="auto"/>
        <w:tabs>
          <w:tab w:leader="none" w:pos="3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340" w:hanging="332"/>
        <w:spacing w:after="0" w:line="229" w:lineRule="auto"/>
        <w:tabs>
          <w:tab w:leader="none" w:pos="43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740" w:hanging="408"/>
        <w:spacing w:after="0" w:line="229" w:lineRule="auto"/>
        <w:tabs>
          <w:tab w:leader="none" w:pos="76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6" w:lineRule="exact"/>
        <w:rPr>
          <w:rFonts w:ascii="Arial" w:cs="Arial" w:eastAsia="Arial" w:hAnsi="Arial"/>
          <w:sz w:val="18"/>
          <w:szCs w:val="18"/>
          <w:color w:val="auto"/>
        </w:rPr>
      </w:pPr>
    </w:p>
    <w:p>
      <w:pPr>
        <w:ind w:left="720" w:hanging="388"/>
        <w:spacing w:after="0"/>
        <w:tabs>
          <w:tab w:leader="none" w:pos="7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144" w:lineRule="exact"/>
        <w:rPr>
          <w:rFonts w:ascii="Arial" w:cs="Arial" w:eastAsia="Arial" w:hAnsi="Arial"/>
          <w:sz w:val="18"/>
          <w:szCs w:val="18"/>
          <w:color w:val="auto"/>
        </w:rPr>
      </w:pPr>
    </w:p>
    <w:p>
      <w:pPr>
        <w:ind w:left="740" w:hanging="408"/>
        <w:spacing w:after="0" w:line="274" w:lineRule="auto"/>
        <w:tabs>
          <w:tab w:leader="none" w:pos="86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740" w:hanging="408"/>
        <w:spacing w:after="0" w:line="229" w:lineRule="auto"/>
        <w:tabs>
          <w:tab w:leader="none" w:pos="77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hanging="332"/>
        <w:spacing w:after="0" w:line="258" w:lineRule="auto"/>
        <w:tabs>
          <w:tab w:leader="none" w:pos="3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740" w:hanging="408"/>
        <w:spacing w:after="0" w:line="235" w:lineRule="auto"/>
        <w:tabs>
          <w:tab w:leader="none" w:pos="74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740" w:hanging="408"/>
        <w:spacing w:after="0" w:line="246" w:lineRule="auto"/>
        <w:tabs>
          <w:tab w:leader="none" w:pos="74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8"/>
                <w:szCs w:val="18"/>
                <w:color w:val="auto"/>
              </w:rPr>
              <w:t>Date: November 14, 2022</w:t>
            </w:r>
          </w:p>
        </w:tc>
        <w:tc>
          <w:tcPr>
            <w:tcW w:w="4080" w:type="dxa"/>
            <w:vAlign w:val="bottom"/>
            <w:gridSpan w:val="2"/>
          </w:tcPr>
          <w:p>
            <w:pPr>
              <w:spacing w:after="0"/>
              <w:rPr>
                <w:sz w:val="20"/>
                <w:szCs w:val="20"/>
                <w:color w:val="auto"/>
              </w:rPr>
            </w:pPr>
            <w:r>
              <w:rPr>
                <w:rFonts w:ascii="Arial" w:cs="Arial" w:eastAsia="Arial" w:hAnsi="Arial"/>
                <w:sz w:val="18"/>
                <w:szCs w:val="18"/>
                <w:color w:val="auto"/>
              </w:rPr>
              <w:t>/s/ Ron Shelton</w:t>
            </w:r>
          </w:p>
        </w:tc>
      </w:tr>
      <w:tr>
        <w:trPr>
          <w:trHeight w:val="142"/>
        </w:trPr>
        <w:tc>
          <w:tcPr>
            <w:tcW w:w="5460" w:type="dxa"/>
            <w:vAlign w:val="bottom"/>
          </w:tcPr>
          <w:p>
            <w:pPr>
              <w:spacing w:after="0"/>
              <w:rPr>
                <w:sz w:val="12"/>
                <w:szCs w:val="12"/>
                <w:color w:val="auto"/>
              </w:rPr>
            </w:pPr>
          </w:p>
        </w:tc>
        <w:tc>
          <w:tcPr>
            <w:tcW w:w="11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Ron Shelton</w:t>
            </w:r>
          </w:p>
        </w:tc>
        <w:tc>
          <w:tcPr>
            <w:tcW w:w="2980" w:type="dxa"/>
            <w:vAlign w:val="bottom"/>
          </w:tcPr>
          <w:p>
            <w:pPr>
              <w:spacing w:after="0"/>
              <w:rPr>
                <w:sz w:val="12"/>
                <w:szCs w:val="12"/>
                <w:color w:val="auto"/>
              </w:rPr>
            </w:pPr>
          </w:p>
        </w:tc>
      </w:tr>
      <w:tr>
        <w:trPr>
          <w:trHeight w:val="188"/>
        </w:trPr>
        <w:tc>
          <w:tcPr>
            <w:tcW w:w="5460" w:type="dxa"/>
            <w:vAlign w:val="bottom"/>
          </w:tcPr>
          <w:p>
            <w:pPr>
              <w:spacing w:after="0"/>
              <w:rPr>
                <w:sz w:val="16"/>
                <w:szCs w:val="16"/>
                <w:color w:val="auto"/>
              </w:rPr>
            </w:pPr>
          </w:p>
        </w:tc>
        <w:tc>
          <w:tcPr>
            <w:tcW w:w="4080" w:type="dxa"/>
            <w:vAlign w:val="bottom"/>
            <w:gridSpan w:val="2"/>
          </w:tcPr>
          <w:p>
            <w:pPr>
              <w:spacing w:after="0" w:line="189" w:lineRule="exact"/>
              <w:rPr>
                <w:sz w:val="20"/>
                <w:szCs w:val="20"/>
                <w:color w:val="auto"/>
              </w:rPr>
            </w:pPr>
            <w:r>
              <w:rPr>
                <w:rFonts w:ascii="Arial" w:cs="Arial" w:eastAsia="Arial" w:hAnsi="Arial"/>
                <w:sz w:val="18"/>
                <w:szCs w:val="18"/>
                <w:color w:val="auto"/>
                <w:w w:val="90"/>
              </w:rPr>
              <w:t>Sr. Vice President, Chief Financial Officer and Treasurer</w:t>
            </w:r>
          </w:p>
        </w:tc>
      </w:tr>
      <w:tr>
        <w:trPr>
          <w:trHeight w:val="230"/>
        </w:trPr>
        <w:tc>
          <w:tcPr>
            <w:tcW w:w="546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0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906 of the Sarbanes-Oxley Act of 2002, in his capacity as an officer of Navitas Semiconductor Corporation (“Navitas”), that, to his knowledge, Navitas’ quarterly report on Form 10-Q for the period ended September 30, 2022, fully complies with the requirements of Section 13(a) of the Securities Exchange Act of 1934 and that the information contained in such report fairly presents, in all material respects, the financial condition and results of operations 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8"/>
                <w:szCs w:val="18"/>
                <w:color w:val="auto"/>
              </w:rPr>
              <w:t>Date: November 14, 2022</w:t>
            </w:r>
          </w:p>
        </w:tc>
        <w:tc>
          <w:tcPr>
            <w:tcW w:w="4080" w:type="dxa"/>
            <w:vAlign w:val="bottom"/>
            <w:gridSpan w:val="3"/>
          </w:tcPr>
          <w:p>
            <w:pPr>
              <w:spacing w:after="0"/>
              <w:rPr>
                <w:sz w:val="20"/>
                <w:szCs w:val="20"/>
                <w:color w:val="auto"/>
              </w:rPr>
            </w:pPr>
            <w:r>
              <w:rPr>
                <w:rFonts w:ascii="Arial" w:cs="Arial" w:eastAsia="Arial" w:hAnsi="Arial"/>
                <w:sz w:val="18"/>
                <w:szCs w:val="18"/>
                <w:color w:val="auto"/>
              </w:rPr>
              <w:t>/s/ Gene Sheridan</w:t>
            </w:r>
          </w:p>
        </w:tc>
      </w:tr>
      <w:tr>
        <w:trPr>
          <w:trHeight w:val="155"/>
        </w:trPr>
        <w:tc>
          <w:tcPr>
            <w:tcW w:w="546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7"/>
                <w:szCs w:val="17"/>
                <w:color w:val="auto"/>
              </w:rPr>
              <w:t>Gene Sheridan</w:t>
            </w:r>
          </w:p>
        </w:tc>
        <w:tc>
          <w:tcPr>
            <w:tcW w:w="2800" w:type="dxa"/>
            <w:vAlign w:val="bottom"/>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546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620"/>
        </w:trPr>
        <w:tc>
          <w:tcPr>
            <w:tcW w:w="5460" w:type="dxa"/>
            <w:vAlign w:val="bottom"/>
          </w:tcPr>
          <w:p>
            <w:pPr>
              <w:spacing w:after="0"/>
              <w:rPr>
                <w:sz w:val="20"/>
                <w:szCs w:val="20"/>
                <w:color w:val="auto"/>
              </w:rPr>
            </w:pPr>
            <w:r>
              <w:rPr>
                <w:rFonts w:ascii="Arial" w:cs="Arial" w:eastAsia="Arial" w:hAnsi="Arial"/>
                <w:sz w:val="18"/>
                <w:szCs w:val="18"/>
                <w:color w:val="auto"/>
              </w:rPr>
              <w:t>Date: November 14, 2022</w:t>
            </w:r>
          </w:p>
        </w:tc>
        <w:tc>
          <w:tcPr>
            <w:tcW w:w="4080" w:type="dxa"/>
            <w:vAlign w:val="bottom"/>
            <w:gridSpan w:val="3"/>
          </w:tcPr>
          <w:p>
            <w:pPr>
              <w:spacing w:after="0"/>
              <w:rPr>
                <w:sz w:val="20"/>
                <w:szCs w:val="20"/>
                <w:color w:val="auto"/>
              </w:rPr>
            </w:pPr>
            <w:r>
              <w:rPr>
                <w:rFonts w:ascii="Arial" w:cs="Arial" w:eastAsia="Arial" w:hAnsi="Arial"/>
                <w:sz w:val="18"/>
                <w:szCs w:val="18"/>
                <w:color w:val="auto"/>
              </w:rPr>
              <w:t>/s/ Ron Shelton</w:t>
            </w:r>
          </w:p>
        </w:tc>
      </w:tr>
      <w:tr>
        <w:trPr>
          <w:trHeight w:val="155"/>
        </w:trPr>
        <w:tc>
          <w:tcPr>
            <w:tcW w:w="5460" w:type="dxa"/>
            <w:vAlign w:val="bottom"/>
          </w:tcPr>
          <w:p>
            <w:pPr>
              <w:spacing w:after="0"/>
              <w:rPr>
                <w:sz w:val="13"/>
                <w:szCs w:val="13"/>
                <w:color w:val="auto"/>
              </w:rPr>
            </w:pPr>
          </w:p>
        </w:tc>
        <w:tc>
          <w:tcPr>
            <w:tcW w:w="11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Ron Shelton</w:t>
            </w:r>
          </w:p>
        </w:tc>
        <w:tc>
          <w:tcPr>
            <w:tcW w:w="2980" w:type="dxa"/>
            <w:vAlign w:val="bottom"/>
            <w:gridSpan w:val="2"/>
          </w:tcPr>
          <w:p>
            <w:pPr>
              <w:spacing w:after="0"/>
              <w:rPr>
                <w:sz w:val="13"/>
                <w:szCs w:val="13"/>
                <w:color w:val="auto"/>
              </w:rPr>
            </w:pPr>
          </w:p>
        </w:tc>
      </w:tr>
      <w:tr>
        <w:trPr>
          <w:trHeight w:val="176"/>
        </w:trPr>
        <w:tc>
          <w:tcPr>
            <w:tcW w:w="5460" w:type="dxa"/>
            <w:vAlign w:val="bottom"/>
          </w:tcPr>
          <w:p>
            <w:pPr>
              <w:spacing w:after="0"/>
              <w:rPr>
                <w:sz w:val="15"/>
                <w:szCs w:val="15"/>
                <w:color w:val="auto"/>
              </w:rPr>
            </w:pPr>
          </w:p>
        </w:tc>
        <w:tc>
          <w:tcPr>
            <w:tcW w:w="4080" w:type="dxa"/>
            <w:vAlign w:val="bottom"/>
            <w:gridSpan w:val="3"/>
          </w:tcPr>
          <w:p>
            <w:pPr>
              <w:spacing w:after="0" w:line="176" w:lineRule="exact"/>
              <w:rPr>
                <w:sz w:val="20"/>
                <w:szCs w:val="20"/>
                <w:color w:val="auto"/>
              </w:rPr>
            </w:pPr>
            <w:r>
              <w:rPr>
                <w:rFonts w:ascii="Arial" w:cs="Arial" w:eastAsia="Arial" w:hAnsi="Arial"/>
                <w:sz w:val="18"/>
                <w:szCs w:val="18"/>
                <w:color w:val="auto"/>
                <w:w w:val="90"/>
              </w:rPr>
              <w:t>Sr. Vice President, Chief Financial Officer and Treasurer</w:t>
            </w:r>
          </w:p>
        </w:tc>
      </w:tr>
      <w:tr>
        <w:trPr>
          <w:trHeight w:val="230"/>
        </w:trPr>
        <w:tc>
          <w:tcPr>
            <w:tcW w:w="546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lowerRoman"/>
      <w:start w:val="2"/>
    </w:lvl>
  </w:abstractNum>
  <w:abstractNum w:abstractNumId="8">
    <w:nsid w:val="799D0247"/>
    <w:multiLevelType w:val="hybridMultilevel"/>
    <w:lvl w:ilvl="0">
      <w:lvlJc w:val="left"/>
      <w:lvlText w:val="(%1)"/>
      <w:numFmt w:val="decimal"/>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1)"/>
      <w:numFmt w:val="lowerRoman"/>
      <w:start w:val="1"/>
    </w:lvl>
  </w:abstractNum>
  <w:abstractNum w:abstractNumId="11">
    <w:nsid w:val="168E121F"/>
    <w:multiLevelType w:val="hybridMultilevel"/>
    <w:lvl w:ilvl="0">
      <w:lvlJc w:val="left"/>
      <w:lvlText w:val="(%1)"/>
      <w:numFmt w:val="lowerRoman"/>
      <w:start w:val="1"/>
    </w:lvl>
  </w:abstractNum>
  <w:abstractNum w:abstractNumId="12">
    <w:nsid w:val="1EBA5D23"/>
    <w:multiLevelType w:val="hybridMultilevel"/>
    <w:lvl w:ilvl="0">
      <w:lvlJc w:val="left"/>
      <w:lvlText w:val="(%1)"/>
      <w:numFmt w:val="lowerRoman"/>
      <w:start w:val="3"/>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1"/>
      <w:numFmt w:val="lowerRoman"/>
      <w:start w:val="1"/>
    </w:lvl>
    <w:lvl w:ilvl="1">
      <w:lvlJc w:val="left"/>
      <w:lvlText w:val="%2."/>
      <w:numFmt w:val="upperLetter"/>
      <w:start w:val="1"/>
    </w:lvl>
  </w:abstractNum>
  <w:abstractNum w:abstractNumId="15">
    <w:nsid w:val="540A471C"/>
    <w:multiLevelType w:val="hybridMultilevel"/>
    <w:lvl w:ilvl="0">
      <w:lvlJc w:val="left"/>
      <w:lvlText w:val="(%1)"/>
      <w:numFmt w:val="lowerRoman"/>
      <w:start w:val="1"/>
    </w:lvl>
    <w:lvl w:ilvl="1">
      <w:lvlJc w:val="left"/>
      <w:lvlText w:val="%2."/>
      <w:numFmt w:val="upperLetter"/>
      <w:start w:val="2"/>
    </w:lvl>
  </w:abstractNum>
  <w:abstractNum w:abstractNumId="16">
    <w:nsid w:val="7BD3EE7B"/>
    <w:multiLevelType w:val="hybridMultilevel"/>
    <w:lvl w:ilvl="0">
      <w:lvlJc w:val="left"/>
      <w:lvlText w:val="(%1)"/>
      <w:numFmt w:val="decimal"/>
      <w:start w:val="5"/>
    </w:lvl>
  </w:abstractNum>
  <w:abstractNum w:abstractNumId="17">
    <w:nsid w:val="51D9C564"/>
    <w:multiLevelType w:val="hybridMultilevel"/>
    <w:lvl w:ilvl="0">
      <w:lvlJc w:val="left"/>
      <w:lvlText w:val="(%1)"/>
      <w:numFmt w:val="upperLetter"/>
      <w:start w:val="4"/>
    </w:lvl>
  </w:abstractNum>
  <w:abstractNum w:abstractNumId="18">
    <w:nsid w:val="613EFDC5"/>
    <w:multiLevelType w:val="hybridMultilevel"/>
    <w:lvl w:ilvl="0">
      <w:lvlJc w:val="left"/>
      <w:lvlText w:val="(%1)"/>
      <w:numFmt w:val="lowerLetter"/>
      <w:start w:val="1"/>
    </w:lvl>
  </w:abstractNum>
  <w:abstractNum w:abstractNumId="19">
    <w:nsid w:val="BF72B14"/>
    <w:multiLevelType w:val="hybridMultilevel"/>
    <w:lvl w:ilvl="0">
      <w:lvlJc w:val="left"/>
      <w:lvlText w:val="(%1)"/>
      <w:numFmt w:val="lowerLetter"/>
      <w:start w:val="1"/>
    </w:lvl>
  </w:abstractNum>
  <w:abstractNum w:abstractNumId="20">
    <w:nsid w:val="11447B73"/>
    <w:multiLevelType w:val="hybridMultilevel"/>
    <w:lvl w:ilvl="0">
      <w:lvlJc w:val="left"/>
      <w:lvlText w:val="(%1)"/>
      <w:numFmt w:val="lowerLetter"/>
      <w:start w:val="1"/>
    </w:lvl>
  </w:abstractNum>
  <w:abstractNum w:abstractNumId="21">
    <w:nsid w:val="42963E5A"/>
    <w:multiLevelType w:val="hybridMultilevel"/>
    <w:lvl w:ilvl="0">
      <w:lvlJc w:val="left"/>
      <w:lvlText w:val="(%1)"/>
      <w:numFmt w:val="lowerLetter"/>
      <w:start w:val="1"/>
    </w:lvl>
    <w:lvl w:ilvl="1">
      <w:lvlJc w:val="left"/>
      <w:lvlText w:val="(%2)"/>
      <w:numFmt w:val="lowerRoman"/>
      <w:start w:val="1"/>
    </w:lvl>
  </w:abstractNum>
  <w:abstractNum w:abstractNumId="22">
    <w:nsid w:val="A0382C5"/>
    <w:multiLevelType w:val="hybridMultilevel"/>
    <w:lvl w:ilvl="0">
      <w:lvlJc w:val="left"/>
      <w:lvlText w:val="(%1)"/>
      <w:numFmt w:val="lowerLetter"/>
      <w:start w:val="2"/>
    </w:lvl>
  </w:abstractNum>
  <w:abstractNum w:abstractNumId="23">
    <w:nsid w:val="8F2B15E"/>
    <w:multiLevelType w:val="hybridMultilevel"/>
    <w:lvl w:ilvl="0">
      <w:lvlJc w:val="left"/>
      <w:lvlText w:val="(%1)"/>
      <w:numFmt w:val="lowerLetter"/>
      <w:start w:val="1"/>
    </w:lvl>
  </w:abstractNum>
  <w:abstractNum w:abstractNumId="24">
    <w:nsid w:val="1A32234B"/>
    <w:multiLevelType w:val="hybridMultilevel"/>
    <w:lvl w:ilvl="0">
      <w:lvlJc w:val="left"/>
      <w:lvlText w:val="(%1)"/>
      <w:numFmt w:val="lowerLetter"/>
      <w:start w:val="2"/>
    </w:lvl>
  </w:abstractNum>
  <w:abstractNum w:abstractNumId="25">
    <w:nsid w:val="3B0FD379"/>
    <w:multiLevelType w:val="hybridMultilevel"/>
    <w:lvl w:ilvl="0">
      <w:lvlJc w:val="left"/>
      <w:lvlText w:val="(%1)"/>
      <w:numFmt w:val="lowerLetter"/>
      <w:start w:val="5"/>
    </w:lvl>
  </w:abstractNum>
  <w:abstractNum w:abstractNumId="26">
    <w:nsid w:val="68EB2F63"/>
    <w:multiLevelType w:val="hybridMultilevel"/>
    <w:lvl w:ilvl="0">
      <w:lvlJc w:val="left"/>
      <w:lvlText w:val="(%1)"/>
      <w:numFmt w:val="lowerLetter"/>
      <w:start w:val="7"/>
    </w:lvl>
    <w:lvl w:ilvl="1">
      <w:lvlJc w:val="left"/>
      <w:lvlText w:val="(%2)"/>
      <w:numFmt w:val="lowerRoman"/>
      <w:start w:val="1"/>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2"/>
    </w:lvl>
    <w:lvl w:ilvl="1">
      <w:lvlJc w:val="left"/>
      <w:lvlText w:val="(%2)"/>
      <w:numFmt w:val="lowerRoman"/>
      <w:start w:val="1"/>
    </w:lvl>
  </w:abstractNum>
  <w:abstractNum w:abstractNumId="29">
    <w:nsid w:val="6A5EE64"/>
    <w:multiLevelType w:val="hybridMultilevel"/>
    <w:lvl w:ilvl="0">
      <w:lvlJc w:val="left"/>
      <w:lvlText w:val="(%1)"/>
      <w:numFmt w:val="lowerLetter"/>
      <w:start w:val="1"/>
    </w:lvl>
    <w:lvl w:ilvl="1">
      <w:lvlJc w:val="left"/>
      <w:lvlText w:val="(%2)"/>
      <w:numFmt w:val="lowerRoman"/>
      <w:start w:val="1"/>
    </w:lvl>
  </w:abstractNum>
  <w:abstractNum w:abstractNumId="30">
    <w:nsid w:val="14330624"/>
    <w:multiLevelType w:val="hybridMultilevel"/>
    <w:lvl w:ilvl="0">
      <w:lvlJc w:val="left"/>
      <w:lvlText w:val="(%1)"/>
      <w:numFmt w:val="lowerLetter"/>
      <w:start w:val="2"/>
    </w:lvl>
  </w:abstractNum>
  <w:abstractNum w:abstractNumId="31">
    <w:nsid w:val="7FFFCA11"/>
    <w:multiLevelType w:val="hybridMultilevel"/>
    <w:lvl w:ilvl="0">
      <w:lvlJc w:val="left"/>
      <w:lvlText w:val="(%1)"/>
      <w:numFmt w:val="lowerLetter"/>
      <w:start w:val="1"/>
    </w:lvl>
  </w:abstractNum>
  <w:abstractNum w:abstractNumId="32">
    <w:nsid w:val="1A27709E"/>
    <w:multiLevelType w:val="hybridMultilevel"/>
    <w:lvl w:ilvl="0">
      <w:lvlJc w:val="left"/>
      <w:lvlText w:val="(%1)"/>
      <w:numFmt w:val="lowerLetter"/>
      <w:start w:val="3"/>
    </w:lvl>
  </w:abstractNum>
  <w:abstractNum w:abstractNumId="33">
    <w:nsid w:val="71EA1109"/>
    <w:multiLevelType w:val="hybridMultilevel"/>
    <w:lvl w:ilvl="0">
      <w:lvlJc w:val="left"/>
      <w:lvlText w:val="(%1)"/>
      <w:numFmt w:val="lowerLetter"/>
      <w:start w:val="6"/>
    </w:lvl>
  </w:abstractNum>
  <w:abstractNum w:abstractNumId="34">
    <w:nsid w:val="100F59DC"/>
    <w:multiLevelType w:val="hybridMultilevel"/>
    <w:lvl w:ilvl="0">
      <w:lvlJc w:val="left"/>
      <w:lvlText w:val="(%1)"/>
      <w:numFmt w:val="lowerLetter"/>
      <w:start w:val="8"/>
    </w:lvl>
  </w:abstractNum>
  <w:abstractNum w:abstractNumId="35">
    <w:nsid w:val="7FB7E0AA"/>
    <w:multiLevelType w:val="hybridMultilevel"/>
    <w:lvl w:ilvl="0">
      <w:lvlJc w:val="left"/>
      <w:lvlText w:val="(%1)"/>
      <w:numFmt w:val="lowerLetter"/>
      <w:start w:val="1"/>
    </w:lvl>
  </w:abstractNum>
  <w:abstractNum w:abstractNumId="36">
    <w:nsid w:val="6EB5BD4"/>
    <w:multiLevelType w:val="hybridMultilevel"/>
    <w:lvl w:ilvl="0">
      <w:lvlJc w:val="left"/>
      <w:lvlText w:val="(%1)"/>
      <w:numFmt w:val="lowerLetter"/>
      <w:start w:val="2"/>
    </w:lvl>
  </w:abstractNum>
  <w:abstractNum w:abstractNumId="37">
    <w:nsid w:val="6F6DD9AC"/>
    <w:multiLevelType w:val="hybridMultilevel"/>
    <w:lvl w:ilvl="0">
      <w:lvlJc w:val="left"/>
      <w:lvlText w:val="(%1)"/>
      <w:numFmt w:val="lowerLetter"/>
      <w:start w:val="1"/>
    </w:lvl>
  </w:abstractNum>
  <w:abstractNum w:abstractNumId="38">
    <w:nsid w:val="94211F2"/>
    <w:multiLevelType w:val="hybridMultilevel"/>
    <w:lvl w:ilvl="0">
      <w:lvlJc w:val="left"/>
      <w:lvlText w:val="%1"/>
      <w:numFmt w:val="decimal"/>
      <w:start w:val="1"/>
    </w:lvl>
    <w:lvl w:ilvl="1">
      <w:lvlJc w:val="left"/>
      <w:lvlText w:val="(%2)"/>
      <w:numFmt w:val="lowerLetter"/>
      <w:start w:val="3"/>
    </w:lvl>
  </w:abstractNum>
  <w:abstractNum w:abstractNumId="39">
    <w:nsid w:val="885E1B"/>
    <w:multiLevelType w:val="hybridMultilevel"/>
    <w:lvl w:ilvl="0">
      <w:lvlJc w:val="left"/>
      <w:lvlText w:val="(%1)"/>
      <w:numFmt w:val="decimal"/>
      <w:start w:val="3"/>
    </w:lvl>
    <w:lvl w:ilvl="1">
      <w:lvlJc w:val="left"/>
      <w:lvlText w:val="%2"/>
      <w:numFmt w:val="lowerLetter"/>
      <w:start w:val="1"/>
    </w:lvl>
  </w:abstractNum>
  <w:abstractNum w:abstractNumId="40">
    <w:nsid w:val="76272110"/>
    <w:multiLevelType w:val="hybridMultilevel"/>
    <w:lvl w:ilvl="0">
      <w:lvlJc w:val="left"/>
      <w:lvlText w:val="(%1)"/>
      <w:numFmt w:val="lowerLetter"/>
      <w:start w:val="6"/>
    </w:lvl>
  </w:abstractNum>
  <w:abstractNum w:abstractNumId="41">
    <w:nsid w:val="4C04A8AF"/>
    <w:multiLevelType w:val="hybridMultilevel"/>
    <w:lvl w:ilvl="0">
      <w:lvlJc w:val="left"/>
      <w:lvlText w:val="(%1)"/>
      <w:numFmt w:val="lowerLetter"/>
      <w:start w:val="1"/>
    </w:lvl>
  </w:abstractNum>
  <w:abstractNum w:abstractNumId="42">
    <w:nsid w:val="1716703B"/>
    <w:multiLevelType w:val="hybridMultilevel"/>
    <w:lvl w:ilvl="0">
      <w:lvlJc w:val="left"/>
      <w:lvlText w:val="(%1)"/>
      <w:numFmt w:val="lowerLetter"/>
      <w:start w:val="1"/>
    </w:lvl>
  </w:abstractNum>
  <w:abstractNum w:abstractNumId="43">
    <w:nsid w:val="14E17E33"/>
    <w:multiLevelType w:val="hybridMultilevel"/>
    <w:lvl w:ilvl="0">
      <w:lvlJc w:val="left"/>
      <w:lvlText w:val="(%1)"/>
      <w:numFmt w:val="lowerLetter"/>
      <w:start w:val="3"/>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1"/>
    </w:lvl>
    <w:lvl w:ilvl="1">
      <w:lvlJc w:val="left"/>
      <w:lvlText w:val="(%2)"/>
      <w:numFmt w:val="lowerLetter"/>
      <w:start w:val="7"/>
    </w:lvl>
  </w:abstractNum>
  <w:abstractNum w:abstractNumId="46">
    <w:nsid w:val="68EBC550"/>
    <w:multiLevelType w:val="hybridMultilevel"/>
    <w:lvl w:ilvl="0">
      <w:lvlJc w:val="left"/>
      <w:lvlText w:val="(%1)"/>
      <w:numFmt w:val="lowerLetter"/>
      <w:start w:val="23"/>
    </w:lvl>
    <w:lvl w:ilvl="1">
      <w:lvlJc w:val="left"/>
      <w:lvlText w:val="(%2)"/>
      <w:numFmt w:val="lowerLetter"/>
      <w:start w:val="12"/>
    </w:lvl>
  </w:abstractNum>
  <w:abstractNum w:abstractNumId="47">
    <w:nsid w:val="2DF6D648"/>
    <w:multiLevelType w:val="hybridMultilevel"/>
    <w:lvl w:ilvl="0">
      <w:lvlJc w:val="left"/>
      <w:lvlText w:val="(%1)"/>
      <w:numFmt w:val="lowerLetter"/>
      <w:start w:val="14"/>
    </w:lvl>
  </w:abstractNum>
  <w:abstractNum w:abstractNumId="48">
    <w:nsid w:val="46B7D447"/>
    <w:multiLevelType w:val="hybridMultilevel"/>
    <w:lvl w:ilvl="0">
      <w:lvlJc w:val="left"/>
      <w:lvlText w:val="(%1)"/>
      <w:numFmt w:val="lowerLetter"/>
      <w:start w:val="1"/>
    </w:lvl>
  </w:abstractNum>
  <w:abstractNum w:abstractNumId="49">
    <w:nsid w:val="4A2AC315"/>
    <w:multiLevelType w:val="hybridMultilevel"/>
    <w:lvl w:ilvl="0">
      <w:lvlJc w:val="left"/>
      <w:lvlText w:val="(%1)"/>
      <w:numFmt w:val="lowerLetter"/>
      <w:start w:val="4"/>
    </w:lvl>
  </w:abstractNum>
  <w:abstractNum w:abstractNumId="50">
    <w:nsid w:val="39EE015C"/>
    <w:multiLevelType w:val="hybridMultilevel"/>
    <w:lvl w:ilvl="0">
      <w:lvlJc w:val="left"/>
      <w:lvlText w:val="(%1)"/>
      <w:numFmt w:val="lowerLetter"/>
      <w:start w:val="13"/>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1"/>
    </w:lvl>
  </w:abstractNum>
  <w:abstractNum w:abstractNumId="53">
    <w:nsid w:val="43F18422"/>
    <w:multiLevelType w:val="hybridMultilevel"/>
    <w:lvl w:ilvl="0">
      <w:lvlJc w:val="left"/>
      <w:lvlText w:val="(%1)"/>
      <w:numFmt w:val="lowerRoman"/>
      <w:start w:val="1"/>
    </w:lvl>
  </w:abstractNum>
  <w:abstractNum w:abstractNumId="54">
    <w:nsid w:val="60EF011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8"/>
    </w:lvl>
  </w:abstractNum>
  <w:abstractNum w:abstractNumId="55">
    <w:nsid w:val="26F324B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Roman"/>
      <w:start w:val="1"/>
    </w:lvl>
  </w:abstractNum>
  <w:abstractNum w:abstractNumId="58">
    <w:nsid w:val="7055A5F5"/>
    <w:multiLevelType w:val="hybridMultilevel"/>
    <w:lvl w:ilvl="0">
      <w:lvlJc w:val="left"/>
      <w:lvlText w:val="(%1)"/>
      <w:numFmt w:val="lowerRoman"/>
      <w:start w:val="5"/>
    </w:lvl>
  </w:abstractNum>
  <w:abstractNum w:abstractNumId="59">
    <w:nsid w:val="5FB8370B"/>
    <w:multiLevelType w:val="hybridMultilevel"/>
    <w:lvl w:ilvl="0">
      <w:lvlJc w:val="left"/>
      <w:lvlText w:val="(%1)"/>
      <w:numFmt w:val="lowerLetter"/>
      <w:start w:val="2"/>
    </w:lvl>
  </w:abstractNum>
  <w:abstractNum w:abstractNumId="60">
    <w:nsid w:val="50801EE1"/>
    <w:multiLevelType w:val="hybridMultilevel"/>
    <w:lvl w:ilvl="0">
      <w:lvlJc w:val="left"/>
      <w:lvlText w:val="(%1)"/>
      <w:numFmt w:val="lowerLetter"/>
      <w:start w:val="2"/>
    </w:lvl>
  </w:abstractNum>
  <w:abstractNum w:abstractNumId="61">
    <w:nsid w:val="488AC1A"/>
    <w:multiLevelType w:val="hybridMultilevel"/>
    <w:lvl w:ilvl="0">
      <w:lvlJc w:val="left"/>
      <w:lvlText w:val="(%1)"/>
      <w:numFmt w:val="lowerLetter"/>
      <w:start w:val="1"/>
    </w:lvl>
    <w:lvl w:ilvl="1">
      <w:lvlJc w:val="left"/>
      <w:lvlText w:val="(%2)"/>
      <w:numFmt w:val="lowerRoman"/>
      <w:start w:val="1"/>
    </w:lvl>
  </w:abstractNum>
  <w:abstractNum w:abstractNumId="62">
    <w:nsid w:val="5FB8011C"/>
    <w:multiLevelType w:val="hybridMultilevel"/>
    <w:lvl w:ilvl="0">
      <w:lvlJc w:val="left"/>
      <w:lvlText w:val="(%1)"/>
      <w:numFmt w:val="lowerLetter"/>
      <w:start w:val="2"/>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lowerLetter"/>
      <w:start w:val="1"/>
    </w:lvl>
  </w:abstractNum>
  <w:abstractNum w:abstractNumId="66">
    <w:nsid w:val="6A5F7029"/>
    <w:multiLevelType w:val="hybridMultilevel"/>
    <w:lvl w:ilvl="0">
      <w:lvlJc w:val="left"/>
      <w:lvlText w:val="(%1)"/>
      <w:numFmt w:val="lowerLetter"/>
      <w:start w:val="3"/>
    </w:lvl>
  </w:abstractNum>
  <w:abstractNum w:abstractNumId="67">
    <w:nsid w:val="7D5E18F8"/>
    <w:multiLevelType w:val="hybridMultilevel"/>
    <w:lvl w:ilvl="0">
      <w:lvlJc w:val="left"/>
      <w:lvlText w:val="(%1)"/>
      <w:numFmt w:val="lowerLetter"/>
      <w:start w:val="1"/>
    </w:lvl>
  </w:abstractNum>
  <w:abstractNum w:abstractNumId="68">
    <w:nsid w:val="5F3534A4"/>
    <w:multiLevelType w:val="hybridMultilevel"/>
    <w:lvl w:ilvl="0">
      <w:lvlJc w:val="left"/>
      <w:lvlText w:val="(%1)"/>
      <w:numFmt w:val="lowerLetter"/>
      <w:start w:val="2"/>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Letter"/>
      <w:start w:val="2"/>
    </w:lvl>
  </w:abstractNum>
  <w:abstractNum w:abstractNumId="71">
    <w:nsid w:val="555C55B5"/>
    <w:multiLevelType w:val="hybridMultilevel"/>
    <w:lvl w:ilvl="0">
      <w:lvlJc w:val="left"/>
      <w:lvlText w:val="(%1)"/>
      <w:numFmt w:val="lowerLetter"/>
      <w:start w:val="1"/>
    </w:lvl>
  </w:abstractNum>
  <w:abstractNum w:abstractNumId="72">
    <w:nsid w:val="3FA62ACA"/>
    <w:multiLevelType w:val="hybridMultilevel"/>
    <w:lvl w:ilvl="0">
      <w:lvlJc w:val="left"/>
      <w:lvlText w:val="(%1)"/>
      <w:numFmt w:val="lowerLetter"/>
      <w:start w:val="2"/>
    </w:lvl>
  </w:abstractNum>
  <w:abstractNum w:abstractNumId="73">
    <w:nsid w:val="14FCE74E"/>
    <w:multiLevelType w:val="hybridMultilevel"/>
    <w:lvl w:ilvl="0">
      <w:lvlJc w:val="left"/>
      <w:lvlText w:val="(%1)"/>
      <w:numFmt w:val="lowerLetter"/>
      <w:start w:val="7"/>
    </w:lvl>
  </w:abstractNum>
  <w:abstractNum w:abstractNumId="74">
    <w:nsid w:val="6A3DD3E8"/>
    <w:multiLevelType w:val="hybridMultilevel"/>
    <w:lvl w:ilvl="0">
      <w:lvlJc w:val="left"/>
      <w:lvlText w:val="(%1)"/>
      <w:numFmt w:val="lowerLetter"/>
      <w:start w:val="2"/>
    </w:lvl>
    <w:lvl w:ilvl="1">
      <w:lvlJc w:val="left"/>
      <w:lvlText w:val="(%2)"/>
      <w:numFmt w:val="lowerRoman"/>
      <w:start w:val="1"/>
    </w:lvl>
  </w:abstractNum>
  <w:abstractNum w:abstractNumId="75">
    <w:nsid w:val="71C9129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6">
    <w:nsid w:val="9DAF63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7">
    <w:nsid w:val="53299938"/>
    <w:multiLevelType w:val="hybridMultilevel"/>
    <w:lvl w:ilvl="0">
      <w:lvlJc w:val="left"/>
      <w:lvlText w:val="%1"/>
      <w:numFmt w:val="lowerRoman"/>
      <w:start w:val="1"/>
    </w:lvl>
    <w:lvl w:ilvl="1">
      <w:lvlJc w:val="left"/>
      <w:lvlText w:val="(%2)"/>
      <w:numFmt w:val="upperLetter"/>
      <w:start w:val="3"/>
    </w:lvl>
  </w:abstractNum>
  <w:abstractNum w:abstractNumId="78">
    <w:nsid w:val="1FBFE8E0"/>
    <w:multiLevelType w:val="hybridMultilevel"/>
    <w:lvl w:ilvl="0">
      <w:lvlJc w:val="left"/>
      <w:lvlText w:val="(%1)"/>
      <w:numFmt w:val="lowerRoman"/>
      <w:start w:val="3"/>
    </w:lvl>
    <w:lvl w:ilvl="1">
      <w:lvlJc w:val="left"/>
      <w:lvlText w:val="%2"/>
      <w:numFmt w:val="upperLetter"/>
      <w:start w:val="1"/>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lowerLetter"/>
      <w:start w:val="1"/>
    </w:lvl>
  </w:abstractNum>
  <w:abstractNum w:abstractNumId="81">
    <w:nsid w:val="59ADEA3D"/>
    <w:multiLevelType w:val="hybridMultilevel"/>
    <w:lvl w:ilvl="0">
      <w:lvlJc w:val="left"/>
      <w:lvlText w:val="(%1)"/>
      <w:numFmt w:val="lowerLetter"/>
      <w:start w:val="2"/>
    </w:lvl>
  </w:abstractNum>
  <w:abstractNum w:abstractNumId="82">
    <w:nsid w:val="288F1A34"/>
    <w:multiLevelType w:val="hybridMultilevel"/>
    <w:lvl w:ilvl="0">
      <w:lvlJc w:val="left"/>
      <w:lvlText w:val="(%1)"/>
      <w:numFmt w:val="lowerRoman"/>
      <w:start w:val="1"/>
    </w:lvl>
  </w:abstractNum>
  <w:abstractNum w:abstractNumId="83">
    <w:nsid w:val="2A155DBC"/>
    <w:multiLevelType w:val="hybridMultilevel"/>
    <w:lvl w:ilvl="0">
      <w:lvlJc w:val="left"/>
      <w:lvlText w:val="(%1)"/>
      <w:numFmt w:val="lowerRoman"/>
      <w:start w:val="2"/>
    </w:lvl>
  </w:abstractNum>
  <w:abstractNum w:abstractNumId="84">
    <w:nsid w:val="1D9F6E5F"/>
    <w:multiLevelType w:val="hybridMultilevel"/>
    <w:lvl w:ilvl="0">
      <w:lvlJc w:val="left"/>
      <w:lvlText w:val="%1"/>
      <w:numFmt w:val="lowerLetter"/>
      <w:start w:val="1"/>
    </w:lvl>
    <w:lvl w:ilvl="1">
      <w:lvlJc w:val="left"/>
      <w:lvlText w:val="(%2)"/>
      <w:numFmt w:val="lowerLetter"/>
      <w:start w:val="1"/>
    </w:lvl>
  </w:abstractNum>
  <w:abstractNum w:abstractNumId="85">
    <w:nsid w:val="97E1B4E"/>
    <w:multiLevelType w:val="hybridMultilevel"/>
    <w:lvl w:ilvl="0">
      <w:lvlJc w:val="left"/>
      <w:lvlText w:val="(%1)"/>
      <w:numFmt w:val="lowerLetter"/>
      <w:start w:val="35"/>
    </w:lvl>
    <w:lvl w:ilvl="1">
      <w:lvlJc w:val="left"/>
      <w:lvlText w:val="%2"/>
      <w:numFmt w:val="lowerLetter"/>
      <w:start w:val="1"/>
    </w:lvl>
  </w:abstractNum>
  <w:abstractNum w:abstractNumId="86">
    <w:nsid w:val="51088277"/>
    <w:multiLevelType w:val="hybridMultilevel"/>
    <w:lvl w:ilvl="0">
      <w:lvlJc w:val="left"/>
      <w:lvlText w:val="(%1)"/>
      <w:numFmt w:val="lowerLetter"/>
      <w:start w:val="3"/>
    </w:lvl>
  </w:abstractNum>
  <w:abstractNum w:abstractNumId="87">
    <w:nsid w:val="1CA0C5FA"/>
    <w:multiLevelType w:val="hybridMultilevel"/>
    <w:lvl w:ilvl="0">
      <w:lvlJc w:val="left"/>
      <w:lvlText w:val="%1."/>
      <w:numFmt w:val="upperLetter"/>
      <w:start w:val="1"/>
    </w:lvl>
  </w:abstractNum>
  <w:abstractNum w:abstractNumId="88">
    <w:nsid w:val="53584BCB"/>
    <w:multiLevelType w:val="hybridMultilevel"/>
    <w:lvl w:ilvl="0">
      <w:lvlJc w:val="left"/>
      <w:lvlText w:val="(%1)"/>
      <w:numFmt w:val="lowerLetter"/>
      <w:start w:val="1"/>
    </w:lvl>
    <w:lvl w:ilvl="1">
      <w:lvlJc w:val="left"/>
      <w:lvlText w:val="(%2)"/>
      <w:numFmt w:val="lowerLetter"/>
      <w:start w:val="35"/>
    </w:lvl>
  </w:abstractNum>
  <w:abstractNum w:abstractNumId="89">
    <w:nsid w:val="415E286C"/>
    <w:multiLevelType w:val="hybridMultilevel"/>
    <w:lvl w:ilvl="0">
      <w:lvlJc w:val="left"/>
      <w:lvlText w:val="%1"/>
      <w:numFmt w:val="lowerLetter"/>
      <w:start w:val="1"/>
    </w:lvl>
    <w:lvl w:ilvl="1">
      <w:lvlJc w:val="left"/>
      <w:lvlText w:val="(%2)"/>
      <w:numFmt w:val="lowerLetter"/>
      <w:start w:val="35"/>
    </w:lvl>
  </w:abstractNum>
  <w:abstractNum w:abstractNumId="90">
    <w:nsid w:val="7C58FD05"/>
    <w:multiLevelType w:val="hybridMultilevel"/>
    <w:lvl w:ilvl="0">
      <w:lvlJc w:val="left"/>
      <w:lvlText w:val="(%1)"/>
      <w:numFmt w:val="lowerLetter"/>
      <w:start w:val="2"/>
    </w:lvl>
    <w:lvl w:ilvl="1">
      <w:lvlJc w:val="left"/>
      <w:lvlText w:val="%2"/>
      <w:numFmt w:val="lowerLetter"/>
      <w:start w:val="1"/>
    </w:lvl>
  </w:abstractNum>
  <w:abstractNum w:abstractNumId="91">
    <w:nsid w:val="23D86AAC"/>
    <w:multiLevelType w:val="hybridMultilevel"/>
    <w:lvl w:ilvl="0">
      <w:lvlJc w:val="left"/>
      <w:lvlText w:val="(%1)"/>
      <w:numFmt w:val="lowerRoman"/>
      <w:start w:val="1"/>
    </w:lvl>
  </w:abstractNum>
  <w:abstractNum w:abstractNumId="92">
    <w:nsid w:val="45E6D486"/>
    <w:multiLevelType w:val="hybridMultilevel"/>
    <w:lvl w:ilvl="0">
      <w:lvlJc w:val="left"/>
      <w:lvlText w:val="(%1)"/>
      <w:numFmt w:val="lowerLetter"/>
      <w:start w:val="4"/>
    </w:lvl>
  </w:abstractNum>
  <w:abstractNum w:abstractNumId="93">
    <w:nsid w:val="5C10FE21"/>
    <w:multiLevelType w:val="hybridMultilevel"/>
    <w:lvl w:ilvl="0">
      <w:lvlJc w:val="left"/>
      <w:lvlText w:val="(%1)"/>
      <w:numFmt w:val="lowerLetter"/>
      <w:start w:val="6"/>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3"/>
    </w:lvl>
  </w:abstractNum>
  <w:abstractNum w:abstractNumId="96">
    <w:nsid w:val="4BD8591A"/>
    <w:multiLevelType w:val="hybridMultilevel"/>
    <w:lvl w:ilvl="0">
      <w:lvlJc w:val="left"/>
      <w:lvlText w:val="(%1)"/>
      <w:numFmt w:val="lowerLetter"/>
      <w:start w:val="1"/>
    </w:lvl>
    <w:lvl w:ilvl="1">
      <w:lvlJc w:val="left"/>
      <w:lvlText w:val="(%2)"/>
      <w:numFmt w:val="lowerRoman"/>
      <w:start w:val="1"/>
    </w:lvl>
  </w:abstractNum>
  <w:abstractNum w:abstractNumId="97">
    <w:nsid w:val="78DF6A55"/>
    <w:multiLevelType w:val="hybridMultilevel"/>
    <w:lvl w:ilvl="0">
      <w:lvlJc w:val="left"/>
      <w:lvlText w:val="(%1)"/>
      <w:numFmt w:val="lowerRoman"/>
      <w:start w:val="3"/>
    </w:lvl>
  </w:abstractNum>
  <w:abstractNum w:abstractNumId="98">
    <w:nsid w:val="39B7AAA2"/>
    <w:multiLevelType w:val="hybridMultilevel"/>
    <w:lvl w:ilvl="0">
      <w:lvlJc w:val="left"/>
      <w:lvlText w:val="(%1)"/>
      <w:numFmt w:val="lowerLetter"/>
      <w:start w:val="2"/>
    </w:lvl>
    <w:lvl w:ilvl="1">
      <w:lvlJc w:val="left"/>
      <w:lvlText w:val="(%2)"/>
      <w:numFmt w:val="lowerRoman"/>
      <w:start w:val="1"/>
    </w:lvl>
  </w:abstractNum>
  <w:abstractNum w:abstractNumId="99">
    <w:nsid w:val="2B0D8DBE"/>
    <w:multiLevelType w:val="hybridMultilevel"/>
    <w:lvl w:ilvl="0">
      <w:lvlJc w:val="left"/>
      <w:lvlText w:val="(%1)"/>
      <w:numFmt w:val="lowerRoman"/>
      <w:start w:val="2"/>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4"/>
    </w:lvl>
    <w:lvl w:ilvl="1">
      <w:lvlJc w:val="left"/>
      <w:lvlText w:val="(%2)"/>
      <w:numFmt w:val="lowerRoman"/>
      <w:start w:val="1"/>
    </w:lvl>
  </w:abstractNum>
  <w:abstractNum w:abstractNumId="102">
    <w:nsid w:val="69E373"/>
    <w:multiLevelType w:val="hybridMultilevel"/>
    <w:lvl w:ilvl="0">
      <w:lvlJc w:val="left"/>
      <w:lvlText w:val="(%1)"/>
      <w:numFmt w:val="lowerLetter"/>
      <w:start w:val="6"/>
    </w:lvl>
  </w:abstractNum>
  <w:abstractNum w:abstractNumId="103">
    <w:nsid w:val="2C27173B"/>
    <w:multiLevelType w:val="hybridMultilevel"/>
    <w:lvl w:ilvl="0">
      <w:lvlJc w:val="left"/>
      <w:lvlText w:val="(%1)"/>
      <w:numFmt w:val="lowerLetter"/>
      <w:start w:val="16"/>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lowerLetter"/>
      <w:start w:val="1"/>
    </w:lvl>
  </w:abstractNum>
  <w:abstractNum w:abstractNumId="108">
    <w:nsid w:val="3DD15094"/>
    <w:multiLevelType w:val="hybridMultilevel"/>
    <w:lvl w:ilvl="0">
      <w:lvlJc w:val="left"/>
      <w:lvlText w:val="(%1)"/>
      <w:numFmt w:val="lowerLetter"/>
      <w:start w:val="2"/>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2"/>
    </w:lvl>
  </w:abstractNum>
  <w:abstractNum w:abstractNumId="111">
    <w:nsid w:val="5B25ACE2"/>
    <w:multiLevelType w:val="hybridMultilevel"/>
    <w:lvl w:ilvl="0">
      <w:lvlJc w:val="left"/>
      <w:lvlText w:val="(%1)"/>
      <w:numFmt w:val="lowerLetter"/>
      <w:start w:val="4"/>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Roman"/>
      <w:start w:val="1"/>
    </w:lvl>
  </w:abstractNum>
  <w:abstractNum w:abstractNumId="115">
    <w:nsid w:val="34FD6B4F"/>
    <w:multiLevelType w:val="hybridMultilevel"/>
    <w:lvl w:ilvl="0">
      <w:lvlJc w:val="left"/>
      <w:lvlText w:val="(%1)"/>
      <w:numFmt w:val="lowerRoman"/>
      <w:start w:val="2"/>
    </w:lvl>
  </w:abstractNum>
  <w:abstractNum w:abstractNumId="116">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56438D15"/>
    <w:multiLevelType w:val="hybridMultilevel"/>
    <w:lvl w:ilvl="0">
      <w:lvlJc w:val="left"/>
      <w:lvlText w:val="%1"/>
      <w:numFmt w:val="decimal"/>
      <w:start w:val="1"/>
    </w:lvl>
    <w:lvl w:ilvl="1">
      <w:lvlJc w:val="left"/>
      <w:lvlText w:val="(%2)"/>
      <w:numFmt w:val="lowerLetter"/>
      <w:start w:val="3"/>
    </w:lvl>
  </w:abstractNum>
  <w:abstractNum w:abstractNumId="118">
    <w:nsid w:val="519E3149"/>
    <w:multiLevelType w:val="hybridMultilevel"/>
    <w:lvl w:ilvl="0">
      <w:lvlJc w:val="left"/>
      <w:lvlText w:val="%1."/>
      <w:numFmt w:val="decimal"/>
      <w:start w:val="3"/>
    </w:lvl>
    <w:lvl w:ilvl="1">
      <w:lvlJc w:val="left"/>
      <w:lvlText w:val="(%2)"/>
      <w:numFmt w:val="lowerLetter"/>
      <w:start w:val="1"/>
    </w:lvl>
  </w:abstractNum>
  <w:abstractNum w:abstractNumId="119">
    <w:nsid w:val="2C6E4AF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0">
    <w:nsid w:val="17A1B58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1">
    <w:nsid w:val="4DF72E4E"/>
    <w:multiLevelType w:val="hybridMultilevel"/>
    <w:lvl w:ilvl="0">
      <w:lvlJc w:val="left"/>
      <w:lvlText w:val="%1"/>
      <w:numFmt w:val="decimal"/>
      <w:start w:val="1"/>
    </w:lvl>
    <w:lvl w:ilvl="1">
      <w:lvlJc w:val="left"/>
      <w:lvlText w:val="(%2)"/>
      <w:numFmt w:val="lowerLetter"/>
      <w:start w:val="3"/>
    </w:lvl>
  </w:abstractNum>
  <w:abstractNum w:abstractNumId="122">
    <w:nsid w:val="5046B5A9"/>
    <w:multiLevelType w:val="hybridMultilevel"/>
    <w:lvl w:ilvl="0">
      <w:lvlJc w:val="left"/>
      <w:lvlText w:val="%1."/>
      <w:numFmt w:val="decimal"/>
      <w:start w:val="8"/>
    </w:lvl>
    <w:lvl w:ilvl="1">
      <w:lvlJc w:val="left"/>
      <w:lvlText w:val="(%2)"/>
      <w:numFmt w:val="lowerLetter"/>
      <w:start w:val="1"/>
    </w:lvl>
  </w:abstractNum>
  <w:abstractNum w:abstractNumId="123">
    <w:nsid w:val="5D888A08"/>
    <w:multiLevelType w:val="hybridMultilevel"/>
    <w:lvl w:ilvl="0">
      <w:lvlJc w:val="left"/>
      <w:lvlText w:val="%1."/>
      <w:numFmt w:val="decimal"/>
      <w:start w:val="10"/>
    </w:lvl>
  </w:abstractNum>
  <w:abstractNum w:abstractNumId="124">
    <w:nsid w:val="2A082C70"/>
    <w:multiLevelType w:val="hybridMultilevel"/>
    <w:lvl w:ilvl="0">
      <w:lvlJc w:val="left"/>
      <w:lvlText w:val="%1."/>
      <w:numFmt w:val="decimal"/>
      <w:start w:val="11"/>
    </w:lvl>
    <w:lvl w:ilvl="1">
      <w:lvlJc w:val="left"/>
      <w:lvlText w:val="(%2)"/>
      <w:numFmt w:val="lowerLetter"/>
      <w:start w:val="1"/>
    </w:lvl>
  </w:abstractNum>
  <w:abstractNum w:abstractNumId="125">
    <w:nsid w:val="5EC6AFD4"/>
    <w:multiLevelType w:val="hybridMultilevel"/>
    <w:lvl w:ilvl="0">
      <w:lvlJc w:val="left"/>
      <w:lvlText w:val="%1"/>
      <w:numFmt w:val="lowerLetter"/>
      <w:start w:val="1"/>
    </w:lvl>
    <w:lvl w:ilvl="1">
      <w:lvlJc w:val="left"/>
      <w:lvlText w:val="(%2)"/>
      <w:numFmt w:val="lowerLetter"/>
      <w:start w:val="2"/>
    </w:lvl>
  </w:abstractNum>
  <w:abstractNum w:abstractNumId="126">
    <w:nsid w:val="19E21BB2"/>
    <w:multiLevelType w:val="hybridMultilevel"/>
    <w:lvl w:ilvl="0">
      <w:lvlJc w:val="left"/>
      <w:lvlText w:val="(%1)"/>
      <w:numFmt w:val="lowerLetter"/>
      <w:start w:val="9"/>
    </w:lvl>
    <w:lvl w:ilvl="1">
      <w:lvlJc w:val="left"/>
      <w:lvlText w:val="(%2)"/>
      <w:numFmt w:val="lowerLetter"/>
      <w:start w:val="4"/>
    </w:lvl>
  </w:abstractNum>
  <w:abstractNum w:abstractNumId="127">
    <w:nsid w:val="75E0858A"/>
    <w:multiLevelType w:val="hybridMultilevel"/>
    <w:lvl w:ilvl="0">
      <w:lvlJc w:val="left"/>
      <w:lvlText w:val="%1."/>
      <w:numFmt w:val="decimal"/>
      <w:start w:val="13"/>
    </w:lvl>
    <w:lvl w:ilvl="1">
      <w:lvlJc w:val="left"/>
      <w:lvlText w:val="(%2)"/>
      <w:numFmt w:val="lowerLetter"/>
      <w:start w:val="1"/>
    </w:lvl>
  </w:abstractNum>
  <w:abstractNum w:abstractNumId="128">
    <w:nsid w:val="57A61A29"/>
    <w:multiLevelType w:val="hybridMultilevel"/>
    <w:lvl w:ilvl="0">
      <w:lvlJc w:val="left"/>
      <w:lvlText w:val="%1."/>
      <w:numFmt w:val="decimal"/>
      <w:start w:val="15"/>
    </w:lvl>
  </w:abstractNum>
  <w:abstractNum w:abstractNumId="129">
    <w:nsid w:val="5399C654"/>
    <w:multiLevelType w:val="hybridMultilevel"/>
    <w:lvl w:ilvl="0">
      <w:lvlJc w:val="left"/>
      <w:lvlText w:val="%1."/>
      <w:numFmt w:val="decimal"/>
      <w:start w:val="16"/>
    </w:lvl>
    <w:lvl w:ilvl="1">
      <w:lvlJc w:val="left"/>
      <w:lvlText w:val="(%2)"/>
      <w:numFmt w:val="lowerLetter"/>
      <w:start w:val="1"/>
    </w:lvl>
  </w:abstractNum>
  <w:abstractNum w:abstractNumId="130">
    <w:nsid w:val="20EE1348"/>
    <w:multiLevelType w:val="hybridMultilevel"/>
    <w:lvl w:ilvl="0">
      <w:lvlJc w:val="left"/>
      <w:lvlText w:val="(%1)"/>
      <w:numFmt w:val="lowerRoman"/>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2022-11-14T21:11:17Z</dcterms:created>
  <dcterms:modified xsi:type="dcterms:W3CDTF">2022-11-14T21:11:17Z</dcterms:modified>
</cp:coreProperties>
</file>