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ind w:left="460"/>
        <w:spacing w:after="0" w:line="220"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w:t>
      </w:r>
    </w:p>
    <w:p>
      <w:pPr>
        <w:ind w:left="460" w:hanging="434"/>
        <w:spacing w:after="0" w:line="236"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22"/>
          <w:szCs w:val="22"/>
          <w:b w:val="1"/>
          <w:bCs w:val="1"/>
          <w:color w:val="auto"/>
        </w:rPr>
        <w:t>1934</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2025</w:t>
      </w:r>
    </w:p>
    <w:p>
      <w:pPr>
        <w:spacing w:after="0" w:line="1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12" w:lineRule="exact"/>
        <w:rPr>
          <w:sz w:val="24"/>
          <w:szCs w:val="24"/>
          <w:color w:val="auto"/>
        </w:rPr>
      </w:pPr>
    </w:p>
    <w:p>
      <w:pPr>
        <w:ind w:left="460" w:right="300" w:hanging="434"/>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81915</wp:posOffset>
            </wp:positionV>
            <wp:extent cx="171450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Navitas Semiconductor Corporation</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80" w:type="dxa"/>
            <w:vAlign w:val="bottom"/>
          </w:tcPr>
          <w:p>
            <w:pPr>
              <w:spacing w:after="0"/>
              <w:rPr>
                <w:sz w:val="20"/>
                <w:szCs w:val="20"/>
                <w:color w:val="auto"/>
              </w:rPr>
            </w:pPr>
          </w:p>
        </w:tc>
        <w:tc>
          <w:tcPr>
            <w:tcW w:w="4760" w:type="dxa"/>
            <w:vAlign w:val="bottom"/>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85-2560226</w:t>
            </w:r>
          </w:p>
        </w:tc>
        <w:tc>
          <w:tcPr>
            <w:tcW w:w="0" w:type="dxa"/>
            <w:vAlign w:val="bottom"/>
          </w:tcPr>
          <w:p>
            <w:pPr>
              <w:spacing w:after="0"/>
              <w:rPr>
                <w:sz w:val="1"/>
                <w:szCs w:val="1"/>
                <w:color w:val="auto"/>
              </w:rPr>
            </w:pPr>
          </w:p>
        </w:tc>
      </w:tr>
      <w:tr>
        <w:trPr>
          <w:trHeight w:val="225"/>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080" w:type="dxa"/>
            <w:vAlign w:val="bottom"/>
          </w:tcPr>
          <w:p>
            <w:pPr>
              <w:spacing w:after="0"/>
              <w:rPr>
                <w:sz w:val="19"/>
                <w:szCs w:val="19"/>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080" w:type="dxa"/>
            <w:vAlign w:val="bottom"/>
          </w:tcPr>
          <w:p>
            <w:pPr>
              <w:spacing w:after="0"/>
              <w:rPr>
                <w:sz w:val="20"/>
                <w:szCs w:val="20"/>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51"/>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3520 Challenger Street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Torrance, California</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90503-1640</w:t>
            </w:r>
          </w:p>
        </w:tc>
        <w:tc>
          <w:tcPr>
            <w:tcW w:w="0" w:type="dxa"/>
            <w:vAlign w:val="bottom"/>
          </w:tcPr>
          <w:p>
            <w:pPr>
              <w:spacing w:after="0"/>
              <w:rPr>
                <w:sz w:val="1"/>
                <w:szCs w:val="1"/>
                <w:color w:val="auto"/>
              </w:rPr>
            </w:pPr>
          </w:p>
        </w:tc>
      </w:tr>
      <w:tr>
        <w:trPr>
          <w:trHeight w:val="256"/>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68"/>
        </w:trPr>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(844) 654-2642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37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80" w:type="dxa"/>
            <w:vAlign w:val="bottom"/>
          </w:tcPr>
          <w:p>
            <w:pPr>
              <w:spacing w:after="0"/>
              <w:rPr>
                <w:sz w:val="19"/>
                <w:szCs w:val="19"/>
                <w:color w:val="auto"/>
              </w:rPr>
            </w:pPr>
          </w:p>
        </w:tc>
        <w:tc>
          <w:tcPr>
            <w:tcW w:w="208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
        </w:trPr>
        <w:tc>
          <w:tcPr>
            <w:tcW w:w="4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04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380" w:type="dxa"/>
            <w:vAlign w:val="bottom"/>
          </w:tcPr>
          <w:p>
            <w:pPr>
              <w:spacing w:after="0"/>
              <w:rPr>
                <w:sz w:val="16"/>
                <w:szCs w:val="16"/>
                <w:color w:val="auto"/>
              </w:rPr>
            </w:pPr>
          </w:p>
        </w:tc>
        <w:tc>
          <w:tcPr>
            <w:tcW w:w="208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c>
          <w:tcPr>
            <w:tcW w:w="0" w:type="dxa"/>
            <w:vAlign w:val="bottom"/>
          </w:tcPr>
          <w:p>
            <w:pPr>
              <w:spacing w:after="0"/>
              <w:rPr>
                <w:sz w:val="1"/>
                <w:szCs w:val="1"/>
                <w:color w:val="auto"/>
              </w:rPr>
            </w:pPr>
          </w:p>
        </w:tc>
      </w:tr>
      <w:tr>
        <w:trPr>
          <w:trHeight w:val="130"/>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$0.0001 per share</w:t>
            </w:r>
          </w:p>
        </w:tc>
        <w:tc>
          <w:tcPr>
            <w:tcW w:w="380" w:type="dxa"/>
            <w:vAlign w:val="bottom"/>
          </w:tcPr>
          <w:p>
            <w:pPr>
              <w:spacing w:after="0"/>
              <w:rPr>
                <w:sz w:val="11"/>
                <w:szCs w:val="11"/>
                <w:color w:val="auto"/>
              </w:rPr>
            </w:pPr>
          </w:p>
        </w:tc>
        <w:tc>
          <w:tcPr>
            <w:tcW w:w="2080" w:type="dxa"/>
            <w:vAlign w:val="bottom"/>
            <w:tcBorders>
              <w:right w:val="single" w:sz="8" w:color="auto"/>
            </w:tcBorders>
            <w:vMerge w:val="continue"/>
          </w:tcPr>
          <w:p>
            <w:pPr>
              <w:spacing w:after="0"/>
              <w:rPr>
                <w:sz w:val="11"/>
                <w:szCs w:val="11"/>
                <w:color w:val="auto"/>
              </w:rPr>
            </w:pPr>
          </w:p>
        </w:tc>
        <w:tc>
          <w:tcPr>
            <w:tcW w:w="4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4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4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2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1440" w:right="319" w:bottom="162" w:gutter="0" w:footer="0" w:header="0"/>
        </w:sectPr>
      </w:pPr>
    </w:p>
    <w:bookmarkStart w:id="1" w:name="page2"/>
    <w:bookmarkEnd w:id="1"/>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191,807,786 shares of Class A Common Stock and 0 shares of Class B Common Stock were outstanding at May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3.</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1A.</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E32E1"/>
              </w:rPr>
              <w:t>Part I - Financial Information</w:t>
            </w:r>
          </w:p>
        </w:tc>
        <w:tc>
          <w:tcPr>
            <w:tcW w:w="3320" w:type="dxa"/>
            <w:vAlign w:val="bottom"/>
            <w:gridSpan w:val="5"/>
            <w:vMerge w:val="restart"/>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tcBorders>
              <w:bottom w:val="single" w:sz="8" w:color="0E32E1"/>
            </w:tcBorders>
            <w:gridSpan w:val="5"/>
            <w:vMerge w:val="continue"/>
          </w:tcPr>
          <w:p>
            <w:pPr>
              <w:spacing w:after="0"/>
              <w:rPr>
                <w:sz w:val="14"/>
                <w:szCs w:val="14"/>
                <w:color w:val="auto"/>
              </w:rPr>
            </w:pPr>
          </w:p>
        </w:tc>
        <w:tc>
          <w:tcPr>
            <w:tcW w:w="3320" w:type="dxa"/>
            <w:vAlign w:val="bottom"/>
            <w:gridSpan w:val="5"/>
            <w:vMerge w:val="continue"/>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rPr>
              <w:t>4</w:t>
            </w:r>
          </w:p>
        </w:tc>
        <w:tc>
          <w:tcPr>
            <w:tcW w:w="0" w:type="dxa"/>
            <w:vAlign w:val="bottom"/>
          </w:tcPr>
          <w:p>
            <w:pPr>
              <w:spacing w:after="0"/>
              <w:rPr>
                <w:sz w:val="1"/>
                <w:szCs w:val="1"/>
                <w:color w:val="auto"/>
              </w:rPr>
            </w:pPr>
          </w:p>
        </w:tc>
      </w:tr>
      <w:tr>
        <w:trPr>
          <w:trHeight w:val="736"/>
        </w:trPr>
        <w:tc>
          <w:tcPr>
            <w:tcW w:w="2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60" w:type="dxa"/>
            <w:vAlign w:val="bottom"/>
            <w:gridSpan w:val="11"/>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2025 and December 31, 2024</w:t>
            </w:r>
          </w:p>
        </w:tc>
        <w:tc>
          <w:tcPr>
            <w:tcW w:w="2660" w:type="dxa"/>
            <w:vAlign w:val="bottom"/>
            <w:gridSpan w:val="3"/>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4</w:t>
            </w:r>
          </w:p>
        </w:tc>
        <w:tc>
          <w:tcPr>
            <w:tcW w:w="0" w:type="dxa"/>
            <w:vAlign w:val="bottom"/>
          </w:tcPr>
          <w:p>
            <w:pPr>
              <w:spacing w:after="0"/>
              <w:rPr>
                <w:sz w:val="1"/>
                <w:szCs w:val="1"/>
                <w:color w:val="auto"/>
              </w:rPr>
            </w:pPr>
          </w:p>
        </w:tc>
      </w:tr>
      <w:tr>
        <w:trPr>
          <w:trHeight w:val="209"/>
        </w:trPr>
        <w:tc>
          <w:tcPr>
            <w:tcW w:w="8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5</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2025 and 2024</w:t>
            </w:r>
          </w:p>
        </w:tc>
        <w:tc>
          <w:tcPr>
            <w:tcW w:w="5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6</w:t>
            </w:r>
          </w:p>
        </w:tc>
        <w:tc>
          <w:tcPr>
            <w:tcW w:w="0" w:type="dxa"/>
            <w:vAlign w:val="bottom"/>
          </w:tcPr>
          <w:p>
            <w:pPr>
              <w:spacing w:after="0"/>
              <w:rPr>
                <w:sz w:val="1"/>
                <w:szCs w:val="1"/>
                <w:color w:val="auto"/>
              </w:rPr>
            </w:pPr>
          </w:p>
        </w:tc>
      </w:tr>
      <w:tr>
        <w:trPr>
          <w:trHeight w:val="210"/>
        </w:trPr>
        <w:tc>
          <w:tcPr>
            <w:tcW w:w="8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 for the Three Months Ended March 31, 2025 and 2024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7</w:t>
            </w:r>
          </w:p>
        </w:tc>
        <w:tc>
          <w:tcPr>
            <w:tcW w:w="0" w:type="dxa"/>
            <w:vAlign w:val="bottom"/>
          </w:tcPr>
          <w:p>
            <w:pPr>
              <w:spacing w:after="0"/>
              <w:rPr>
                <w:sz w:val="1"/>
                <w:szCs w:val="1"/>
                <w:color w:val="auto"/>
              </w:rPr>
            </w:pPr>
          </w:p>
        </w:tc>
      </w:tr>
      <w:tr>
        <w:trPr>
          <w:trHeight w:val="209"/>
        </w:trPr>
        <w:tc>
          <w:tcPr>
            <w:tcW w:w="40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Notes to Consolidated Financial Statements</w:t>
            </w:r>
          </w:p>
        </w:tc>
        <w:tc>
          <w:tcPr>
            <w:tcW w:w="3640" w:type="dxa"/>
            <w:vAlign w:val="bottom"/>
            <w:tcBorders>
              <w:top w:val="single" w:sz="8" w:color="0000FF"/>
            </w:tcBorders>
            <w:gridSpan w:val="6"/>
          </w:tcPr>
          <w:p>
            <w:pPr>
              <w:spacing w:after="0"/>
              <w:rPr>
                <w:sz w:val="18"/>
                <w:szCs w:val="18"/>
                <w:color w:val="auto"/>
              </w:rPr>
            </w:pPr>
          </w:p>
        </w:tc>
        <w:tc>
          <w:tcPr>
            <w:tcW w:w="1300" w:type="dxa"/>
            <w:vAlign w:val="bottom"/>
            <w:gridSpan w:val="2"/>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8</w:t>
            </w:r>
          </w:p>
        </w:tc>
        <w:tc>
          <w:tcPr>
            <w:tcW w:w="0" w:type="dxa"/>
            <w:vAlign w:val="bottom"/>
          </w:tcPr>
          <w:p>
            <w:pPr>
              <w:spacing w:after="0"/>
              <w:rPr>
                <w:sz w:val="1"/>
                <w:szCs w:val="1"/>
                <w:color w:val="auto"/>
              </w:rPr>
            </w:pPr>
          </w:p>
        </w:tc>
      </w:tr>
      <w:tr>
        <w:trPr>
          <w:trHeight w:val="209"/>
        </w:trPr>
        <w:tc>
          <w:tcPr>
            <w:tcW w:w="8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Conditions and Operating Results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25</w:t>
            </w:r>
          </w:p>
        </w:tc>
        <w:tc>
          <w:tcPr>
            <w:tcW w:w="0" w:type="dxa"/>
            <w:vAlign w:val="bottom"/>
          </w:tcPr>
          <w:p>
            <w:pPr>
              <w:spacing w:after="0"/>
              <w:rPr>
                <w:sz w:val="1"/>
                <w:szCs w:val="1"/>
                <w:color w:val="auto"/>
              </w:rPr>
            </w:pPr>
          </w:p>
        </w:tc>
      </w:tr>
      <w:tr>
        <w:trPr>
          <w:trHeight w:val="223"/>
        </w:trPr>
        <w:tc>
          <w:tcPr>
            <w:tcW w:w="43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1900" w:type="dxa"/>
            <w:vAlign w:val="bottom"/>
            <w:tcBorders>
              <w:top w:val="single" w:sz="8" w:color="0000FF"/>
            </w:tcBorders>
            <w:gridSpan w:val="3"/>
          </w:tcPr>
          <w:p>
            <w:pPr>
              <w:spacing w:after="0"/>
              <w:rPr>
                <w:sz w:val="19"/>
                <w:szCs w:val="19"/>
                <w:color w:val="auto"/>
              </w:rPr>
            </w:pPr>
          </w:p>
        </w:tc>
        <w:tc>
          <w:tcPr>
            <w:tcW w:w="2680" w:type="dxa"/>
            <w:vAlign w:val="bottom"/>
            <w:gridSpan w:val="4"/>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32</w:t>
            </w:r>
          </w:p>
        </w:tc>
        <w:tc>
          <w:tcPr>
            <w:tcW w:w="0" w:type="dxa"/>
            <w:vAlign w:val="bottom"/>
          </w:tcPr>
          <w:p>
            <w:pPr>
              <w:spacing w:after="0"/>
              <w:rPr>
                <w:sz w:val="1"/>
                <w:szCs w:val="1"/>
                <w:color w:val="auto"/>
              </w:rPr>
            </w:pPr>
          </w:p>
        </w:tc>
      </w:tr>
      <w:tr>
        <w:trPr>
          <w:trHeight w:val="250"/>
        </w:trPr>
        <w:tc>
          <w:tcPr>
            <w:tcW w:w="8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 and Procedures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32</w:t>
            </w:r>
          </w:p>
        </w:tc>
        <w:tc>
          <w:tcPr>
            <w:tcW w:w="0" w:type="dxa"/>
            <w:vAlign w:val="bottom"/>
          </w:tcPr>
          <w:p>
            <w:pPr>
              <w:spacing w:after="0"/>
              <w:rPr>
                <w:sz w:val="1"/>
                <w:szCs w:val="1"/>
                <w:color w:val="auto"/>
              </w:rPr>
            </w:pPr>
          </w:p>
        </w:tc>
      </w:tr>
      <w:tr>
        <w:trPr>
          <w:trHeight w:val="763"/>
        </w:trPr>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420" w:type="dxa"/>
            <w:vAlign w:val="bottom"/>
            <w:gridSpan w:val="6"/>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00" w:type="dxa"/>
            <w:vAlign w:val="bottom"/>
            <w:gridSpan w:val="13"/>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34</w:t>
            </w:r>
          </w:p>
        </w:tc>
        <w:tc>
          <w:tcPr>
            <w:tcW w:w="0" w:type="dxa"/>
            <w:vAlign w:val="bottom"/>
          </w:tcPr>
          <w:p>
            <w:pPr>
              <w:spacing w:after="0"/>
              <w:rPr>
                <w:sz w:val="1"/>
                <w:szCs w:val="1"/>
                <w:color w:val="auto"/>
              </w:rPr>
            </w:pPr>
          </w:p>
        </w:tc>
      </w:tr>
      <w:tr>
        <w:trPr>
          <w:trHeight w:val="250"/>
        </w:trPr>
        <w:tc>
          <w:tcPr>
            <w:tcW w:w="8940" w:type="dxa"/>
            <w:vAlign w:val="bottom"/>
            <w:gridSpan w:val="16"/>
          </w:tcPr>
          <w:p>
            <w:pPr>
              <w:spacing w:after="0"/>
              <w:rPr>
                <w:sz w:val="20"/>
                <w:szCs w:val="20"/>
                <w:color w:val="auto"/>
              </w:rPr>
            </w:pPr>
            <w:r>
              <w:rPr>
                <w:rFonts w:ascii="Times New Roman" w:cs="Times New Roman" w:eastAsia="Times New Roman" w:hAnsi="Times New Roman"/>
                <w:sz w:val="18"/>
                <w:szCs w:val="18"/>
                <w:color w:val="0A2299"/>
              </w:rPr>
              <w:t>Risk Factors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34</w:t>
            </w:r>
          </w:p>
        </w:tc>
        <w:tc>
          <w:tcPr>
            <w:tcW w:w="0" w:type="dxa"/>
            <w:vAlign w:val="bottom"/>
          </w:tcPr>
          <w:p>
            <w:pPr>
              <w:spacing w:after="0"/>
              <w:rPr>
                <w:sz w:val="1"/>
                <w:szCs w:val="1"/>
                <w:color w:val="auto"/>
              </w:rPr>
            </w:pPr>
          </w:p>
        </w:tc>
      </w:tr>
      <w:tr>
        <w:trPr>
          <w:trHeight w:val="250"/>
        </w:trPr>
        <w:tc>
          <w:tcPr>
            <w:tcW w:w="600" w:type="dxa"/>
            <w:vAlign w:val="bottom"/>
            <w:tcBorders>
              <w:top w:val="single" w:sz="8" w:color="0A2299"/>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00" w:type="dxa"/>
            <w:vAlign w:val="bottom"/>
            <w:tcBorders>
              <w:top w:val="single" w:sz="8" w:color="0A2299"/>
            </w:tcBorders>
          </w:tcPr>
          <w:p>
            <w:pPr>
              <w:spacing w:after="0"/>
              <w:rPr>
                <w:sz w:val="21"/>
                <w:szCs w:val="21"/>
                <w:color w:val="auto"/>
              </w:rPr>
            </w:pPr>
          </w:p>
        </w:tc>
        <w:tc>
          <w:tcPr>
            <w:tcW w:w="8040" w:type="dxa"/>
            <w:vAlign w:val="bottom"/>
            <w:gridSpan w:val="14"/>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0" w:space="500"/>
            <w:col w:w="10080"/>
          </w:cols>
          <w:pgMar w:left="320" w:top="121" w:right="339" w:bottom="1440" w:gutter="0" w:footer="0" w:header="0"/>
          <w:type w:val="continuous"/>
        </w:sectPr>
      </w:pP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 and par value)</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4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86,737</w:t>
            </w: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of $481 and $135, respectively</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120,266</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0" w:type="dxa"/>
            <w:vAlign w:val="bottom"/>
          </w:tcPr>
          <w:p>
            <w:pPr>
              <w:spacing w:after="0"/>
              <w:rPr>
                <w:sz w:val="1"/>
                <w:szCs w:val="1"/>
                <w:color w:val="auto"/>
              </w:rPr>
            </w:pPr>
          </w:p>
        </w:tc>
      </w:tr>
      <w:tr>
        <w:trPr>
          <w:trHeight w:val="223"/>
        </w:trPr>
        <w:tc>
          <w:tcPr>
            <w:tcW w:w="7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370,830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389,978</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0" w:type="dxa"/>
            <w:vAlign w:val="bottom"/>
          </w:tcPr>
          <w:p>
            <w:pPr>
              <w:spacing w:after="0"/>
              <w:rPr>
                <w:sz w:val="1"/>
                <w:szCs w:val="1"/>
                <w:color w:val="auto"/>
              </w:rPr>
            </w:pPr>
          </w:p>
        </w:tc>
      </w:tr>
      <w:tr>
        <w:trPr>
          <w:trHeight w:val="229"/>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23"/>
        </w:trPr>
        <w:tc>
          <w:tcPr>
            <w:tcW w:w="7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8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Class A common stock, $0.0001 par value, 740,000,000 shares authorized as of March 31, 2025 and</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8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w w:val="99"/>
              </w:rPr>
              <w:t>December 31, 2024, and 191,763,399 and 188,114,202 shares issued and outstanding at March 31, 2025</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8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as of March 31, 2025 and</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8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December 31, 2024, and 0 shares issued and outstanding at both March 31, 2025 and December 31,</w:t>
            </w:r>
          </w:p>
        </w:tc>
        <w:tc>
          <w:tcPr>
            <w:tcW w:w="22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732,784</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(401,615)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(384,786)</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341,820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348,013</w:t>
            </w:r>
          </w:p>
        </w:tc>
        <w:tc>
          <w:tcPr>
            <w:tcW w:w="0" w:type="dxa"/>
            <w:vAlign w:val="bottom"/>
          </w:tcPr>
          <w:p>
            <w:pPr>
              <w:spacing w:after="0"/>
              <w:rPr>
                <w:sz w:val="1"/>
                <w:szCs w:val="1"/>
                <w:color w:val="auto"/>
              </w:rPr>
            </w:pPr>
          </w:p>
        </w:tc>
      </w:tr>
      <w:tr>
        <w:trPr>
          <w:trHeight w:val="223"/>
        </w:trPr>
        <w:tc>
          <w:tcPr>
            <w:tcW w:w="7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370,830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389,978</w:t>
            </w: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8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23,175</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 included below)</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0" w:type="dxa"/>
            <w:vAlign w:val="bottom"/>
          </w:tcPr>
          <w:p>
            <w:pPr>
              <w:spacing w:after="0"/>
              <w:rPr>
                <w:sz w:val="1"/>
                <w:szCs w:val="1"/>
                <w:color w:val="auto"/>
              </w:rPr>
            </w:pPr>
          </w:p>
        </w:tc>
      </w:tr>
      <w:tr>
        <w:trPr>
          <w:trHeight w:val="229"/>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41,090</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(31,575)</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change in fair value of earnout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loss per share attributable to common stockholders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0"/>
        </w:trPr>
        <w:tc>
          <w:tcPr>
            <w:tcW w:w="7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7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USED IN NET LOSS PER SHARE ATTRIBUTABLE TO</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STOCKHOLDERS: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common shares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179,779</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common shares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179,779</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4"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20" w:type="dxa"/>
            <w:vAlign w:val="bottom"/>
          </w:tcPr>
          <w:p>
            <w:pPr>
              <w:spacing w:after="0"/>
              <w:rPr>
                <w:sz w:val="11"/>
                <w:szCs w:val="11"/>
                <w:color w:val="auto"/>
              </w:rPr>
            </w:pPr>
          </w:p>
        </w:tc>
        <w:tc>
          <w:tcPr>
            <w:tcW w:w="21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520" w:type="dxa"/>
            <w:vAlign w:val="bottom"/>
          </w:tcPr>
          <w:p>
            <w:pPr>
              <w:spacing w:after="0"/>
              <w:rPr>
                <w:sz w:val="8"/>
                <w:szCs w:val="8"/>
                <w:color w:val="auto"/>
              </w:rPr>
            </w:pPr>
          </w:p>
        </w:tc>
        <w:tc>
          <w:tcPr>
            <w:tcW w:w="214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40"/>
              <w:spacing w:after="0" w:line="119"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080" w:type="dxa"/>
            <w:vAlign w:val="bottom"/>
            <w:gridSpan w:val="3"/>
            <w:vMerge w:val="restart"/>
          </w:tcPr>
          <w:p>
            <w:pPr>
              <w:jc w:val="center"/>
              <w:ind w:right="10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3"/>
            <w:vMerge w:val="restart"/>
          </w:tcPr>
          <w:p>
            <w:pPr>
              <w:ind w:left="4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732,784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(384,786)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348,013</w:t>
            </w:r>
          </w:p>
        </w:tc>
        <w:tc>
          <w:tcPr>
            <w:tcW w:w="0" w:type="dxa"/>
            <w:vAlign w:val="bottom"/>
          </w:tcPr>
          <w:p>
            <w:pPr>
              <w:spacing w:after="0"/>
              <w:rPr>
                <w:sz w:val="1"/>
                <w:szCs w:val="1"/>
                <w:color w:val="auto"/>
              </w:rPr>
            </w:pPr>
          </w:p>
        </w:tc>
      </w:tr>
      <w:tr>
        <w:trPr>
          <w:trHeight w:val="175"/>
        </w:trPr>
        <w:tc>
          <w:tcPr>
            <w:tcW w:w="4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 option and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award plans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0" w:type="dxa"/>
            <w:vAlign w:val="bottom"/>
          </w:tcPr>
          <w:p>
            <w:pPr>
              <w:spacing w:after="0"/>
              <w:rPr>
                <w:sz w:val="1"/>
                <w:szCs w:val="1"/>
                <w:color w:val="auto"/>
              </w:rPr>
            </w:pPr>
          </w:p>
        </w:tc>
      </w:tr>
      <w:tr>
        <w:trPr>
          <w:trHeight w:val="184"/>
        </w:trPr>
        <w:tc>
          <w:tcPr>
            <w:tcW w:w="45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Costs for the issuance of common stock/At-the-market</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76"/>
        </w:trPr>
        <w:tc>
          <w:tcPr>
            <w:tcW w:w="4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 expense related to employee and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non-employee stock awards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191,763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743,420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(401,615)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341,820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4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20" w:type="dxa"/>
            <w:vAlign w:val="bottom"/>
          </w:tcPr>
          <w:p>
            <w:pPr>
              <w:spacing w:after="0"/>
              <w:rPr>
                <w:sz w:val="11"/>
                <w:szCs w:val="11"/>
                <w:color w:val="auto"/>
              </w:rPr>
            </w:pPr>
          </w:p>
        </w:tc>
        <w:tc>
          <w:tcPr>
            <w:tcW w:w="21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520" w:type="dxa"/>
            <w:vAlign w:val="bottom"/>
          </w:tcPr>
          <w:p>
            <w:pPr>
              <w:spacing w:after="0"/>
              <w:rPr>
                <w:sz w:val="8"/>
                <w:szCs w:val="8"/>
                <w:color w:val="auto"/>
              </w:rPr>
            </w:pPr>
          </w:p>
        </w:tc>
        <w:tc>
          <w:tcPr>
            <w:tcW w:w="214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80" w:type="dxa"/>
            <w:vAlign w:val="bottom"/>
            <w:gridSpan w:val="3"/>
            <w:vMerge w:val="restart"/>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680,790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380,617</w:t>
            </w:r>
          </w:p>
        </w:tc>
        <w:tc>
          <w:tcPr>
            <w:tcW w:w="0" w:type="dxa"/>
            <w:vAlign w:val="bottom"/>
          </w:tcPr>
          <w:p>
            <w:pPr>
              <w:spacing w:after="0"/>
              <w:rPr>
                <w:sz w:val="1"/>
                <w:szCs w:val="1"/>
                <w:color w:val="auto"/>
              </w:rPr>
            </w:pPr>
          </w:p>
        </w:tc>
      </w:tr>
      <w:tr>
        <w:trPr>
          <w:trHeight w:val="175"/>
        </w:trPr>
        <w:tc>
          <w:tcPr>
            <w:tcW w:w="4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 option and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award plans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 expense related to employee and</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non-employee stock awards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397,917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from change in fair value of earnout liability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29"/>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compensation and other accrued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30"/>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Customer deposit and deferred revenue</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(19,783)</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purchases</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in connection stock option exercises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23"/>
        </w:trPr>
        <w:tc>
          <w:tcPr>
            <w:tcW w:w="81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152,839</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128,907</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129,682</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in connection with annual bonus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ectPr>
          <w:pgSz w:w="11900" w:h="16838" w:orient="portrait"/>
          <w:cols w:equalWidth="0" w:num="1">
            <w:col w:w="11140"/>
          </w:cols>
          <w:pgMar w:left="320" w:top="45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54"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35"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Navitas Semiconductor Corporation (“the Company”) designs, develops and markets next-generation power semiconductors including gallium nitride (“GaN”) power integrated circuits (“ICs”), silicon carbide (“SiC”) devices and associated high-speed silicon system controllers, and digital isolators used in power conversion and charging. Power supplies incorporating the Company’s products may be used in a wide variety of applications including fast chargers for mobile phones and laptops, consumer electronics, data centers, solar products, electric vehicles and infrastructure, among numerous other applications. The Company’s products provide superior efficiency, performance, size, cost and sustainability relative to existing silicon technology. The Company presently operates as a product design house that contracts the manufacturing of its chips and packaging to partner suppliers. Navitas maintains its operations around the world, including the United States, Ireland, Germany, Italy, Belgium, China, Taiwan, Thailand, South Korea and the Philippines, with principal executive offices in Torrance, California.</w:t>
      </w:r>
    </w:p>
    <w:p>
      <w:pPr>
        <w:spacing w:after="0" w:line="71"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has two authorized classes of common stock: Class A and Class B. Both classes have identical voting, dividend, and liquidation rights. There were no outstanding Class B shares as of March 31, 2025 and December 31, 2024. The Company also has 1.0 million shares of preferred stock authorized, with no shares outstanding as of March 31, 2025 and December 31, 2024. The preferred stock may be issued with voting rights, if any, and such other designations, powers, preferences and rights as may be determined by the board of directors at the time of issuance.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of At-The-Market Agreement</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March 19, 2025, the Company entered into an At-The-Market Offering Agreement (the "ATM Agreement") with Jefferies LLC (“Jefferies”) for the sale of shares of its Class A common stock, par value $0.0001 per share. Under the terms of the ATM Agreement, the Company may offer and sell shares of its Class A common stock having an aggregate offering price of up to $50,000,000 from time to time through Jefferies, acting as the sales agent. As of March 31, 2025, the Company has not sold any shares under the ATM agreement. In connection with establishing the ATM program, the Company incurred offering-related costs of approximately $0.3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herein have been prepared pursuant to the rules and regulations of the Securities and Exchange Commission (“SEC”). The information contained in the condensed consolidated financial statements includes normal recurring adjustments and reflects all adjustments, which are in the opinion of management, necessary for a fair presentation of such condensed consolidated financial statements. Operating results for the three months ended March 31, 2025, are not necessarily indicative of results to be expected for the full year ending December 31, 2025. Certain footnote disclosures normally included in annual consolidated financial statements prepared in accordance with generally accepted accounting principles (“GAAP”) in the United States of America have been condensed or omitted pursuant to SEC rules and regulations relating to interim financial statements. The accompanying condensed consolidated financial statements should be read in conjunction with consolidated financial statements and notes thereto contained in the Company’s annual report on Form 10-K filed for the fiscal year ended December 31, 2024, filed with the SEC on March 19, 2025. Except as further described below, there have been no significant changes in the Company’s accounting policies from those disclosed in its Form 10-K filed with the SEC on March 19,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disclosures of contingent assets and liabilities at the date of the financial statements and the reported amounts of revenues and expenses during the reporting periods.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AND RECENT ACCOUNTING PRONOUNCEMENTS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Certain items in the prior period’s condensed consolidated statements of operations have been reclassified to conform to the presentation for the three months ended March 31, 2025. Dividend income was previously included within interest income (expense), net. There was no impact to net loss and retained earnings as a result of the reclassifications.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which mandates enhanced disclosure of specific costs and expenses within the notes to the financial statements. The guidance is effective for annual reporting periods beginning after December 15, 2026, and interim periods within annual reporting periods beginning after December 15, 2027. Early adoption is permitted, and the amendments may be applied prospectively to reporting periods after the effective date or retrospectively to all periods presented in the financial statements. The Company is evaluating the impact that this ASU will have on the presentation of its consolidated financial statements.</w:t>
      </w:r>
    </w:p>
    <w:p>
      <w:pPr>
        <w:spacing w:after="0" w:line="8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December 2023, FASB issued ASU 2023-09, titled Income Taxes (Topic 740): Improvements to Income Tax Disclosures. These amendments address investor requests for enhanced transparency regarding income tax information. Specifically, they improve income tax disclosures related to rate reconciliation and income taxes paid. This updated standard will be effective for fiscal years beginning after December 15, 2024 on a prospective basis, with the option to apply the standard retrospectively. The new disclosure requirements are applicable beginning with the Company’s annual reporting for the year ending December 31, 2025. The Company is still assessing this standard and expects it to result in changes to disclosures only.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introduced Accounting Standard Update ASU 2023-07, titled Segment Reporting (Topic 280): Improvements to Reportable Segment Disclosures. This update mandates that all public entities, including those with a single reportable segment, disclose one or more measures of segment profit or loss that the chief operating decision maker (CODM) uses to allocate resources and assess performance during interim and annual reporting periods. Furthermore, the standard requires the disclosure of significant segment expenses, other relevant segment items, and additional qualitative information. The Company adopted ASC 2023-07 and all related subsequent amendments during the year ended December 31, 2024, as disclosed in Note 14 - “Segment Information” of this Form 10-Q.</w:t>
      </w:r>
    </w:p>
    <w:p>
      <w:pPr>
        <w:spacing w:after="0" w:line="7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This Form 10-Q does not include any other newly implemented accounting standards or pronouncements beyond those detailed above. Such exclusions were made because they either do not apply to the Company or are not anticipated to materially impact the condensed consolidated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trade, net consist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6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720" w:type="dxa"/>
            <w:vAlign w:val="bottom"/>
            <w:shd w:val="clear" w:color="auto" w:fill="CCEEFF"/>
          </w:tcPr>
          <w:p>
            <w:pPr>
              <w:jc w:val="right"/>
              <w:ind w:right="15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w:t>
            </w: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7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7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720" w:type="dxa"/>
            <w:vAlign w:val="bottom"/>
          </w:tcPr>
          <w:p>
            <w:pPr>
              <w:jc w:val="right"/>
              <w:ind w:right="15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r>
      <w:tr>
        <w:trPr>
          <w:trHeight w:val="27"/>
        </w:trPr>
        <w:tc>
          <w:tcPr>
            <w:tcW w:w="64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activity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(7,619)</w:t>
            </w:r>
          </w:p>
        </w:tc>
        <w:tc>
          <w:tcPr>
            <w:tcW w:w="0" w:type="dxa"/>
            <w:vAlign w:val="bottom"/>
          </w:tcPr>
          <w:p>
            <w:pPr>
              <w:spacing w:after="0"/>
              <w:rPr>
                <w:sz w:val="1"/>
                <w:szCs w:val="1"/>
                <w:color w:val="auto"/>
              </w:rPr>
            </w:pP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written-off</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written-off</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7"/>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6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4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6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86"/>
        <w:spacing w:after="0" w:line="329" w:lineRule="auto"/>
        <w:rPr>
          <w:sz w:val="20"/>
          <w:szCs w:val="20"/>
          <w:color w:val="auto"/>
        </w:rPr>
      </w:pPr>
      <w:r>
        <w:rPr>
          <w:rFonts w:ascii="Times New Roman" w:cs="Times New Roman" w:eastAsia="Times New Roman" w:hAnsi="Times New Roman"/>
          <w:sz w:val="18"/>
          <w:szCs w:val="18"/>
          <w:color w:val="auto"/>
        </w:rPr>
        <w:t>The depreciation expense was $0.8 million and $0.7 million for the three months ended March 31, 2025 and 2024, respectively, and was determined using the straight-line method over the following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0294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294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 7 years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5 years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6 years</w:t>
      </w:r>
    </w:p>
    <w:p>
      <w:pPr>
        <w:spacing w:after="0" w:line="200" w:lineRule="exact"/>
        <w:rPr>
          <w:sz w:val="20"/>
          <w:szCs w:val="20"/>
          <w:color w:val="auto"/>
        </w:rPr>
      </w:pPr>
    </w:p>
    <w:p>
      <w:pPr>
        <w:sectPr>
          <w:pgSz w:w="11900" w:h="16838" w:orient="portrait"/>
          <w:cols w:equalWidth="0" w:num="2">
            <w:col w:w="9460" w:space="720"/>
            <w:col w:w="1060"/>
          </w:cols>
          <w:pgMar w:left="320" w:top="454"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ASSETS AND LIABILITIES</w:t>
      </w:r>
    </w:p>
    <w:p>
      <w:pPr>
        <w:spacing w:after="0" w:line="135"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7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short-term nature of the Company’s cash and cash equivalents, accounts receivable and current liabilities causes each of their carrying values to approximate fair value for all periods presented. Cash equivalents classified as Level 1 instruments were $62.3 million as of March 31, 2025 and $66.5 million for December 31, 2024.</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March 31, 2025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December 31, 2024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80" w:firstLine="486"/>
        <w:spacing w:after="0" w:line="313" w:lineRule="auto"/>
        <w:rPr>
          <w:sz w:val="20"/>
          <w:szCs w:val="20"/>
          <w:color w:val="auto"/>
        </w:rPr>
      </w:pPr>
      <w:r>
        <w:rPr>
          <w:rFonts w:ascii="Times New Roman" w:cs="Times New Roman" w:eastAsia="Times New Roman" w:hAnsi="Times New Roman"/>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w:t>
            </w:r>
          </w:p>
        </w:tc>
      </w:tr>
      <w:tr>
        <w:trPr>
          <w:trHeight w:val="214"/>
        </w:trPr>
        <w:tc>
          <w:tcPr>
            <w:tcW w:w="7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2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transfer any investments between Level 1 and Level 2 of the fair value hierarchy during the three months ended March 31,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INTANGIBLES</w:t>
      </w:r>
    </w:p>
    <w:p>
      <w:pPr>
        <w:spacing w:after="0" w:line="13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Goodwill and indefinite-lived intangible assets are tested for impairment annually, or more frequently if events or changes in circumstances indicate that it is more likely than not that the assets are impaired. As of the annual measurement date of September 30, 2024, the fair market value of the Company’s stock price remains above carrying value, and no indicators of impairment are present as of March 31, 2025. In the first quarter of 2025, the Company transferred $1.2 million from in-process research and development to developed technology as the project was completed and placed into service.</w:t>
      </w:r>
    </w:p>
    <w:p>
      <w:pPr>
        <w:spacing w:after="0" w:line="88"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There were no changes to goodwill during the three months ended March 31, 2025. The following table presents the Company’s intangible asset balance by asset class as of March 31, 2025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4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38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years</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17,921</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 by asset class for the fiscal year ended December 31, 2024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80" w:type="dxa"/>
            <w:vAlign w:val="bottom"/>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3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years</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29,066</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(45,140)</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intangible asset balance (in thousands):</w:t>
      </w: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7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r>
      <w:tr>
        <w:trPr>
          <w:trHeight w:val="22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72,195</w:t>
            </w:r>
          </w:p>
        </w:tc>
      </w:tr>
      <w:tr>
        <w:trPr>
          <w:trHeight w:val="229"/>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5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(4,734)</w:t>
            </w: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auto"/>
            </w:tcBorders>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67,461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amortization expense was $4.7 million and $4.8 million for the three months ended March 31, 2025 and 2024,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future amortization expense of intangible assets is estimated to be as follows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Fiscal Year Ending December 31,</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 of fiscal 2025)</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w:t>
            </w:r>
          </w:p>
        </w:tc>
      </w:tr>
      <w:tr>
        <w:trPr>
          <w:trHeight w:val="229"/>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14,334</w:t>
            </w:r>
          </w:p>
        </w:tc>
      </w:tr>
      <w:tr>
        <w:trPr>
          <w:trHeight w:val="23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r>
      <w:tr>
        <w:trPr>
          <w:trHeight w:val="229"/>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29"/>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30"/>
        </w:trPr>
        <w:tc>
          <w:tcPr>
            <w:tcW w:w="9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23,624</w:t>
            </w:r>
          </w:p>
        </w:tc>
      </w:tr>
      <w:tr>
        <w:trPr>
          <w:trHeight w:val="248"/>
        </w:trPr>
        <w:tc>
          <w:tcPr>
            <w:tcW w:w="9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67,461</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There were no impairment charges during the three months ended March 31, 2025 or during the year ended December 31, 2024. The goodwill balance was $163.2 million as of both March 31, 2025 and December 31, 2024, with no accumulated impairment losses recorded as of either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35"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has entered into operating leases primarily for commercial buildings. As of March 31, 2025, no operating lease agreements contain economic penalties for the Company to extend the lease, and it is not reasonably certain the Company will exercise these extension options. Additionally, these operating lease agreements do not contain material residual value guarantees or material restrictive covenants. As of March 31, 2025, all leases recorded on the Company’s condensed consolidated balance sheets were operating leases.</w:t>
      </w:r>
    </w:p>
    <w:p>
      <w:pPr>
        <w:spacing w:after="0" w:line="65" w:lineRule="exact"/>
        <w:rPr>
          <w:sz w:val="20"/>
          <w:szCs w:val="20"/>
          <w:color w:val="auto"/>
        </w:rPr>
      </w:pPr>
    </w:p>
    <w:p>
      <w:pPr>
        <w:jc w:val="both"/>
        <w:ind w:firstLine="486"/>
        <w:spacing w:after="0" w:line="301" w:lineRule="auto"/>
        <w:rPr>
          <w:sz w:val="20"/>
          <w:szCs w:val="20"/>
          <w:color w:val="auto"/>
        </w:rPr>
      </w:pPr>
      <w:r>
        <w:rPr>
          <w:rFonts w:ascii="Times New Roman" w:cs="Times New Roman" w:eastAsia="Times New Roman" w:hAnsi="Times New Roman"/>
          <w:sz w:val="18"/>
          <w:szCs w:val="18"/>
          <w:color w:val="auto"/>
        </w:rPr>
        <w:t>The Company has made the accounting policy election to use certain ongoing practical expedients made available by ASC 842 to: (i) not separate lease components from non-lease components for real estate; and (ii) exclude leases with an initial term of 12 months or less (“short-term” leases) from the condensed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spacing w:after="0" w:line="6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Rent expense, including short-term lease cost, was $0.6 million and $0.8 million for the three months ended March 31, 2025 and 2024, respectively. In addition to rent payments, the Company’s leases include real estate taxes, common area maintenance, utilities, and management fees, which are not fixed. The Company accounts for these costs as variable payments and does not include such costs as a lease component. Total variable expenses were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and $0.1 million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the Company right-of-use assets and related operating lease liabilities were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33"/>
        </w:trPr>
        <w:tc>
          <w:tcPr>
            <w:tcW w:w="72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25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28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566</w:t>
            </w: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8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w:t>
            </w: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right-of-use assets obtained in exchange for new operating lease obligations</w:t>
            </w:r>
          </w:p>
        </w:tc>
        <w:tc>
          <w:tcPr>
            <w:tcW w:w="128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2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Weight-average discount rate</w:t>
            </w:r>
          </w:p>
        </w:tc>
        <w:tc>
          <w:tcPr>
            <w:tcW w:w="12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5.08 %</w:t>
            </w:r>
          </w:p>
        </w:tc>
      </w:tr>
      <w:tr>
        <w:trPr>
          <w:trHeight w:val="83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lease liabilities were as follows (in thousands):</w:t>
            </w: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
        </w:trPr>
        <w:tc>
          <w:tcPr>
            <w:tcW w:w="7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w:t>
            </w:r>
          </w:p>
        </w:tc>
        <w:tc>
          <w:tcPr>
            <w:tcW w:w="1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(remainder of fiscal 2025)</w:t>
            </w:r>
          </w:p>
        </w:tc>
        <w:tc>
          <w:tcPr>
            <w:tcW w:w="1280" w:type="dxa"/>
            <w:vAlign w:val="bottom"/>
          </w:tcPr>
          <w:p>
            <w:pPr>
              <w:spacing w:after="0"/>
              <w:rPr>
                <w:sz w:val="21"/>
                <w:szCs w:val="21"/>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8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1"/>
                <w:szCs w:val="21"/>
                <w:color w:val="auto"/>
              </w:rPr>
            </w:pP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8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80" w:type="dxa"/>
            <w:vAlign w:val="bottom"/>
          </w:tcPr>
          <w:p>
            <w:pPr>
              <w:spacing w:after="0"/>
              <w:rPr>
                <w:sz w:val="21"/>
                <w:szCs w:val="21"/>
                <w:color w:val="auto"/>
              </w:rPr>
            </w:pP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r>
      <w:tr>
        <w:trPr>
          <w:trHeight w:val="237"/>
        </w:trPr>
        <w:tc>
          <w:tcPr>
            <w:tcW w:w="7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1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Pr>
          <w:p>
            <w:pPr>
              <w:spacing w:after="0"/>
              <w:rPr>
                <w:sz w:val="23"/>
                <w:szCs w:val="23"/>
                <w:color w:val="auto"/>
              </w:rPr>
            </w:pP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80" w:type="dxa"/>
            <w:vAlign w:val="bottom"/>
          </w:tcPr>
          <w:p>
            <w:pPr>
              <w:spacing w:after="0"/>
              <w:rPr>
                <w:sz w:val="19"/>
                <w:szCs w:val="19"/>
                <w:color w:val="auto"/>
              </w:rPr>
            </w:pPr>
          </w:p>
        </w:tc>
      </w:tr>
      <w:tr>
        <w:trPr>
          <w:trHeight w:val="21"/>
        </w:trPr>
        <w:tc>
          <w:tcPr>
            <w:tcW w:w="7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Navitas Semiconductor Limited 2020 Equity Incentive Plan, initially adopted by the Company’s board of directors on August 5, 2020 as an amendment and restatement of the 2013 Equity Incentive Plan (“2013 Plan”), was amended and restated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8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Under the terms of the 2020 Plan, the Company is authorized to issue 18,899,285 shares of Class A common stock pursuant to awards under the 2020 Plan. As of October 19, 2021, the Company had issued an aggregate of 11,276,706 stock options and non-statutory options to its employees and consultants and 4,525,344 RSUs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Navitas Semiconductor Corporation 2021 Equity Incentive Plan (the “2021 Plan”) was adopted by the Company’s board of directors on August 17, 2021 and adopted and approved by the Company’s stockholders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 As of March 31, 2025 the Company has issued 6,500,000 non-statutory stock options under the 2021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3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recognizes the fair value of stock-based compensation in its financial statements over the requisite service period of the individual grants, which generally equals a four-year vesting period, except for Long-Term Incentive Plan Stock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2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recognized for the three months ended March 31, 2025 and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8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13,548</w:t>
            </w:r>
          </w:p>
        </w:tc>
      </w:tr>
      <w:tr>
        <w:trPr>
          <w:trHeight w:val="20"/>
        </w:trPr>
        <w:tc>
          <w:tcPr>
            <w:tcW w:w="7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33"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Generally, stock options granted under the Plans have terms of ten years and vest 1/4th on the anniversary of the vesting commencement date and 1/48th monthly thereafter. Stock options with performance vesting conditions begin to vest upon achievement of the performance condition. Expense is recognized beginning in the period in which performance is considered probable. The fair value of incentive stock options and non-statutory stock options issued was estimated using the Black-Scholes model.</w:t>
      </w:r>
    </w:p>
    <w:p>
      <w:pPr>
        <w:spacing w:after="0" w:line="52" w:lineRule="exact"/>
        <w:rPr>
          <w:sz w:val="20"/>
          <w:szCs w:val="20"/>
          <w:color w:val="auto"/>
        </w:rPr>
      </w:pPr>
    </w:p>
    <w:p>
      <w:pPr>
        <w:jc w:val="both"/>
        <w:ind w:right="20" w:firstLine="486"/>
        <w:spacing w:after="0" w:line="275" w:lineRule="auto"/>
        <w:rPr>
          <w:sz w:val="20"/>
          <w:szCs w:val="20"/>
          <w:color w:val="auto"/>
        </w:rPr>
      </w:pPr>
      <w:r>
        <w:rPr>
          <w:rFonts w:ascii="Times New Roman" w:cs="Times New Roman" w:eastAsia="Times New Roman" w:hAnsi="Times New Roman"/>
          <w:sz w:val="18"/>
          <w:szCs w:val="18"/>
          <w:color w:val="auto"/>
        </w:rPr>
        <w:t>A summary of stock options outstanding, excluding LTIP Options as of March 31, 2025, and activity during the three months then ended, is presented below:</w:t>
      </w: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2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2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620" w:type="dxa"/>
            <w:vAlign w:val="bottom"/>
            <w:vMerge w:val="restart"/>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6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0" w:type="dxa"/>
            <w:vAlign w:val="bottom"/>
          </w:tcPr>
          <w:p>
            <w:pPr>
              <w:spacing w:after="0"/>
              <w:rPr>
                <w:sz w:val="1"/>
                <w:szCs w:val="1"/>
                <w:color w:val="auto"/>
              </w:rPr>
            </w:pPr>
          </w:p>
        </w:tc>
      </w:tr>
      <w:tr>
        <w:trPr>
          <w:trHeight w:val="214"/>
        </w:trPr>
        <w:tc>
          <w:tcPr>
            <w:tcW w:w="4600" w:type="dxa"/>
            <w:vAlign w:val="bottom"/>
            <w:vMerge w:val="continue"/>
          </w:tcPr>
          <w:p>
            <w:pPr>
              <w:spacing w:after="0"/>
              <w:rPr>
                <w:sz w:val="18"/>
                <w:szCs w:val="18"/>
                <w:color w:val="auto"/>
              </w:rPr>
            </w:pPr>
          </w:p>
        </w:tc>
        <w:tc>
          <w:tcPr>
            <w:tcW w:w="16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52"/>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2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top w:val="single" w:sz="8" w:color="CCEEFF"/>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w w:val="97"/>
              </w:rPr>
              <w:t>4.7</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6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08"/>
        </w:trPr>
        <w:tc>
          <w:tcPr>
            <w:tcW w:w="4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2025</w:t>
            </w:r>
          </w:p>
        </w:tc>
        <w:tc>
          <w:tcPr>
            <w:tcW w:w="1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top w:val="single" w:sz="8" w:color="CCEEFF"/>
            </w:tcBorders>
          </w:tcPr>
          <w:p>
            <w:pPr>
              <w:spacing w:after="0"/>
              <w:rPr>
                <w:sz w:val="18"/>
                <w:szCs w:val="18"/>
                <w:color w:val="auto"/>
              </w:rPr>
            </w:pPr>
          </w:p>
        </w:tc>
        <w:tc>
          <w:tcPr>
            <w:tcW w:w="220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$0.0 million and $0.1 million of stock-based compensation expense for the vesting of outstanding stock options, excluding $0.3 million and $1.9 million, respectively, related to the LTIP Options described below. At March 31, 2025, all compensation cost was recognized.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Plan Stock Options</w:t>
      </w:r>
    </w:p>
    <w:p>
      <w:pPr>
        <w:spacing w:after="0" w:line="133"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The Company awarded a total of 6,500,000 LTIP Options (“2021 LTIP Options”) to certain members of senior management on December 29, 2021 pursuant to the 2021 Plan. These non-statutory options are intended to be the only equity incentive awards for the recipients over the duration of the performance period. The options vest in increments subject to achieving certain market and performance conditions, including ten share price hurdles ranging from $15 to $60 per share, coupled with revenue and EBITDA targets, measured over a seven-year performance period and expire on the tenth anniversary of the grant date. The options have an exercise price of $15.51 per share and the average fair value on the grant date was $9.14 based on the Black-Scholes model and a Monte Carlo simulation incorporating 500,000 scenarios. The weighted average contractual period remaining is 6.8 years. The Company utilized the services of a professional valuation firm to finalize these assumptions during the fiscal year ended December 31, 2023. The valuation model utilized the following assumptions: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67.33 %</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11.77 %</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a quarterly basis, management reviews the probable achievement for each of the tranches in the 2021 LTIP Options in regards to revenue and EBITDA, which includes assumptions for forecasted revenue and EBITDA. In connection with the “2021 LTIP Options”, the Company recognized $0.3 million and $1.6 million of stock-based compensation expense for the three months ended March 31, 2025 and 2024, respectively. The unrecognized compensation expense related to probable tranches in the 2021 LTIP Options is $2.0 million as of March 31, 2025, and compensation expense will be recognized over 2.8 years. If the Company achieves all revenue and EBITDA performance metrics, the total incremental recognized expense would be $40.7 million.</w:t>
      </w:r>
    </w:p>
    <w:p>
      <w:pPr>
        <w:spacing w:after="0" w:line="7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awarded a total of 3,250,000 performance stock options (“2022 LTIP Options”) to a member of senior management on August 15, 2022 pursuant to the 2021 Plan.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$10.00 per share and the average fair value on the grant date was $2.89. The weighted average contractual period remaining is 7.3 years. The Company utilized the services of a professional valuation firm to finalize these assumptions during the fiscal year ended December 31, 2023. The valuation model utilized the following assumptions: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6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20" w:type="dxa"/>
            <w:vAlign w:val="bottom"/>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68.48 %</w:t>
            </w:r>
          </w:p>
        </w:tc>
        <w:tc>
          <w:tcPr>
            <w:tcW w:w="120" w:type="dxa"/>
            <w:vAlign w:val="bottom"/>
          </w:tcPr>
          <w:p>
            <w:pPr>
              <w:spacing w:after="0"/>
              <w:rPr>
                <w:sz w:val="19"/>
                <w:szCs w:val="19"/>
                <w:color w:val="auto"/>
              </w:rPr>
            </w:pPr>
          </w:p>
        </w:tc>
      </w:tr>
      <w:tr>
        <w:trPr>
          <w:trHeight w:val="230"/>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6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14.64 %</w:t>
            </w:r>
          </w:p>
        </w:tc>
        <w:tc>
          <w:tcPr>
            <w:tcW w:w="120" w:type="dxa"/>
            <w:vAlign w:val="bottom"/>
          </w:tcPr>
          <w:p>
            <w:pPr>
              <w:spacing w:after="0"/>
              <w:rPr>
                <w:sz w:val="19"/>
                <w:szCs w:val="19"/>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6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r>
      <w:tr>
        <w:trPr>
          <w:trHeight w:val="905"/>
        </w:trPr>
        <w:tc>
          <w:tcPr>
            <w:tcW w:w="4660" w:type="dxa"/>
            <w:vAlign w:val="bottom"/>
          </w:tcPr>
          <w:p>
            <w:pPr>
              <w:spacing w:after="0"/>
              <w:rPr>
                <w:sz w:val="24"/>
                <w:szCs w:val="24"/>
                <w:color w:val="auto"/>
              </w:rPr>
            </w:pPr>
          </w:p>
        </w:tc>
        <w:tc>
          <w:tcPr>
            <w:tcW w:w="646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6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a quarterly basis, management reviews the probable achievement for each of the tranches in the 2022 LTIP Options in regards to revenue and EBITDA, which includes assumptions for forecasted revenue and EBITDA. In relation to the 2022 LTIP Options, a member of senior management departed the Company prior to December 31, 2024, failing to meet the service requirement for the options. As a result, their options were forfeited and no expense was recognized for the three months ended March 31, 2025. The Company recognized $0.3 million of stock-based compensation expense for the three months ended March 31,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Company regularly grants RSUs to employees as a component of their compensation. A summary of RSUs outstanding as of March 31, 2025, and activity during the three months then ended, is presented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 Awards</w:t>
            </w:r>
          </w:p>
        </w:tc>
        <w:tc>
          <w:tcPr>
            <w:tcW w:w="23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w:t>
            </w:r>
          </w:p>
        </w:tc>
        <w:tc>
          <w:tcPr>
            <w:tcW w:w="0" w:type="dxa"/>
            <w:vAlign w:val="bottom"/>
          </w:tcPr>
          <w:p>
            <w:pPr>
              <w:spacing w:after="0"/>
              <w:rPr>
                <w:sz w:val="1"/>
                <w:szCs w:val="1"/>
                <w:color w:val="auto"/>
              </w:rPr>
            </w:pPr>
          </w:p>
        </w:tc>
      </w:tr>
      <w:tr>
        <w:trPr>
          <w:trHeight w:val="214"/>
        </w:trPr>
        <w:tc>
          <w:tcPr>
            <w:tcW w:w="4780" w:type="dxa"/>
            <w:vAlign w:val="bottom"/>
            <w:tcBorders>
              <w:bottom w:val="single" w:sz="8" w:color="CCEEFF"/>
            </w:tcBorders>
            <w:vMerge w:val="continue"/>
          </w:tcPr>
          <w:p>
            <w:pPr>
              <w:spacing w:after="0"/>
              <w:rPr>
                <w:sz w:val="18"/>
                <w:szCs w:val="18"/>
                <w:color w:val="auto"/>
              </w:rPr>
            </w:pPr>
          </w:p>
        </w:tc>
        <w:tc>
          <w:tcPr>
            <w:tcW w:w="236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ind w:right="1173"/>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5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70"/>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2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20" w:firstLine="486"/>
        <w:spacing w:after="0" w:line="305"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$6.6 million and $8.2 million of stock-based compensation expense for the vesting of RSUs, respectively. As of March 31, 2025, unrecognized compensation cost related to unvested RSU awards totaled $34.9 million. The weighted-average period over which this remaining compensation cost is expected be recognized is 1.9 years.</w:t>
      </w:r>
    </w:p>
    <w:p>
      <w:pPr>
        <w:spacing w:after="0" w:line="7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implemented a yearly stock-based bonus plan in 2021 and plans to settle accrued bonus liabilities of related to fiscal year 2025 (included in “Accrued compensation expenses” on the Condensed Consolidated Balance Sheets), by issuing a variable number of fully-vested restricted stock units to its employees in 2025. The Company did not accrue a stock-based bonus as of March 31, 2025 due to the Company’s 2025 annual bonus plan has not yet being approved by the board of directors. As a result, there were no related bonus liabilities and stock-based compensation expense recorded for this period. As of March 31, 2025, approximately $0.6 million remains from the Company’s 2024 annual bonus accrual, which is expected to be settled in the second quarter of 2025 through the issuance of approximately 289,119 shares based on the Company's closing stock price as of March 31,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Stock Purchase Plan</w:t>
      </w:r>
    </w:p>
    <w:p>
      <w:pPr>
        <w:spacing w:after="0" w:line="14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August 2022, the Company’s board of directors adopted the Company’s 2022 Employee Stock Purchase Plan (the “2022 ESPP”), subject to stockholder approval. The 2022 ESPP was approved by stockholders at the Company’s annual stockholders’ meeting held November 10, 2022. The Company authorized the issuance of 3,000,000 shares of common stock under the 2022 ESPP.</w:t>
      </w:r>
    </w:p>
    <w:p>
      <w:pPr>
        <w:spacing w:after="0" w:line="75"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Under the 2022 ESPP, eligible employees are granted the right to purchase shares of common stock at the lower of 85% of the fair value at the time of offering or 85% of the fair value at the time of purchase, generally over a six-month period. For the three months ended March 31, 2025 and 2024,</w:t>
      </w:r>
    </w:p>
    <w:p>
      <w:pPr>
        <w:jc w:val="both"/>
        <w:spacing w:after="0" w:line="301" w:lineRule="auto"/>
        <w:rPr>
          <w:sz w:val="20"/>
          <w:szCs w:val="20"/>
          <w:color w:val="auto"/>
        </w:rPr>
      </w:pPr>
      <w:r>
        <w:rPr>
          <w:rFonts w:ascii="Times New Roman" w:cs="Times New Roman" w:eastAsia="Times New Roman" w:hAnsi="Times New Roman"/>
          <w:sz w:val="18"/>
          <w:szCs w:val="18"/>
          <w:color w:val="auto"/>
        </w:rPr>
        <w:t>employees who elected to participate in the ESPP purchased 400,431 and 393,139 shares of common stock under the 2022 ESPP, resulting in cash proceeds to the Company of $0.8 million and $1.8 million, respectively. The purchase price was $2.07 and $4.55, which was 15% of the fair market value in March 2025 and March 2024, respectively. As of March 31, 2025, the Company had 1,540,141 remaining authorized shares available for purchase. During the three months ended March 31, 2025 and 2024, the Company recognized $0.3 million and $0.8 million of stock-based compensation expense for the 2022 ESPP, respectively. of stock-based compensation expense for the 2022 ESPP,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 Awards</w:t>
      </w:r>
    </w:p>
    <w:p>
      <w:pPr>
        <w:spacing w:after="0" w:line="133"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On June 10, 2022, the Company’s wholly owned subsidiary, Navitas Semiconductor Limited, acquired all of the stock of VDDTECH srl, a private Belgian company (“VDDTech”) for approximately $1.9 million in cash and stock. Among shares issued in the transaction, the Company issued approximately 113,000 restricted shares that are subject to 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 During the three months ended March 31, 2025, the Company recorded a $0.1 million credit to stock-based compensation expense related to the reversal of previously recognized expense for awards with performance conditions that were not achieved. During the three months ended March 31, 2024, the Company recognized $0.1 million of stock-based compensation expense related to the vesting of these shares.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Unvested Earnout Shares</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A portion of the earnout shares may be issued to individuals with unvested equity awards. While the payout of these shares requires achievement of share price targets based on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The Company recognized $0.0 million of stock-based compensation expense related to forfeitures during three months ended March 31, 2025 and none during the three months ended March 31, 2024. As of March 31, 2025, there was no remaining compensation cost related to unvested earnout shares, except for forfeitures. Refer to Note 10 - “Earnout Liability”.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EARNOUT LIABILITY</w:t>
      </w:r>
    </w:p>
    <w:p>
      <w:pPr>
        <w:spacing w:after="0" w:line="13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Certain of the Company’s stockholders are entitled to receive up to an aggregate of 10,000,000 “earnout shares” of the Company’s Class A common stock if earnout milestones are met. The earnout milestones represent three independent criteria, each of which entitles the eligible stockholders to 3,333,333 aggregate earn-out shares if the milestone is met.</w:t>
      </w:r>
    </w:p>
    <w:p>
      <w:pPr>
        <w:spacing w:after="0" w:line="61"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earnout liability is remeasured at the end of each reporting period. The change in fair value of the earnout liability is recorded as part of other income (expense), net in the condensed consolidated statements of operations.</w:t>
      </w:r>
    </w:p>
    <w:p>
      <w:pPr>
        <w:spacing w:after="0" w:line="4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r>
      <w:tr>
        <w:trPr>
          <w:trHeight w:val="27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volatility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As of March 31, 2025 and December 31, 2024, the earnout liability had a fair value of $2.1 million and $10.2 million, respectively, which resulted in a gain in the fair value of the earnout liability of $8.1 million for the three months ended March 31, 2025. As of March 31, 2024, the earnout liability had a fair value of $20.7 million, which resulted in a gain in the fair value of the earnout liability of $26.2 million for the three months ended March 31, 2024 due to the fluctuations in the fair value of the earnout liability.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SIGNIFICANT CUSTOMERS AND CREDIT CONCENTRATIONS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60"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A 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net revenues for the three months ended March 31, 2025 and 2024:</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60" w:type="dxa"/>
            <w:vAlign w:val="bottom"/>
          </w:tcPr>
          <w:p>
            <w:pPr>
              <w:spacing w:after="0"/>
              <w:rPr>
                <w:sz w:val="18"/>
                <w:szCs w:val="18"/>
                <w:color w:val="auto"/>
              </w:rPr>
            </w:pPr>
          </w:p>
        </w:tc>
        <w:tc>
          <w:tcPr>
            <w:tcW w:w="4660" w:type="dxa"/>
            <w:vAlign w:val="bottom"/>
            <w:tcBorders>
              <w:bottom w:val="single" w:sz="8" w:color="auto"/>
            </w:tcBorders>
            <w:gridSpan w:val="3"/>
          </w:tcPr>
          <w:p>
            <w:pPr>
              <w:jc w:val="right"/>
              <w:ind w:right="11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228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bl>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*Total customer net revenues were less than 10% of total net revenues.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for the three months ended March 31, 2025 and 2024 were attributable to the following regions: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240" w:type="dxa"/>
            <w:vAlign w:val="bottom"/>
          </w:tcPr>
          <w:p>
            <w:pPr>
              <w:spacing w:after="0"/>
              <w:rPr>
                <w:sz w:val="18"/>
                <w:szCs w:val="18"/>
                <w:color w:val="auto"/>
              </w:rPr>
            </w:pPr>
          </w:p>
        </w:tc>
        <w:tc>
          <w:tcPr>
            <w:tcW w:w="3940" w:type="dxa"/>
            <w:vAlign w:val="bottom"/>
            <w:tcBorders>
              <w:bottom w:val="single" w:sz="8" w:color="auto"/>
            </w:tcBorders>
            <w:gridSpan w:val="3"/>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Region</w:t>
            </w:r>
          </w:p>
        </w:tc>
        <w:tc>
          <w:tcPr>
            <w:tcW w:w="1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1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1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380" w:firstLine="486"/>
        <w:spacing w:after="0" w:line="415" w:lineRule="auto"/>
        <w:rPr>
          <w:sz w:val="20"/>
          <w:szCs w:val="20"/>
          <w:color w:val="auto"/>
        </w:rPr>
      </w:pPr>
      <w:r>
        <w:rPr>
          <w:rFonts w:ascii="Times New Roman" w:cs="Times New Roman" w:eastAsia="Times New Roman" w:hAnsi="Times New Roman"/>
          <w:sz w:val="18"/>
          <w:szCs w:val="18"/>
          <w:i w:val="1"/>
          <w:iCs w:val="1"/>
          <w:color w:val="auto"/>
        </w:rPr>
        <w:t>*Impractical to disclose the revenue percentages by individual countries within Europe and therefore Europe is presented in total. Concentration of Credit Risk</w:t>
      </w:r>
    </w:p>
    <w:p>
      <w:pPr>
        <w:spacing w:after="0" w:line="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accounts receivable.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224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1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*Customer accounts receivable represented less than 10% of total accounts receivable.</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Supplier Risk</w:t>
      </w:r>
    </w:p>
    <w:p>
      <w:pPr>
        <w:spacing w:after="0" w:line="16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Company currently relies on a single foundry to produce wafers for GaN ICs and a separate single foundry to produce wafers for SiC MOSFETs. Loss of the relationship with either of these suppliers could have a substantial negative effect on the Company. Additionally, the Company relies on a limited number of third-party subcontractors and suppliers for testing, packaging and certain other tasks. Disruption or termination of supply sources or subcontractors, including due to pandemics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supplies wafers for GaN ICs, are located in Taiwan. A significant amount of the Company’s assembly and test operations are conducted by third-party contractors in Taiwan and the Philippines.</w:t>
      </w:r>
    </w:p>
    <w:p>
      <w:pPr>
        <w:spacing w:after="0" w:line="84"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previously entered into an agreement to purchase raw materials from a supplier from September 29, 2022, through December 31, 2025, and made a $2.0 million deposit to be received as invoice credits toward future purchases. While the Company was not obligated to purchase from this supplier, failure to meet the minimum purchase requirements could result in forfeiture of all or a portion of the deposit. As of December 31, 2024, the Company determined that it would not meet the minimum purchase requirements and, accordingly, wrote off the $2.0 million deposit as a research and development expense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35"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Basic income (loss) per share is calculated by dividing net income (loss) by the weighted-average shares of common stock outstanding during the period using the two-class method because the Company’s sponsor earnout shares are a participating security since these shares contain a non-forfeitable right to receive dividends. Under the two-class method, earnings are allocated to each class of common stock and participating security as if all of the earnings for the period had been distributed. As the Company incurred net losses during three months ended March 31, 2025 and 2024 and these securities are not contractually required to fund the Company’s losses, there is no allocation to the participating securities in the years presented.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The Company has no plans to declare dividends.</w:t>
      </w:r>
    </w:p>
    <w:p>
      <w:pPr>
        <w:spacing w:after="0" w:line="116"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30480</wp:posOffset>
            </wp:positionV>
            <wp:extent cx="2837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60" w:type="dxa"/>
            <w:vAlign w:val="bottom"/>
            <w:gridSpan w:val="2"/>
          </w:tcPr>
          <w:p>
            <w:pPr>
              <w:ind w:left="77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basic common stock</w:t>
            </w:r>
          </w:p>
        </w:tc>
        <w:tc>
          <w:tcPr>
            <w:tcW w:w="13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187,784</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179,779</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and other dilutive awards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9"/>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diluted common stock</w:t>
            </w:r>
          </w:p>
        </w:tc>
        <w:tc>
          <w:tcPr>
            <w:tcW w:w="1380" w:type="dxa"/>
            <w:vAlign w:val="bottom"/>
            <w:tcBorders>
              <w:top w:val="single" w:sz="8" w:color="auto"/>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179,779</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6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excluded from diluted weighted-average shares: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r>
      <w:tr>
        <w:trPr>
          <w:trHeight w:val="243"/>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Dilutive shares excluded ¹</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r>
      <w:tr>
        <w:trPr>
          <w:trHeight w:val="27"/>
        </w:trPr>
        <w:tc>
          <w:tcPr>
            <w:tcW w:w="6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89"/>
        </w:trPr>
        <w:tc>
          <w:tcPr>
            <w:tcW w:w="6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excluded from diluted weighted average shares</w:t>
            </w:r>
          </w:p>
        </w:tc>
        <w:tc>
          <w:tcPr>
            <w:tcW w:w="13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hanging="8"/>
        <w:spacing w:after="0" w:line="302" w:lineRule="auto"/>
        <w:tabs>
          <w:tab w:leader="none" w:pos="42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potentially dilutive securities, which include unexercised stock options, unvested restricted stock units, ESPP shares have been excluded from the computation of diluted net loss per share as the effect would be to reduce the net loss per share for the three months ended March 31, 2025 and 2024.</w:t>
      </w:r>
    </w:p>
    <w:p>
      <w:pPr>
        <w:spacing w:after="0" w:line="207"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As of March 31, 2025 and 2024 the Company excluded 0.0 million and 0.1 million restricted stock awards from the diluted weighted average share count as their performance conditions have not been achieved. As of March 31, 2025 and 2024 the Company excluded 10.0 million Earnout shares from the diluted weighted average share count as their performance and/or market conditions have not been achieved. As of March 31, 2025 and 2024, 6.5 million and 9.8 million LTIP options have been excluded from the diluted weighted average share count, respectively, as their performance and/or market conditions have not been achieved.</w:t>
      </w:r>
    </w:p>
    <w:p>
      <w:pPr>
        <w:spacing w:after="0" w:line="69"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As of March 31, 2025, the Company excluded 1.3 million of outstanding Class A common stock from basic and diluted weighted average share count as shares are subject to forfeiture based on market conditions that have not been achieved. These shares relate to certain shares of Class A common stock held by the Company’s SPAC sponsor that as part of the business combination were placed under market conditions requirements that if not met, would result in forfeiture. These requirements are consistent with the Earnout Milestones noted in Note 10 - “Earnout Liability” with each milestone tied to 421,000 shares. Each Earnout Milestone is considered met if at any time between March 18, 2022 (150 days following the Business Combination) and October 19, 2026, the volume-weighted average price of the Company’s Class A common stock is greater than or equal to $12.50, $17.00 or $20.00 for any twenty trading days within any thirty trading day period, respectively. These shares are participating securities with the same voting and dividend rights as the Company’s other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PROVISION FOR INCOME TAXES</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determined the income tax provision for interim periods using an estimate of the Company’s annual effective tax rate, adjusted for discrete items arising during the quarter. The Company’s effective tax rate for the three months ended March 31, 2025 and 2024 was (0.5)% and (1.9)%, respectively. The effective tax rate for 2025 differs from the prior year primarily as a result of tax expense in foreign jurisdictions, which were not impacted by the valuation allowance.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 including the Company’s ability to accurately predict the proportion of the Company’s loss before provision for income taxes in multiple jurisdictions, the tax effects of the Company’s stock-based compensation, and the effects of its foreign entities.</w:t>
      </w:r>
    </w:p>
    <w:p>
      <w:pPr>
        <w:spacing w:after="0" w:line="7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had no unrecognized tax benefits for the three months ended March 31, 2025 and 2024. The Company recognizes interest and penalties related to unrecognized tax benefits in operating expenses. No such interest and penalties were recognized during the three months ended March 31, 2025 and 2024.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48" w:lineRule="exact"/>
        <w:rPr>
          <w:sz w:val="20"/>
          <w:szCs w:val="20"/>
          <w:color w:val="auto"/>
        </w:rPr>
      </w:pPr>
    </w:p>
    <w:p>
      <w:pPr>
        <w:jc w:val="both"/>
        <w:ind w:firstLine="486"/>
        <w:spacing w:after="0" w:line="301" w:lineRule="auto"/>
        <w:rPr>
          <w:sz w:val="20"/>
          <w:szCs w:val="20"/>
          <w:color w:val="auto"/>
        </w:rPr>
      </w:pPr>
      <w:r>
        <w:rPr>
          <w:rFonts w:ascii="Times New Roman" w:cs="Times New Roman" w:eastAsia="Times New Roman" w:hAnsi="Times New Roman"/>
          <w:sz w:val="18"/>
          <w:szCs w:val="18"/>
          <w:color w:val="auto"/>
        </w:rPr>
        <w:t>Navitas operates as a single operating segment under ASC 280 - Segment Reporting, which establishes requirements for public entities to disclose financial information about operating segments. Under ASC 280, an operating segment is defined as a component of a company that generates revenue and expenses, has discrete financial data available, and is regularly reviewed by the Chief Operating Decision Maker (CODM) to assess performance and allocate resources. The Company's CEO, Gene Sheridan, serves as the CODM, overseeing financial performance and making resource allocation decisions at a consolidated level.</w:t>
      </w:r>
    </w:p>
    <w:p>
      <w:pPr>
        <w:spacing w:after="0" w:line="6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CODM primarily evaluates consolidated net income (loss) as the measure of segment profit or loss. While product-level data is available internally, it is not used for performance evaluation or resource allocation. Additionally, the CODM reviews detailed breakdowns of significant expenses, such as selling, general, and administrative (SG&amp;A) expenses and research and development (R&amp;D) costs, which are already disclosed in the income statement. The CODM also utilizes the Company’s consolidated budget, consolidated forecast models as a key input to resource allocation and assess performance of the business, and monitors budget versus actual results on a consolidated basis. The CODM does not review any measures of financial results beyond what is presented in the accompanying statement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60"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At March 31, 2025, the Company had non-cancellable contractual agreements that were due beyond one year related to the Company’s lease obligations, see Note 8 - “Leases”.</w:t>
      </w:r>
    </w:p>
    <w:p>
      <w:pPr>
        <w:spacing w:after="0" w:line="6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December 2024, the Company entered into an agreement with a vendor for the purchase of equipment wherein the Company will make quarterly installment payments of $0.8 million during 2026. The $2.1 million present value of these payments is included within 'Noncurrent liabilities' in the Condensed Consolidated Balance Sheets, while the first payment of $0.8 million, due within one year, is recorded within “Accounts payable and other accrued expenses” as of March 31, 2025. The $2.8 million present value of payments is reflected within “Noncurrent Liabilities” at December 31, 2024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sells products to its distributors under contracts, collectively referred to as Distributor Sales Agreements (“DSAs”).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7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March 31, 2025.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and license agreement</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In March 2023, the Company entered into a Release and License Agreement (the “Agreement”) with a university. The Agreement stipulates the Company pay the university a total of $1.0 million over a period of three years, with the final payment by March 1, 2026. The agreement licenses the Company to sell certain products covered by a patent owned by the university, subject to the Company paying a royalty fee on revenues for covered products sold during the term. Based on an indemnity agreement entered into in connection with the Company’s acquisition of GeneSiC Semiconductor Inc. in August 2022, the Company expects to be indemnified by the sellers in that transaction for the royalty amounts up to approximately $1.0 million. The total amount of accrued royalty was $2.3 million and $1.8 million and is included in other accrued expenses and noncurrent liabilities as of March 31, 2025 and December 31, 2024,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Investment</w:t>
      </w:r>
    </w:p>
    <w:p>
      <w:pPr>
        <w:spacing w:after="0" w:line="16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 xml:space="preserve">During the third quarter of 2022, Navitas made a $1.5 million investment in preferred interests of an entity under common control with the Company’s partner in a joint venture. During the first quarter of 2023 the Company made an additional investment of $1.0 million in the entity. The investment was accounted for as an equity investment under </w:t>
      </w:r>
      <w:r>
        <w:rPr>
          <w:rFonts w:ascii="Times New Roman" w:cs="Times New Roman" w:eastAsia="Times New Roman" w:hAnsi="Times New Roman"/>
          <w:sz w:val="18"/>
          <w:szCs w:val="18"/>
          <w:i w:val="1"/>
          <w:iCs w:val="1"/>
          <w:color w:val="auto"/>
        </w:rPr>
        <w:t>ASC 321 Investments - Equity Securities</w:t>
      </w:r>
      <w:r>
        <w:rPr>
          <w:rFonts w:ascii="Times New Roman" w:cs="Times New Roman" w:eastAsia="Times New Roman" w:hAnsi="Times New Roman"/>
          <w:sz w:val="18"/>
          <w:szCs w:val="18"/>
          <w:color w:val="auto"/>
        </w:rPr>
        <w:t>. 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 In October 2024, the Company began accounting for this investment under the equity method in accordance with ASC 323. The Company revalued its investment to its fair value of $5.55 per share during the fourth quarter of 2024. The Company recorded its share of losses for the three months ended March 31, 2025, resulting in a net loss of $0.3 million, which was recorded in “Equity method investment loss” on the Statements of Operations. The investment was $8.6 million and $8.9 million as of March 31, 2025 and December 31, 2024, respectively, and is included in Other Assets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Leases</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leases certain property from the family member of a senior executive of the Company, which expired in March 2024, and was a month-to-month lease through December 2024, and then was terminated. During the three months ended March 31, 2024, the Company paid an immaterial amount in rental payments. These payments were made at standard market rates in the ordinary course of business. There was no rent obligation as of March 31, 2025.</w:t>
      </w:r>
    </w:p>
    <w:p>
      <w:pPr>
        <w:spacing w:after="0" w:line="8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leases certain property from an entity that it is owned by an executive of the Company, which expired in September 2023, and was on a month-to-month lease through May 2024, and then was terminated. During the three months ended March 31, 2024, the Company paid an immaterial amount in rental payments in relation to this lease. These payments were made at standard market rates in the ordinary course of business. There was no rent obligation as of March 31, 2025.</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October 15, 2024, the Company announced a cost-reduction plan (“2024 Restructuring Plan”) to streamline the organization with increased focus on artificial intelligence data center, EV and mobile applications, accelerating the Company’s path to profitability. The 2024 Restructuring Plan includes a reduction in headcount with the majority of the costs consisting of employee severance and benefits. The Company incurred $1.2 million in the fourth quarter of 2024 related to this plan. An immaterial amount of restructuring-related liabilities under the 2024 Restructuring Plan remain and is reported under 'Accounts payable and other accrued expenses' on the Company’s Condensed Consolidated Balance Sheets.</w:t>
      </w:r>
    </w:p>
    <w:p>
      <w:pPr>
        <w:spacing w:after="0" w:line="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January 20, 2025, the Company announced an additional cost-reduction plan (“2025 Restructuring Plan”) aimed at further streamlining operations and enhancing its focus on artificial intelligence data centers, EV, and mobile applications. The plan included a 19% reduction in workforce, with most associated costs related to severance and stock-based compensation. During the three months ended March 31, 2025, the Company incurred $1.5 million in restructuring costs related to this plan. The Company does not expect to incur additional material costs related to the 2025 Restructuring Plan beyond the first quarter of 2025. As of March 31, 2025, restructuring-related liabilities under the 2025 Restructuring Plan of $0.2 million remain and are reported under 'Accounts payable and other accrued expenses' on the Company’s Condensed Consolidated Balance Sheets.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balance sheet activity related to the combined 2024 and 2025 Restructuring Plans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0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Amounts accrued as of</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 accrued as of March</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0" w:type="dxa"/>
            <w:vAlign w:val="bottom"/>
          </w:tcPr>
          <w:p>
            <w:pPr>
              <w:spacing w:after="0"/>
              <w:rPr>
                <w:sz w:val="1"/>
                <w:szCs w:val="1"/>
                <w:color w:val="auto"/>
              </w:rPr>
            </w:pPr>
          </w:p>
        </w:tc>
      </w:tr>
      <w:tr>
        <w:trPr>
          <w:trHeight w:val="22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Benefits</w:t>
            </w:r>
          </w:p>
        </w:tc>
        <w:tc>
          <w:tcPr>
            <w:tcW w:w="1560" w:type="dxa"/>
            <w:vAlign w:val="bottom"/>
            <w:tcBorders>
              <w:top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35"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Company evaluated material subsequent events from the condensed consolidated balance sheet date of March 31, 2025, through May 9, 2025, the date the condensed consolidated financial statements were issued. There were no material subsequent events as of May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ind w:firstLine="486"/>
        <w:spacing w:after="0" w:line="315"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64" w:lineRule="exact"/>
        <w:rPr>
          <w:sz w:val="20"/>
          <w:szCs w:val="20"/>
          <w:color w:val="auto"/>
        </w:rPr>
      </w:pPr>
    </w:p>
    <w:p>
      <w:pPr>
        <w:jc w:val="both"/>
        <w:ind w:firstLine="486"/>
        <w:spacing w:after="0" w:line="29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appearing elsewhere in this quarterly report on Form 10-Q. This discussion contains forward-looking statements that reflect our plans, estimates, and beliefs that involve risks and uncertainties. As a result of many factors, such as those set forth under the “Summary of Risk Factors” and “Cautionary Statement About Forward-Looking Statements” sections and elsewhere in this quarterly report, our actual results may differ materially from those anticipated in these forward-looking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Navitas Semiconductor Corporation, a Delaware holding company, operates through its wholly owned subsidiaries, including Navitas Semiconductor Limited and GeneSiC Semiconductor LLC (“GeneSiC”). Originally founded in 2014 as the Legacy Navitas Semiconductor business (“Legacy Navitas”), we were previously an SEC registrant named Live Oak Acquisition Corp. II (“Live Oak”). On October 19, 2021, we completed a business combination (which we refer to as the “Business Combination”) in which, among other transactions, Live Oak acquired Navitas Semiconductor Limited and its subsidiaries, and changed our name to Navitas Semiconductor Corporation. We acquired GeneSiC Semiconductor in August 2022. Further details about the Business Combination and the acquisition of GeneSiC Semiconductor can be found in our SEC filings.</w:t>
      </w:r>
    </w:p>
    <w:p>
      <w:pPr>
        <w:spacing w:after="0" w:line="8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Founded in 2014, Navitas is a U.S.-based developer of gallium nitride power integrated circuits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Belgium, China, Taiwan, Thailand, South Korea, and the Philippines, with principal executive offices in Torrance, California.</w:t>
      </w:r>
    </w:p>
    <w:p>
      <w:pPr>
        <w:spacing w:after="0" w:line="7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w:t>
      </w:r>
    </w:p>
    <w:p>
      <w:pPr>
        <w:spacing w:after="0" w:line="69"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In support of our technology leadership, we have formed relationships with numerous Tier 1 manufacturers and suppliers over the past eight years, gaining significant traction in mobile and consumer charging applications. Navitas GaN is now in mass production with 10 of the top 10 world-wide mobile OEMs across smartphone and laptops in development with 10 out of 10. In addition, our supply chain partners have committed manufacturing capacity in excess of what we consider to be necessary to support our continued growth and expansion.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A core strength of our business lies in our industry leading IP position. In addition to our comprehensive patent portfolio, our biggest proprietary advantage is our process design kit (PDK), the ‘how-to’ guide for Navitas designers to create new GaN based devices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the three months ended March 31, 2025 and 2024, we spent approximately 90% and 87%, respectively, of our revenue on research and development. Navitas’ research and development activities are located primarily in the US and China.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of At-The-Market Agreement</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March 19, 2025, the Company entered into an At-The-Market Offering Agreement (the "ATM Agreement") with Jefferies LLC ("Jefferies") for the sale of shares of its Class A common stock, par value $0.0001 per share. Under the terms of the ATM Agreement, the Company may offer and sell shares of its Class A common stock having an aggregate offering price of up to $50,000,000 from time to time through Jefferies, acting as the sales agent. As of March 31, 2025, the Company has not sold any shares under the ATM agreement. In connection with establishing the ATM program, the Company incurred offering-related costs of approximately $0.3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3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design, develop and manufacture GaN ICs, SiC MOSFETs and Schottky MPS diodes that deliver best-in-class performance, ruggedness and quality. Our revenue represents the sale of semiconductors through specialized distributors to original equipment manufacturers (“OEMs”), their suppliers and other end customers.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fluctuate in response to a combination of factors, including the following:</w:t>
      </w:r>
    </w:p>
    <w:p>
      <w:pPr>
        <w:spacing w:after="0" w:line="158" w:lineRule="exact"/>
        <w:rPr>
          <w:sz w:val="20"/>
          <w:szCs w:val="20"/>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product mix and sales volumes;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market share and design win traction;</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at which technology is adopted in our end markets;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stage of our products in their respective life cycles;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competitive pricing strategies;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specialized field application engineering resources supporting demand creation and end customer adoption of new products;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acceptable yields and obtaining adequate production capacity from our wafer foundries and assembly and test subcontractors;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end customers’ products; governmental regulations influencing our markets; and</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regional economic cycles.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average selling prices due product advances and market competition;</w:t>
      </w:r>
    </w:p>
    <w:p>
      <w:pPr>
        <w:spacing w:after="0" w:line="157" w:lineRule="exact"/>
        <w:rPr>
          <w:rFonts w:ascii="Times New Roman" w:cs="Times New Roman" w:eastAsia="Times New Roman" w:hAnsi="Times New Roman"/>
          <w:sz w:val="18"/>
          <w:szCs w:val="18"/>
          <w:color w:val="auto"/>
        </w:rPr>
      </w:pPr>
    </w:p>
    <w:p>
      <w:pPr>
        <w:ind w:left="500" w:right="20" w:hanging="330"/>
        <w:spacing w:after="0" w:line="313"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and distributor relationships including the impact of the Q4 2024 disengagement with a significant distributor and the ability to replace the associated volumes with a combination existing and new distributors;</w:t>
      </w:r>
    </w:p>
    <w:p>
      <w:pPr>
        <w:spacing w:after="0" w:line="6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demand patterns particularly in mobile and consumer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8"/>
          <w:szCs w:val="18"/>
          <w:color w:val="auto"/>
        </w:rPr>
        <w:t>Our product revenue is recognized when the customer obtains control of the product and the timing of recognition is based on the contractual shipping terms of a contract. We provide a non-conformity warranty which is not sold separately and does not represent a separate performance obligation. Our product revenue is diversified across the United States, Europe, and Asia. We consider the domicile of our end customers, rather than the distributors we sell to directly to be the basis of attributing revenues from external customers to individual countries. Revenue for the three months ended March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 excluding channel inventories, were attributable to end customers in the following countries: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40" w:type="dxa"/>
            <w:vAlign w:val="bottom"/>
            <w:tcBorders>
              <w:bottom w:val="single" w:sz="8" w:color="auto"/>
            </w:tcBorders>
            <w:gridSpan w:val="3"/>
          </w:tcPr>
          <w:p>
            <w:pPr>
              <w:jc w:val="right"/>
              <w:ind w:right="97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2120" w:type="dxa"/>
            <w:vAlign w:val="bottom"/>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120" w:type="dxa"/>
            <w:vAlign w:val="bottom"/>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excluding China</w:t>
            </w:r>
          </w:p>
        </w:tc>
        <w:tc>
          <w:tcPr>
            <w:tcW w:w="2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6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40" w:firstLine="648"/>
        <w:spacing w:after="0" w:line="400" w:lineRule="auto"/>
        <w:rPr>
          <w:sz w:val="20"/>
          <w:szCs w:val="20"/>
          <w:color w:val="auto"/>
        </w:rPr>
      </w:pPr>
      <w:r>
        <w:rPr>
          <w:rFonts w:ascii="Times New Roman" w:cs="Times New Roman" w:eastAsia="Times New Roman" w:hAnsi="Times New Roman"/>
          <w:sz w:val="18"/>
          <w:szCs w:val="18"/>
          <w:i w:val="1"/>
          <w:iCs w:val="1"/>
          <w:color w:val="auto"/>
        </w:rPr>
        <w:t xml:space="preserve">*Impractical to disclose revenue percentages by individual countries within Europe and therefore is presented in total. </w:t>
      </w:r>
      <w:r>
        <w:rPr>
          <w:rFonts w:ascii="Times New Roman" w:cs="Times New Roman" w:eastAsia="Times New Roman" w:hAnsi="Times New Roman"/>
          <w:sz w:val="18"/>
          <w:szCs w:val="18"/>
          <w:b w:val="1"/>
          <w:bCs w:val="1"/>
          <w:i w:val="1"/>
          <w:iCs w:val="1"/>
          <w:u w:val="single" w:color="auto"/>
          <w:color w:val="auto"/>
        </w:rPr>
        <w:t>Cost of Revenues</w:t>
      </w:r>
    </w:p>
    <w:p>
      <w:pPr>
        <w:spacing w:after="0" w:line="1"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impairments, consumables, system and shipping costs. Cost of revenues also includes compensation related to personnel associated with manufacturing, including costs related to cash and stock-based employee compensation.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stock-based employee compensation, benefits and related costs of sustaining our engineering teams, project material costs, third-party fees paid to consultants, prototype development expenses, write-offs of material to be utilized in research and development, and other costs incurred in the product design and development process.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Selling, general and administrative costs include employee compensation, including cash and stock-based compensation and benefits for executive, finance, business operations, sales, field application engineers and other administrative personnel. In addition, it includes marketing and advertising, IT, outside legal professional fees and legal settlements, tax and accounting services, insurance, and occupancy costs and related overhead based on headcount. Selling, general and administrative costs are expensed as incurred.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Income (Expense), net</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(expense), net primarily consists of interest associated with our royalty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Dividend Income</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Dividend income consist of income earned on money market treasury funds that are recorded as cash equivalents.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62"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Legacy Navitas is a dual domesticated corporation for Ireland and U.S. federal income tax purposes. Refer to Note 13 - “Provision for Income Taxes”, in our accompanying condensed consolidated financial statements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method investment loss</w:t>
      </w:r>
    </w:p>
    <w:p>
      <w:pPr>
        <w:spacing w:after="0" w:line="135" w:lineRule="exact"/>
        <w:rPr>
          <w:sz w:val="20"/>
          <w:szCs w:val="20"/>
          <w:color w:val="auto"/>
        </w:rPr>
      </w:pPr>
    </w:p>
    <w:p>
      <w:pPr>
        <w:ind w:firstLine="486"/>
        <w:spacing w:after="0" w:line="329" w:lineRule="auto"/>
        <w:rPr>
          <w:sz w:val="20"/>
          <w:szCs w:val="20"/>
          <w:color w:val="auto"/>
        </w:rPr>
      </w:pPr>
      <w:r>
        <w:rPr>
          <w:rFonts w:ascii="Times New Roman" w:cs="Times New Roman" w:eastAsia="Times New Roman" w:hAnsi="Times New Roman"/>
          <w:sz w:val="18"/>
          <w:szCs w:val="18"/>
          <w:color w:val="auto"/>
        </w:rPr>
        <w:t>Equity method investment loss consists of our proportionate share of our joint venture’s loss, which we began recognizing in October 2024 when we started accounting for the investment under the equity method.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and discussion below present our results for the three months ended March 31, 2025 and 2024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95"/>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8"/>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23,175</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below)</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30,611</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3"/>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change in fair value of earnout liabilities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49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63"/>
        </w:trPr>
        <w:tc>
          <w:tcPr>
            <w:tcW w:w="4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7"/>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356 %</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70"/>
        </w:trPr>
        <w:tc>
          <w:tcPr>
            <w:tcW w:w="49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89"/>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410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Three Months Ended March 31, 2025 Compared to the Three Months Ended March 31, 2024 </w:t>
      </w:r>
      <w:r>
        <w:rPr>
          <w:rFonts w:ascii="Times New Roman" w:cs="Times New Roman" w:eastAsia="Times New Roman" w:hAnsi="Times New Roman"/>
          <w:sz w:val="18"/>
          <w:szCs w:val="18"/>
          <w:b w:val="1"/>
          <w:bCs w:val="1"/>
          <w:i w:val="1"/>
          <w:iCs w:val="1"/>
          <w:u w:val="single" w:color="auto"/>
          <w:color w:val="auto"/>
        </w:rPr>
        <w:t>Revenue</w:t>
      </w:r>
    </w:p>
    <w:p>
      <w:pPr>
        <w:spacing w:after="0" w:line="1" w:lineRule="exact"/>
        <w:rPr>
          <w:sz w:val="20"/>
          <w:szCs w:val="20"/>
          <w:color w:val="auto"/>
        </w:rPr>
      </w:pPr>
    </w:p>
    <w:p>
      <w:pPr>
        <w:ind w:firstLine="486"/>
        <w:spacing w:after="0" w:line="329" w:lineRule="auto"/>
        <w:rPr>
          <w:sz w:val="20"/>
          <w:szCs w:val="20"/>
          <w:color w:val="auto"/>
        </w:rPr>
      </w:pPr>
      <w:r>
        <w:rPr>
          <w:rFonts w:ascii="Times New Roman" w:cs="Times New Roman" w:eastAsia="Times New Roman" w:hAnsi="Times New Roman"/>
          <w:sz w:val="18"/>
          <w:szCs w:val="18"/>
          <w:color w:val="auto"/>
        </w:rPr>
        <w:t>Revenue for the three months ended March 31, 2025 was $14.0 million compared to $23.2 million for the three months ended March 31, 2024, a decrease of $9.2 million, or 40%. The decline in sales was due to the decline in mobile, EV, and industrial markets.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62" w:lineRule="exact"/>
        <w:rPr>
          <w:sz w:val="20"/>
          <w:szCs w:val="20"/>
          <w:color w:val="auto"/>
        </w:rPr>
      </w:pPr>
    </w:p>
    <w:p>
      <w:pPr>
        <w:ind w:firstLine="486"/>
        <w:spacing w:after="0" w:line="313" w:lineRule="auto"/>
        <w:rPr>
          <w:sz w:val="20"/>
          <w:szCs w:val="20"/>
          <w:color w:val="auto"/>
        </w:rPr>
      </w:pPr>
      <w:r>
        <w:rPr>
          <w:rFonts w:ascii="Times New Roman" w:cs="Times New Roman" w:eastAsia="Times New Roman" w:hAnsi="Times New Roman"/>
          <w:sz w:val="18"/>
          <w:szCs w:val="18"/>
          <w:color w:val="auto"/>
        </w:rPr>
        <w:t>Cost of revenues for the three months ended March 31, 2025 was $8.7 million compared to $13.7 million for the three months ended March 31, 2024, a decrease of $4.9 million or 36%. The decrease was primarily driven by a decline in sales coupled with product mix.</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March 31, 2025 of $12.7 million decreased by $7.6 million, or 37%, when compared to the three months ended March 31, 2024. This is primarily driven by a decrease in stock-based compensation of approximately $3.5 million, coupled with a decrease in headcount and employee costs as a result of the Company’s 2024 reduction in force (“2024 Restructuring Plan”) announced in Q4 of fiscal year 2024. Additionally, decline of approximately $1.9 million related to decreases in R&amp;D product development costs.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4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March 31, 2025 of $11.7 million decreased by $4.3 million, or 27%, when compared to the three months ended March 31, 2024. This was primarily driven by a decrease in stock-based compensation of approximately $3.0 million, coupled with a decrease in headcount and employee costs as a result of the Company’s 2024 reduction in force (“2024 Restructuring Plan”) announced in Q4 of fiscal year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Intangible Assets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remained fairly the same as we did not acquire new intangible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 Expenses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announced cost-reduction plans (“2024 Restructuring Plan” and “2025 Restructuring Plan”). The plans include a reduction in headcount with the majority of the costs consisting of employee severance and benefits. We incurred $1.5 million related to this plan for the three months ended March 31,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Dividend income consists of income earned on our money market treasury funds that are recorded as cash equivalents on our consolidated balance sheet. Decrease of $0.9 million is primarily due to decreases in our investment balances in March 31, 2025 compared to March 31, 2024.</w:t>
      </w:r>
    </w:p>
    <w:p>
      <w:pPr>
        <w:spacing w:after="0" w:line="40"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During the three months ended March 31, 2025, we recognized a $8.1 million gain from the change in fair value of our earn-out liabilities. The decrease in the gain of our earn-out liabilities of $18.1 million was primarily a result of the decrease of the closing price of our Class A common stock listed on the Nasdaq, resulting in the decrease in the estimated fair value of the earnout shares from $2.42 as of March 31, 2024 to $0.24 as of March 31, 2025.</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Provision</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Income tax provision for the three months ended March 31, 2025 remained relatively flat when compared to the income tax benefit of $0.1 million for the three months ended March 31, 2024. We expect our tax rate to remain close to zero in the near term due to full valuation allowances against deferred tax assets.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method investment loss</w:t>
      </w:r>
    </w:p>
    <w:p>
      <w:pPr>
        <w:spacing w:after="0" w:line="135"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In October 2024, we began applying the equity method to account for our joint venture investment. We recognized our proportionate share of the joint venture’s loss from the quarter, resulting in a net loss of $0.3 million for the quarter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Our primary use of cash is to fund our operating expenses, working capital requirements, and outlays for strategic investments and acquisitions. In addition, we use cash to conduct research and development, incur capital expenditures, and fund our debt service obligations.</w:t>
      </w:r>
    </w:p>
    <w:p>
      <w:pPr>
        <w:spacing w:after="0" w:line="4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On March 19, 2025, the Company entered into an At-The-Market Offering Agreement (the "ATM Agreement") with Jefferies LLC for the sale of up to $50,000,000 of its Class A common stock. Under the agreement, the Company may sell shares from time to time through Jefferies as the sales agent. As of March 31, 2025, the Company has not sold any shares related to the ATM Agreement.</w:t>
      </w:r>
    </w:p>
    <w:p>
      <w:pPr>
        <w:spacing w:after="0" w:line="7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6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As of March 31, 2025, we had cash and cash equivalents of $75.1 million. We currently expect to fund our cash requirements through the use of cash on hand. We believe that our current levels of cash and cash equivalents are sufficient to finance our operations, working capital requirements and capital expenditures for the foreseeable future.</w:t>
      </w:r>
    </w:p>
    <w:p>
      <w:pPr>
        <w:spacing w:after="0" w:line="7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equity or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three months ended March 31, 2025 and 2024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20" w:type="dxa"/>
            <w:vAlign w:val="bottom"/>
          </w:tcPr>
          <w:p>
            <w:pPr>
              <w:spacing w:after="0"/>
              <w:rPr>
                <w:sz w:val="19"/>
                <w:szCs w:val="19"/>
                <w:color w:val="auto"/>
              </w:rPr>
            </w:pPr>
          </w:p>
        </w:tc>
        <w:tc>
          <w:tcPr>
            <w:tcW w:w="206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 Data:</w:t>
            </w:r>
          </w:p>
        </w:tc>
        <w:tc>
          <w:tcPr>
            <w:tcW w:w="400" w:type="dxa"/>
            <w:vAlign w:val="bottom"/>
            <w:tcBorders>
              <w:top w:val="single" w:sz="8" w:color="auto"/>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(19,783)</w:t>
            </w:r>
          </w:p>
        </w:tc>
      </w:tr>
      <w:tr>
        <w:trPr>
          <w:trHeight w:val="27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bl>
    <w:p>
      <w:pPr>
        <w:spacing w:after="0" w:line="184" w:lineRule="exact"/>
        <w:rPr>
          <w:sz w:val="20"/>
          <w:szCs w:val="20"/>
          <w:color w:val="auto"/>
        </w:rPr>
      </w:pPr>
    </w:p>
    <w:p>
      <w:pPr>
        <w:ind w:right="40" w:firstLine="486"/>
        <w:spacing w:after="0" w:line="329" w:lineRule="auto"/>
        <w:rPr>
          <w:sz w:val="20"/>
          <w:szCs w:val="20"/>
          <w:color w:val="auto"/>
        </w:rPr>
      </w:pPr>
      <w:r>
        <w:rPr>
          <w:rFonts w:ascii="Times New Roman" w:cs="Times New Roman" w:eastAsia="Times New Roman" w:hAnsi="Times New Roman"/>
          <w:sz w:val="18"/>
          <w:szCs w:val="18"/>
          <w:color w:val="auto"/>
        </w:rPr>
        <w:t>We derive liquidity primarily from cash on hand and equity financing activities. As of March 31, 2025, our balance of cash and cash equivalents was $75.1 million, which is a decrease of $11.6 million or 13% compared to December 31,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operating activities was $13.5 million, which primarily reflects a net loss of $16.8 million, adjusted for a non-cash gain of $8.1 million related to changes in the fair value of our earnout liability, non-cash stock-based compensation of $7.0</w:t>
      </w:r>
    </w:p>
    <w:p>
      <w:pPr>
        <w:jc w:val="both"/>
        <w:spacing w:after="0" w:line="302" w:lineRule="auto"/>
        <w:rPr>
          <w:sz w:val="20"/>
          <w:szCs w:val="20"/>
          <w:color w:val="auto"/>
        </w:rPr>
      </w:pPr>
      <w:r>
        <w:rPr>
          <w:rFonts w:ascii="Times New Roman" w:cs="Times New Roman" w:eastAsia="Times New Roman" w:hAnsi="Times New Roman"/>
          <w:sz w:val="18"/>
          <w:szCs w:val="18"/>
          <w:color w:val="auto"/>
        </w:rPr>
        <w:t>million, amortization of intangible assets of $4.7 million, depreciation of $0.8 million and an aggregate cash used in operating assets and liabilities of $2.2 million. Specifically, operating cash flow was mainly impacted by increases in inventories of $0.6 million, increases in prepaid expenses and other current assets of $0.6 million, decreases in lease liabilities of $0.5 million, a decrease in accounts payable, accrued compensation, and other accrued expenses of $1.7 million, partially offset with decreases in accounts receivables of $1.2 million.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For the three months ended March 31, 2024, net cash used in operating activities was $19.8 million, which primarily reflects a net loss of $3.7 million offset by adjustments for non-cash stock-based compensation of $13.5 million, non-cash gains of $26.2 million in earnout liabilities, amortization of intangible assets of $4.8 million, and an aggregate cash used in operating assets and liabilities of $7.8 million. Specifically, increases in inventories of $10 million due to wafer purchases, decreases in customer deposits of $2.9 million partially offset by a $3.7 million decrease in accounts receivable and a decrease in accounts payable, accrued compensation and other expenses of $0.5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primarily attributable to minimal fixed asset purchases.</w:t>
      </w:r>
    </w:p>
    <w:p>
      <w:pPr>
        <w:spacing w:after="0" w:line="144"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of $5.4 million was primarily due to $2.5 million cash funding of a joint venture and $2.9 million for purchases of fixed assets.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of $0.9 million was primarily due to proceeds from stock option exercises of $0.1 million and proceeds from our employee stock purchase plan of $0.8 million.</w:t>
      </w:r>
    </w:p>
    <w:p>
      <w:pPr>
        <w:spacing w:after="0" w:line="40"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of $2.0 million was primarily due to proceeds from stock option exercises of $0.2 million and proceeds from our employee stock purchase plan of $1.8 million.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may require future cash payments. As of March 31, 2025, our non-cancellable contractual arrangements consisted of lease obligations and an agreement for the purchase of equipment. Refer to Note 8 - “Leases” for further information on our minimum future payments related to lease obligations. In December 2024, we entered into an agreement with a vendor for the purchase of equipment, requiring quarterly installment payments. Refer to Note 15 - “Commitments and Contingencies” for additional details on purchase obligations.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we did not have any off-balance sheet arrangements as defined in Item 303(a)(4)(ii) of Regulation 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83"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in Item 7, “Management’s Discussion and Analysis of Financial Condition and Results of Operations”, included in our 2024 annual report on Form 10-K.</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62"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Adverse changes in the global economic landscape have impacted, and may continue to affect, the demand for our products. This impact includes alterations in customer order behaviors, such as cancellations, and shifts in vendor inventory levels.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14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We face exposure to market price fluctuations of specific commodity raw materials, notably gold, which are integrated into our end products or utilized by our suppliers in production. Rising commodity prices result in increased costs passed on to us by suppliers, either through general price hikes or commodity surcharges. While our interactions with suppliers typically occur through purchase orders rather than long-term contracts, we strive to secure firm pricing aligned with planned production volumes.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Our management, with the supervision and involvement of our Principal Executive Officer and Principal Financial Officer, has evaluated the effectiveness of the design and operation of our disclosure controls and procedures (as defined in Rules 13a-15(e) and 15d-15(e) under the Exchange Act) as of the end of the period covered by this report, pursuant to Exchange Act Rule 13a-15. Based upon this evaluation, our chief executive officer and chief financial officer have concluded that, as of March 31, 2025, as a result of the material weaknesses in our internal control over financial reporting discussed below and filed in our Form 10-K for the year ended December 31, 2024 on March 19, 2025 with the SEC, our disclosure controls and procedures were not effective.</w:t>
      </w:r>
    </w:p>
    <w:p>
      <w:pPr>
        <w:spacing w:after="0" w:line="8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w:t>
      </w:r>
    </w:p>
    <w:p>
      <w:pPr>
        <w:spacing w:after="0" w:line="6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fully maintain components of the COSO framework, including elements of the control environment, risk assessment,</w:t>
      </w:r>
    </w:p>
    <w:p>
      <w:pPr>
        <w:spacing w:after="0" w:line="49" w:lineRule="exact"/>
        <w:rPr>
          <w:rFonts w:ascii="Times New Roman" w:cs="Times New Roman" w:eastAsia="Times New Roman" w:hAnsi="Times New Roman"/>
          <w:sz w:val="18"/>
          <w:szCs w:val="18"/>
          <w:color w:val="auto"/>
        </w:rPr>
      </w:pPr>
    </w:p>
    <w:p>
      <w:pPr>
        <w:jc w:val="both"/>
        <w:ind w:left="66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activities, and monitoring activities components, relating to: (i) sufficiency of processes related to identifying and analyzing risks to the achievement of objectives across the entity, (ii) sufficiency of competent personnel with appropriate levels of knowledge, experience, and training in accounting for complex and non-routine transactions, and internal control matters to perform assigned responsibilities and have appropriate</w:t>
      </w: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the design and operation of internal control over financial reporting; and (iii) ensuring control activities identified were performed in accordance with established policies, and (iv) performing ongoing evaluation to ascertain whether the components of internal controls are present and functioning.</w:t>
      </w:r>
    </w:p>
    <w:p>
      <w:pPr>
        <w:spacing w:after="0" w:line="61"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The entity level material weaknesses contributed to other material weaknesses within the Company’s system of internal control over financial reporting as follows: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lacked sufficient controls to accurately identify and present activity within its statements of operations and cash flows. Specifically,</w:t>
      </w:r>
    </w:p>
    <w:p>
      <w:pPr>
        <w:spacing w:after="0" w:line="49" w:lineRule="exact"/>
        <w:rPr>
          <w:rFonts w:ascii="Times New Roman" w:cs="Times New Roman" w:eastAsia="Times New Roman" w:hAnsi="Times New Roman"/>
          <w:sz w:val="18"/>
          <w:szCs w:val="18"/>
          <w:color w:val="auto"/>
        </w:rPr>
      </w:pPr>
    </w:p>
    <w:p>
      <w:pPr>
        <w:ind w:left="660"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lacked controls in order to (1) accurately identify and present cash flows as either operating, investing or financing activities and (2) classify expenses within total operating expenses, and correctly classify activity associated with its equity method investment; and,</w:t>
      </w:r>
    </w:p>
    <w:p>
      <w:pPr>
        <w:spacing w:after="0" w:line="1" w:lineRule="exact"/>
        <w:rPr>
          <w:rFonts w:ascii="Times New Roman" w:cs="Times New Roman" w:eastAsia="Times New Roman" w:hAnsi="Times New Roman"/>
          <w:sz w:val="18"/>
          <w:szCs w:val="18"/>
          <w:color w:val="auto"/>
        </w:rPr>
      </w:pPr>
    </w:p>
    <w:p>
      <w:pPr>
        <w:ind w:left="660" w:hanging="328"/>
        <w:spacing w:after="0" w:line="31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external reporting process is not appropriately designed to accurately identify, record, present and disclose transactions, including research and development assets, property and equipment and equity transactions.</w:t>
      </w:r>
    </w:p>
    <w:p>
      <w:pPr>
        <w:spacing w:after="0" w:line="203"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These material weaknesses could result in misstatements of our consolidated financial statements that would result in a material misstatement to the annual or interim consolidated financial statements that would not be prevented or detected.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Remediation Plan</w:t>
      </w:r>
    </w:p>
    <w:p>
      <w:pPr>
        <w:spacing w:after="0" w:line="14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Management is actively implementing measures to remediate identified material weaknesses, ensuring controls are properly designed, implemented, and operating effectively. To address these weaknesses, the Company has engaged an external advisor, hired additional accounting and finance personnel, and assessed training needs for internal controls.</w:t>
      </w:r>
    </w:p>
    <w:p>
      <w:pPr>
        <w:spacing w:after="0" w:line="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For the financial close and reporting process, management has implemented control activities to ensure proper presentation within the statements of operations and cash flows. To address deficiencies in research and development assets, property and equipment, and equity transactions, the Company has strengthened controls for transaction identification, recording, presentation, and disclosure, including enhanced review policies and documented accounting considerations.</w:t>
      </w:r>
    </w:p>
    <w:p>
      <w:pPr>
        <w:spacing w:after="0" w:line="8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As remediation efforts continue, management may implement additional measures or adjust plans as needed. Material weaknesses will be considered remediated once controls have been effectively designed, implemented, and tested over a sustained period. While management expects these actions to be effective, the exact timing of completion remains uncertain. We expect our remediation will be complete by the end of the fourth quarter of fiscal 2025 or sooner.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Changes in Internal Control Over Financial Reporting</w:t>
      </w:r>
    </w:p>
    <w:p>
      <w:pPr>
        <w:spacing w:after="0" w:line="16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Other than the material weaknesses and remediation plan described above, there have been no significant changes in our internal control over financial reporting (as defined in Rule 13a-15(e) and 15d-15(e) under the Securities Exchange Act of 1934, as amended), except as discussed above,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disputes and litigation matters that arise in the ordinary course of business. We are currently not a party to any material legal proceedings. See Note 15 – “Commitments and Contingencies”.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The following discussion outlines material changes to the risk factors previously disclosed under the headings “Regulatory Risks” and “Geographic and Geopolitical Risks” in the Risk Factors section of our most recent annual report on Form 10-K for the year ended December 31, 2024, filed with the SEC on March 19, 2025 (our “2024 Form 10-K”). We have restated and updated those portions of our risk factor disclosure to reflect developments and tensions in the geopolitical and international trade environment that have significantly intensified in the first quarter of 2025, including following the filing of our 2024 Form 10-K. These risk factors, together with the other risk factors disclosed in our 2024 Form 10-K and our other SEC filings, should be carefully considered in conjunction with the other information included in this quarterly report on Form 10-Q. All of the risks we disclose, as well as other risks not currently known to us or that we currently view as immaterial, could materially and adversely affect our business, financial condition, results of operations, or the value of our securities. We update these disclosures as required to reflect significant developments and evolving business conditions facing our company and businesses.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3051F2"/>
        </w:rPr>
        <w:t>Regulatory Risks</w:t>
      </w:r>
    </w:p>
    <w:p>
      <w:pPr>
        <w:spacing w:after="0" w:line="251"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restrictions and laws affecting trade and investments that could materially and adversely affect our business and results of operations.</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Throughout 2025, the United States and China have engaged in a rapid escalation of reciprocal tariff actions, significantly impacting bilateral trade. Beginning in February 2025, the U.S. imposed a 10% tariff on all Chinese imports, later increasing this rate to 20% in March and then to 54% in early April, as part of a broader overhaul of trade policy targeting perceived imbalances and national security concerns. On April 9, 2025, the U.S. further raised tariffs on Chinese-origin goods to a cumulative 125%, although semiconductor products were generally exempt from these increased tariffs while remaining subject to a 25% import duty imposed earlier on China-sourced semiconductor products.</w:t>
      </w:r>
    </w:p>
    <w:p>
      <w:pPr>
        <w:spacing w:after="0" w:line="137"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In response, China enacted several rounds of retaliatory measures, including a 34% tariff on all U.S. goods in early April 2025, followed by a dramatic increase to 84% and ultimately 125% on April 12, 2025, effectively matching the U.S. tariff rate.</w:t>
      </w:r>
    </w:p>
    <w:p>
      <w:pPr>
        <w:spacing w:after="0" w:line="12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ongoing series of tariff increases and retaliatory actions by the United States and China has created substantial uncertainty for businesses engaged in U.S.-China trade, including our company. These actions have also disrupted global supply chains, and raised costs for importers and consumers in both countries. The institution of trade tariffs both globally and between the U.S. and China specifically could have negative repercussions on our business.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China’s retaliatory tariffs or non-tariff barriers could significantly erode our pricing competitiveness for silicon carbide (SiC) products for at least the next 12 to 18 months because we currently rely on a single U.S. source for our supply of silicon carbide wafers.</w:t>
      </w:r>
    </w:p>
    <w:p>
      <w:pPr>
        <w:spacing w:after="0" w:line="9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imposition of 125% tariffs on U.S.-made chips, or non-tariff barriers such as procurement policies favoring domestically produced chips under “Made in China 2025” or similar programs, could significantly reduce our pricing competitiveness in many product categories, compared to competitors based in China as well as competitors based in other countries which are not subject to those tariffs. Although we are exploring alternative sources of production and supply, we currently rely on a single U.S.-based semiconductor foundry for 100% of our supply of silicon carbide wafers. The process of establishing alternative foundry sources typically takes between 12 and 18 months at least. As a result, with no current alternative manufacturing sites outside the U.S., the company cannot pivot production to avoid tariffs or localize supply chains. Furthermore, the imposition of tariffs could cause a decrease in the sales of products to end customers located in China or other end customers selling to Chinese end users, which could materially and adversely affect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new U.S. government regulations restricting outbound investments in China.</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U.S. government has implemented new regulations, effective January 2, 2025, that establish an Outbound Investment Security Program which prohibits or requires notification of certain investments by U.S. companies in entities involved in specific technologies, including semiconductor design, development, fabrication and assembly in China, Hong Kong and Macau. The scope of the new regulations includes investments in existing wholly owned Chinese subsidiaries as well as investments in unaffiliated third parties and joint ventures. These regulations affect our company and may adversely affect our business, financial condition and results of operations in the following ways:</w:t>
      </w:r>
    </w:p>
    <w:p>
      <w:pPr>
        <w:spacing w:after="0" w:line="81" w:lineRule="exact"/>
        <w:rPr>
          <w:sz w:val="20"/>
          <w:szCs w:val="20"/>
          <w:color w:val="auto"/>
        </w:rPr>
      </w:pPr>
    </w:p>
    <w:p>
      <w:pPr>
        <w:jc w:val="both"/>
        <w:ind w:left="660" w:right="20" w:hanging="328"/>
        <w:spacing w:after="0" w:line="29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Restrictions</w:t>
      </w:r>
      <w:r>
        <w:rPr>
          <w:rFonts w:ascii="Times New Roman" w:cs="Times New Roman" w:eastAsia="Times New Roman" w:hAnsi="Times New Roman"/>
          <w:sz w:val="18"/>
          <w:szCs w:val="18"/>
          <w:color w:val="auto"/>
        </w:rPr>
        <w:t>: The regulations prohibit investments in entities engaged in activities related to advanced semiconductors,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fabrication of integrated circuits from gallium-based compound semiconductors such as gallium nitride (GaN). Although we do not believe this</w:t>
      </w:r>
    </w:p>
    <w:p>
      <w:pPr>
        <w:spacing w:after="0" w:line="1" w:lineRule="exact"/>
        <w:rPr>
          <w:rFonts w:ascii="Times New Roman" w:cs="Times New Roman" w:eastAsia="Times New Roman" w:hAnsi="Times New Roman"/>
          <w:sz w:val="18"/>
          <w:szCs w:val="18"/>
          <w:color w:val="auto"/>
        </w:rPr>
      </w:pPr>
    </w:p>
    <w:p>
      <w:pPr>
        <w:jc w:val="both"/>
        <w:ind w:left="660" w:right="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limits our ability to enter into or continue customary commercial relationships with Chinese suppliers and customers, this restriction does limit our ability to pursue strategic investments or partnerships in the area of GaN device fabrication, potentially affecting our growth and competitive positioning.</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 Requirement</w:t>
      </w:r>
      <w:r>
        <w:rPr>
          <w:rFonts w:ascii="Times New Roman" w:cs="Times New Roman" w:eastAsia="Times New Roman" w:hAnsi="Times New Roman"/>
          <w:sz w:val="18"/>
          <w:szCs w:val="18"/>
          <w:color w:val="auto"/>
        </w:rPr>
        <w:t>s: Even when investments are not prohibited by the new regulations, we may be required to notify the U.S. government</w:t>
      </w:r>
    </w:p>
    <w:p>
      <w:pPr>
        <w:spacing w:after="0" w:line="51"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certain transactions, including investment transactions involving semiconductor device design, development, fabrication (from materials other than GaN) and packaging, in each case which our Chinese subsidiary was not engaged in before the new regulations became effective. This could result in delays, increased compliance costs, and potential scrutiny of our investment activities.</w:t>
      </w:r>
    </w:p>
    <w:p>
      <w:pPr>
        <w:spacing w:after="0" w:line="59" w:lineRule="exact"/>
        <w:rPr>
          <w:rFonts w:ascii="Times New Roman" w:cs="Times New Roman" w:eastAsia="Times New Roman" w:hAnsi="Times New Roman"/>
          <w:sz w:val="18"/>
          <w:szCs w:val="18"/>
          <w:color w:val="auto"/>
        </w:rPr>
      </w:pPr>
    </w:p>
    <w:p>
      <w:pPr>
        <w:ind w:left="660" w:hanging="328"/>
        <w:spacing w:after="0" w:line="33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Competitive Disadvantage: </w:t>
      </w:r>
      <w:r>
        <w:rPr>
          <w:rFonts w:ascii="Times New Roman" w:cs="Times New Roman" w:eastAsia="Times New Roman" w:hAnsi="Times New Roman"/>
          <w:sz w:val="18"/>
          <w:szCs w:val="18"/>
          <w:color w:val="auto"/>
        </w:rPr>
        <w:t>These regulations apply specifically to U.S. companies and entities they control. This may place us at a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disadvantage compared to non-U.S. companies not subject to these restrictions.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Penalties for Non-Compliance</w:t>
      </w:r>
      <w:r>
        <w:rPr>
          <w:rFonts w:ascii="Times New Roman" w:cs="Times New Roman" w:eastAsia="Times New Roman" w:hAnsi="Times New Roman"/>
          <w:sz w:val="18"/>
          <w:szCs w:val="18"/>
          <w:color w:val="auto"/>
        </w:rPr>
        <w:t>: Violations of these regulations can result in substantial civil penalties, and willful violations may lead to criminal</w:t>
      </w:r>
    </w:p>
    <w:p>
      <w:pPr>
        <w:spacing w:after="0" w:line="51" w:lineRule="exact"/>
        <w:rPr>
          <w:rFonts w:ascii="Times New Roman" w:cs="Times New Roman" w:eastAsia="Times New Roman" w:hAnsi="Times New Roman"/>
          <w:sz w:val="18"/>
          <w:szCs w:val="18"/>
          <w:color w:val="auto"/>
        </w:rPr>
      </w:pPr>
    </w:p>
    <w:p>
      <w:pPr>
        <w:ind w:left="6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The potential for such penalties could increase our compliance costs and increases our legal and financial risks associated with international investments.</w:t>
      </w:r>
    </w:p>
    <w:p>
      <w:pPr>
        <w:spacing w:after="0" w:line="6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implementation of these regulations may contribute to increased geopolitical tensions, potentially affecting our broader business relationships and operations in China and other affected regions. We are closely monitoring the implementation of these regulations and developing compliance strategies. However, the full impact of this new regulatory regime on our business remains uncertain and could be material.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Investments in or by us may be subject to foreign investment regulation and review in the United States and elsewhere, which may result in material restrictions, conditions, prohibitions or penalties on us or our investors related to any such investments. Semiconductor technologies generally, and GaN and SiC semiconductors specifically, may be subject to heightened regulatory scrutiny.</w:t>
      </w:r>
    </w:p>
    <w:p>
      <w:pPr>
        <w:spacing w:after="0" w:line="12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Our industry is subject to foreign direct investment (“FDI”) regulations in many countries, including the United States. Our ability to invest in companies or operations in, and our ability to raise capital from investors affiliated with, those jurisdictions may be subject to review or approval requirements, restrictions, conditions, or prohibitions. Any review and approval of an investment or transaction by an FDI regulator may have disproportionate impacts on transaction certainty, timing, feasibility, and cost, among other effects. FDI regulatory policies and practices are rapidly evolving, and in the event that an FDI regulator reviews one or more proposed or existing investments, there can be no assurance that we will be able to maintain, or proceed with, such investments on terms acceptable to us. We may be unable to complete commercially desirable acquisitions in such jurisdictions or be subject to material costs or restrictions in connection with such acquisitions. While we strive to comply with all applicable laws and regulations, the application of FDI regulations could also in some circumstances result in financial or other penalties or require divestments, any of which could have a material impact on us.</w:t>
      </w:r>
    </w:p>
    <w:p>
      <w:pPr>
        <w:spacing w:after="0" w:line="13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In the United States, certain investments that involve the acquisition of, or investment in, a U.S. business by an investor subject to foreign control (a “foreign person”) may be subject to review and approval by the Committee on Foreign Investment in the United States (“CFIUS”). Whether CFIUS has jurisdiction to review an acquisition or investment transaction depends on, among other factors, the nature and structure of the transaction, including the level of beneficial ownership interest and the nature of any information or governance rights involved, and the nature of the technology possessed by the U.S. business. For example, investments that result in “control” of a U.S. business, which may include governance rights falling well short of majority control, by a foreign person are always subject to CFIUS jurisdiction. CFIUS’s jurisdiction also extends to investments that do not result in control of a U.S. business by a foreign person, if they afford foreign investors with information or governance rights in a U.S. business that has a nexus to, among other things, “critical technologies.” Transactions involving companies that develop, produce, or test critical technologies may be subject to mandatory filing requirements. In addition, U.S. regulatory initiatives over the past several years have classified certain semiconductor technologies as “critical to national security,” including compound semiconductors and wide-bandgap semiconductors. Both gallium nitride (GaN) and silicon carbide (SiC) are compound semiconductors and wide-bandgap semiconductors. As a result, our company’s focus on GaN- and SiC-based products, together with our global presence in rapidly growing markets, including China, may subject our company to additional regulatory restrictions or scrutiny, including by CFIUS, in connection with past or future transactions that involve investments in us or by us. Although we believe all of our GaN and SiC products are generally not subject to export controls under the U.S. Export Administration Regulations (EAR), CFIUS could choose to review proposed or past investments in us by foreign persons whether or not our business is deemed to involve “critical technologies.” In the case of such review, CFIUS could prohibit or impose conditions on the relevant investment. Such conditions might include limitations or obligations on our operations that could result in material costs or disruptions of our current or future operations. The prospect of CFIUS review, or any such prohibitions or conditions, could result in material costs or disruptions in our current or future operations or plans, and could also have a negative impact on our stock price. Furthermore, we have had communications with CFIUS with respect to our products, investors and acquisitions, and may have additional communications in the future with respect to these or other matters. Any future communications with CFIUS or other similar regulatory agency with authority over FDI, if not satisfactorily resolved, may result in material restrictions, conditions, prohibitions or penalties on us or our investors.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are subject to U.S. laws and regulations that could limit and restrict the export of some products and services and may restrict transactions with certain end customers, business partners and other persons, including, in certain cases, dealings with or between our employees and subsidiaries. In certain circumstances, export control and economic sanctions regulations may prohibit the export of certain products, services and technologies and in other circumstances we may be required to obtain an export license before exporting the controlled item. Compliance with these laws and regulations could materially limit operations or sales, which would materially and adversely affect our business and results of operations.</w:t>
      </w:r>
    </w:p>
    <w:p>
      <w:pPr>
        <w:spacing w:after="0" w:line="1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addition, U.S. laws and regulations and sanctions, or threat of sanctions, that could limit and restrict the export of some of our products and services to end customers, may also encourage end customers to develop their own solutions to replace our products, or seek to obtain a greater supply of similar or substitute products from competitors that are not subject to these restrictions, which could materially and adversely affect our business, financial condition and results of operations.</w:t>
      </w:r>
    </w:p>
    <w:p>
      <w:pPr>
        <w:spacing w:after="0" w:line="13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Further, our sales may be adversely affected by the current and future political environment in China and the policies of the China Central Government. China’s government has exercised and continues to exercise substantial control over nearly all sectors of the Chinese economy through regulation and state ownership. Our ability to ship products to China may be adversely affected by changes in Chinese laws and regulations, including those relating to taxation, import and export tariffs, raw materials, environmental regulations, land use rights, property and other matters. Under its current leadership, China’s government has been pursuing economic reform policies that encourage private economic activity and greater economic decentralization. There is no assurance, however, that China’s government will continue to pursue these policies, or that it will not significantly alter these policies from time to time without notice. The United States government has called for substantial changes to foreign trade policy with China and has raised (as well as has proposed to further raise in the future), tariffs on several Chinese goods. China has retaliated with increased tariffs on United States goods. Any further changes in United States trade policy could trigger retaliatory actions by affected countries, including China, resulting in trade wars. Any changes in United States and China relations, including through changes in policies by the Chinese government could adversely affect our financial condition and results of operations, including: changes in laws, regulations or the interpretation thereof, confiscatory taxation, governmental royalties, restrictions on currency conversion, imports or sources of supplies, or the expropriation or nationalization of private enterprises.</w:t>
      </w:r>
    </w:p>
    <w:p>
      <w:pPr>
        <w:spacing w:after="0" w:line="12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In addition, there may be circumstances where we may have to incur premium freight charges to expedite the delivery of our products to end customers or as a result of being required to ship to alternative ports due to local Chinese government regulations or delays at the ports that we typically utilize. If we incur a significant amount of freight charges, our gross profit will be negatively affected if we are unable to pass on those charges to end customers.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3051F2"/>
        </w:rPr>
        <w:t>Geographic and Geopolitical Risks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associated with international operations, which may harm our business.</w:t>
      </w:r>
    </w:p>
    <w:p>
      <w:pPr>
        <w:spacing w:after="0" w:line="21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maintain our operations around the world, including in the United States, China, Taiwan, Ireland, Germany, Italy, Belgium, Thailand, South Korea, and the Philippines. For the three months ended March 31, 2025 and 2024, approximately 54% and 75%, respectively, of our net sales were to end customers in Asia. We allocate revenue among individual countries based on the location to which the products are initially billed even if our end customers’ revenue is attributable to end customers that are based in a different location. As of March 31, 2025, approximately 68% of our workforce was located outside of the United States. In addition, a substantial majority of our products are manufactured, assembled, tested and packaged by third parties located outside of the United States. The principal assembly and test facilities operated by our back-end manufacturing service providers are located in Taiwan and the Philippines. We also rely on several other wafer fabrication and manufacturing service providers located throughout Asia. Any conflict or uncertainty in this region, including those posing risks to public health or safety, such as natural disasters, could have a material adverse effect on our business, financial condition and results of operations. Moreover, the global nature of our business subjects us to a number of additional risks and uncertainties, which could harm our business, financial condition and results of operations, including:</w:t>
      </w:r>
    </w:p>
    <w:p>
      <w:pPr>
        <w:spacing w:after="0" w:line="13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economic and political conditions and other political tensions between countries in which we do business;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8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military conflicts in countries or regions where we do not do business or have manufacturing partners, such as the military conflict between Russia and Ukraine, may increase the likelihood of supply interruptions or disruptions in countries or regions where we do</w:t>
      </w:r>
    </w:p>
    <w:p>
      <w:pPr>
        <w:spacing w:after="0" w:line="1"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or in which our manufacturing partners have facilities. Such interruptions or disruptions may make it harder for us to find favorable pricing and reliable sources for materials and services we need to make our products, putting upward pressure on our costs;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or impositions of, legislative or regulatory requirements, including changes in tax laws;</w:t>
      </w:r>
    </w:p>
    <w:p>
      <w:pPr>
        <w:spacing w:after="0" w:line="19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cross-border investment, including enhanced oversight by the Committee on Foreign Investment in the United States (“CFIUS”) and substantial restrictions on investment from China as well as recently introduced restrictions on investments by U.S. persons in China;</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legal standards with respect to protection of intellectual property and employment practices;</w:t>
      </w:r>
    </w:p>
    <w:p>
      <w:pPr>
        <w:spacing w:after="0" w:line="21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spacing w:after="0" w:line="12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exporting or importing issues related to export or import restrictions, including deemed export restrictions, tariffs, quotas and other trade barriers and restrictions;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capital and trading markets and currency fluctuations;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supply chain adjustments for semiconductor companies due to recent U.S. tariffs on Chinese imports.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Since we have significant operations and revenues in China, our business development plans, results of operations and financial condition may be materially and adversely affected by significant political, social and economic developments in China.</w:t>
      </w:r>
    </w:p>
    <w:p>
      <w:pPr>
        <w:spacing w:after="0" w:line="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 slowdown in economic growth in China could adversely impact our end customers, prospective end customers, suppliers, distributors and partners in China, which could have a material adverse effect on our results of operations and financial condition.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79"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net sales is generated through end customers in China which subjects us to risks associated with changes of Chinese end customer interest and governmental or regulatory changes.</w:t>
      </w:r>
    </w:p>
    <w:p>
      <w:pPr>
        <w:spacing w:after="0" w:line="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generate a significant portion of our net sales through end customers in China. In the three months ended March 31, 2025 and 2024, 41% and 60%, respectively, of our net revenues were from sales to end customers in China. We expect that our end customers in China will continue to account for a high percentage of our revenue for the foreseeable future. Thus, our business success depends on our ability to maintain strong relationships with our end customers in China. Any loss of our key end customers for any reason, including because of changes of end customer interest in our products, or a change in the relationship with them, including a significant delay or reduction in their purchases, may cause a significant decrease in our revenue, which we may not be able to recapture, and our business could be harmed.</w:t>
      </w:r>
    </w:p>
    <w:p>
      <w:pPr>
        <w:spacing w:after="0" w:line="8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Additionally, China’s government has implemented policies from time to time to regulate economic expansion in China. It exercises significant control over China’s economic growth through the allocation of resources, controlling payment of foreign currency-denominated obligations, setting monetary policy and providing preferential treatment to particular industries or companies. Any additional new regulations or the amendment or modification of previously implemented regulations could require us and our manufacturing partners to change our business plans, increase our costs, or limit our ability to sell products and conduct activities in China, which could adversely affect our business and operating results.</w:t>
      </w:r>
    </w:p>
    <w:p>
      <w:pPr>
        <w:spacing w:after="0" w:line="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Chinese government also has broad discretion and authority to regulate the technology industry in China. The Chinese government and provincial and local governments also have provided, and continue to provide, various incentives to encourage the development of the semiconductor industry in China. Such incentives include tax rebates, reduced tax rates, favorable lending policies and other measures, some or all of which may be available to our manufacturing partners in China. Any of these incentives could be reduced or eliminated by governmental authorities at any time. Any such reduction or elimination of incentives currently provided to our manufacturing partners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83" w:lineRule="exact"/>
        <w:rPr>
          <w:sz w:val="20"/>
          <w:szCs w:val="20"/>
          <w:color w:val="auto"/>
        </w:rPr>
      </w:pPr>
    </w:p>
    <w:p>
      <w:pPr>
        <w:jc w:val="both"/>
        <w:ind w:left="900"/>
        <w:spacing w:after="0"/>
        <w:tabs>
          <w:tab w:leader="none" w:pos="5560" w:val="left"/>
        </w:tabs>
        <w:rPr>
          <w:sz w:val="20"/>
          <w:szCs w:val="20"/>
          <w:color w:val="auto"/>
        </w:rPr>
      </w:pP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21590</wp:posOffset>
            </wp:positionV>
            <wp:extent cx="58464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p>
      <w:pPr>
        <w:spacing w:after="0" w:line="1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31.1*</w:t>
      </w:r>
    </w:p>
    <w:p>
      <w:pPr>
        <w:spacing w:after="0" w:line="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31.2*</w:t>
      </w:r>
    </w:p>
    <w:p>
      <w:pPr>
        <w:spacing w:after="0" w:line="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32.1**</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101.SCH*</w:t>
      </w:r>
    </w:p>
    <w:p>
      <w:pPr>
        <w:spacing w:after="0" w:line="1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101.CAL*</w:t>
      </w:r>
    </w:p>
    <w:p>
      <w:pPr>
        <w:spacing w:after="0" w:line="1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101.DEF*</w:t>
      </w:r>
    </w:p>
    <w:p>
      <w:pPr>
        <w:spacing w:after="0" w:line="1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101.LAB*</w:t>
      </w:r>
    </w:p>
    <w:p>
      <w:pPr>
        <w:spacing w:after="0" w:line="1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101.PRE*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2279"/>
        <w:spacing w:after="0" w:line="352" w:lineRule="auto"/>
        <w:rPr>
          <w:sz w:val="20"/>
          <w:szCs w:val="20"/>
          <w:color w:val="auto"/>
        </w:rPr>
      </w:pPr>
      <w:r>
        <w:rPr>
          <w:rFonts w:ascii="Times New Roman" w:cs="Times New Roman" w:eastAsia="Times New Roman" w:hAnsi="Times New Roman"/>
          <w:sz w:val="16"/>
          <w:szCs w:val="16"/>
          <w:color w:val="0000FF"/>
        </w:rPr>
        <w:t>Certification of the Chief Executive Officer pursuant to Rule 13a-14(a) of the Exchange Act Certification of the Chief Financial Officer pursuant to Rule 13a-14(a) of the Exchange Act</w:t>
      </w:r>
    </w:p>
    <w:p>
      <w:pPr>
        <w:ind w:right="59"/>
        <w:spacing w:after="0" w:line="245" w:lineRule="auto"/>
        <w:rPr>
          <w:sz w:val="20"/>
          <w:szCs w:val="20"/>
          <w:color w:val="auto"/>
        </w:rPr>
      </w:pPr>
      <w:r>
        <w:rPr>
          <w:rFonts w:ascii="Times New Roman" w:cs="Times New Roman" w:eastAsia="Times New Roman" w:hAnsi="Times New Roman"/>
          <w:sz w:val="16"/>
          <w:szCs w:val="16"/>
          <w:color w:val="0000FF"/>
        </w:rPr>
        <w:t>Certification of the Chief Executive Officer and the Chief Financial Officer pursuant to Rule 13a-14(b) of the Exchange Act and 18 U.S.C. § 1350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p>
      <w:pPr>
        <w:spacing w:after="0" w:line="77" w:lineRule="exact"/>
        <w:rPr>
          <w:sz w:val="20"/>
          <w:szCs w:val="20"/>
          <w:color w:val="auto"/>
        </w:rPr>
      </w:pPr>
    </w:p>
    <w:p>
      <w:pPr>
        <w:sectPr>
          <w:pgSz w:w="11900" w:h="16838" w:orient="portrait"/>
          <w:cols w:equalWidth="0" w:num="2">
            <w:col w:w="1520" w:space="360"/>
            <w:col w:w="8259"/>
          </w:cols>
          <w:pgMar w:left="320" w:top="454" w:right="1440"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4"/>
          <w:szCs w:val="14"/>
          <w:color w:val="auto"/>
        </w:rPr>
        <w:t>* Filed herewith</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NAVITAS SEMICONDUCTOR</w:t>
      </w:r>
    </w:p>
    <w:p>
      <w:pPr>
        <w:ind w:left="448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80"/>
        <w:spacing w:after="0"/>
        <w:tabs>
          <w:tab w:leader="none" w:pos="5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1834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Gene Sheridan</w:t>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40" w:lineRule="exact"/>
        <w:rPr>
          <w:sz w:val="20"/>
          <w:szCs w:val="20"/>
          <w:color w:val="auto"/>
        </w:rPr>
      </w:pPr>
    </w:p>
    <w:p>
      <w:pPr>
        <w:jc w:val="center"/>
        <w:ind w:right="340"/>
        <w:spacing w:after="0"/>
        <w:tabs>
          <w:tab w:leader="none" w:pos="120" w:val="left"/>
        </w:tabs>
        <w:rPr>
          <w:sz w:val="20"/>
          <w:szCs w:val="20"/>
          <w:color w:val="auto"/>
        </w:rPr>
      </w:pPr>
      <w:r>
        <w:rPr>
          <w:rFonts w:ascii="Times New Roman" w:cs="Times New Roman" w:eastAsia="Times New Roman" w:hAnsi="Times New Roman"/>
          <w:sz w:val="18"/>
          <w:szCs w:val="18"/>
          <w:color w:val="auto"/>
        </w:rPr>
        <w:t>Date:</w:t>
        <w:tab/>
        <w:t>May 9, 2025</w:t>
      </w: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NAVITAS SEMICONDUCTOR</w:t>
      </w:r>
    </w:p>
    <w:p>
      <w:pPr>
        <w:ind w:left="440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00"/>
        <w:spacing w:after="0"/>
        <w:tabs>
          <w:tab w:leader="none" w:pos="4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Todd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17145</wp:posOffset>
            </wp:positionV>
            <wp:extent cx="18605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Todd Glickman</w:t>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Sr. V.P., Chief Financial Officer and</w:t>
      </w:r>
    </w:p>
    <w:p>
      <w:pPr>
        <w:ind w:left="4960"/>
        <w:spacing w:after="0"/>
        <w:rPr>
          <w:sz w:val="20"/>
          <w:szCs w:val="20"/>
          <w:color w:val="auto"/>
        </w:rPr>
      </w:pPr>
      <w:r>
        <w:rPr>
          <w:rFonts w:ascii="Times New Roman" w:cs="Times New Roman" w:eastAsia="Times New Roman" w:hAnsi="Times New Roman"/>
          <w:sz w:val="18"/>
          <w:szCs w:val="18"/>
          <w:color w:val="auto"/>
        </w:rPr>
        <w:t>Treasurer</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w:t>
      </w:r>
    </w:p>
    <w:p>
      <w:pPr>
        <w:ind w:left="4960"/>
        <w:spacing w:after="0"/>
        <w:rPr>
          <w:sz w:val="20"/>
          <w:szCs w:val="20"/>
          <w:color w:val="auto"/>
        </w:rPr>
      </w:pPr>
      <w:r>
        <w:rPr>
          <w:rFonts w:ascii="Times New Roman" w:cs="Times New Roman" w:eastAsia="Times New Roman" w:hAnsi="Times New Roman"/>
          <w:sz w:val="18"/>
          <w:szCs w:val="18"/>
          <w:color w:val="auto"/>
        </w:rPr>
        <w:t>officer)</w:t>
      </w:r>
    </w:p>
    <w:p>
      <w:pPr>
        <w:spacing w:after="0" w:line="273" w:lineRule="exact"/>
        <w:rPr>
          <w:sz w:val="20"/>
          <w:szCs w:val="20"/>
          <w:color w:val="auto"/>
        </w:rPr>
      </w:pPr>
    </w:p>
    <w:p>
      <w:pPr>
        <w:ind w:left="4400"/>
        <w:spacing w:after="0"/>
        <w:tabs>
          <w:tab w:leader="none" w:pos="4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60"/>
          </w:cols>
          <w:pgMar w:left="320" w:top="454" w:right="8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Gene Sheridan, certify that:</w:t>
      </w:r>
    </w:p>
    <w:p>
      <w:pPr>
        <w:spacing w:after="0" w:line="158"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2025,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546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1460" w:type="dxa"/>
            <w:vAlign w:val="bottom"/>
          </w:tcPr>
          <w:p>
            <w:pPr>
              <w:spacing w:after="0"/>
              <w:rPr>
                <w:sz w:val="13"/>
                <w:szCs w:val="13"/>
                <w:color w:val="auto"/>
              </w:rPr>
            </w:pPr>
          </w:p>
        </w:tc>
      </w:tr>
      <w:tr>
        <w:trPr>
          <w:trHeight w:val="180"/>
        </w:trPr>
        <w:tc>
          <w:tcPr>
            <w:tcW w:w="5460" w:type="dxa"/>
            <w:vAlign w:val="bottom"/>
          </w:tcPr>
          <w:p>
            <w:pPr>
              <w:spacing w:after="0"/>
              <w:rPr>
                <w:sz w:val="15"/>
                <w:szCs w:val="15"/>
                <w:color w:val="auto"/>
              </w:rPr>
            </w:pPr>
          </w:p>
        </w:tc>
        <w:tc>
          <w:tcPr>
            <w:tcW w:w="27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54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Glickman, certify that:</w:t>
      </w:r>
    </w:p>
    <w:p>
      <w:pPr>
        <w:spacing w:after="0" w:line="158"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2025,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6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tabs>
          <w:tab w:leader="none" w:pos="414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7"/>
          <w:szCs w:val="17"/>
          <w:u w:val="single" w:color="auto"/>
          <w:color w:val="auto"/>
        </w:rPr>
        <w:t>/s/ Todd Glickman</w:t>
      </w:r>
    </w:p>
    <w:p>
      <w:pPr>
        <w:ind w:left="4160"/>
        <w:spacing w:after="0" w:line="205" w:lineRule="auto"/>
        <w:rPr>
          <w:sz w:val="20"/>
          <w:szCs w:val="20"/>
          <w:color w:val="auto"/>
        </w:rPr>
      </w:pPr>
      <w:r>
        <w:rPr>
          <w:rFonts w:ascii="Times New Roman" w:cs="Times New Roman" w:eastAsia="Times New Roman" w:hAnsi="Times New Roman"/>
          <w:sz w:val="18"/>
          <w:szCs w:val="18"/>
          <w:color w:val="auto"/>
        </w:rPr>
        <w:t>Todd Glickman</w:t>
      </w:r>
    </w:p>
    <w:p>
      <w:pPr>
        <w:ind w:left="4160"/>
        <w:spacing w:after="0" w:line="204" w:lineRule="auto"/>
        <w:rPr>
          <w:sz w:val="20"/>
          <w:szCs w:val="20"/>
          <w:color w:val="auto"/>
        </w:rPr>
      </w:pPr>
      <w:r>
        <w:rPr>
          <w:rFonts w:ascii="Times New Roman" w:cs="Times New Roman" w:eastAsia="Times New Roman" w:hAnsi="Times New Roman"/>
          <w:sz w:val="18"/>
          <w:szCs w:val="18"/>
          <w:color w:val="auto"/>
        </w:rPr>
        <w:t>Sr. V.P., Chief Financial Officer and Treasurer</w:t>
      </w:r>
    </w:p>
    <w:p>
      <w:pPr>
        <w:ind w:left="4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906 of the Sarbanes-Oxley Act of 2002, in the undersigned’s capacity as an officer of Navitas Semiconductor Corporation (“Navitas”), that, to his knowledge, Navitas’ quarterly report on Form 10-Q for the period ended March 31, 2025, fully complies with the requirements of Section 13(a) of the Securities Exchange Act of 1934 and that the information contained in such report fairly presents, in all material respects, the financial condition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results of operations of 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472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6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33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7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Todd Glickman</w:t>
            </w:r>
          </w:p>
        </w:tc>
      </w:tr>
      <w:tr>
        <w:trPr>
          <w:trHeight w:val="151"/>
        </w:trPr>
        <w:tc>
          <w:tcPr>
            <w:tcW w:w="4720" w:type="dxa"/>
            <w:vAlign w:val="bottom"/>
          </w:tcPr>
          <w:p>
            <w:pPr>
              <w:spacing w:after="0"/>
              <w:rPr>
                <w:sz w:val="13"/>
                <w:szCs w:val="13"/>
                <w:color w:val="auto"/>
              </w:rPr>
            </w:pPr>
          </w:p>
        </w:tc>
        <w:tc>
          <w:tcPr>
            <w:tcW w:w="1340" w:type="dxa"/>
            <w:vAlign w:val="bottom"/>
            <w:tcBorders>
              <w:top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color w:val="auto"/>
              </w:rPr>
              <w:t>Todd Glickman</w:t>
            </w:r>
          </w:p>
        </w:tc>
        <w:tc>
          <w:tcPr>
            <w:tcW w:w="1980" w:type="dxa"/>
            <w:vAlign w:val="bottom"/>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33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w w:val="97"/>
              </w:rPr>
              <w:t>Sr. V.P., Chief Financial Officer and Treasurer</w:t>
            </w:r>
          </w:p>
        </w:tc>
      </w:tr>
      <w:tr>
        <w:trPr>
          <w:trHeight w:val="234"/>
        </w:trPr>
        <w:tc>
          <w:tcPr>
            <w:tcW w:w="47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¹"/>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2025-05-09T16:08:43Z</dcterms:created>
  <dcterms:modified xsi:type="dcterms:W3CDTF">2025-05-09T16:08:43Z</dcterms:modified>
</cp:coreProperties>
</file>