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80" w:after="283"/>
        <w:jc w:val="left"/>
        <w:rPr>
          <w:rFonts w:ascii="Times New Roman;serif" w:hAnsi="Times New Roman;serif"/>
          <w:b/>
          <w:color w:val="000000"/>
          <w:sz w:val="24"/>
        </w:rPr>
      </w:pPr>
      <w:r>
        <w:rPr>
          <w:rFonts w:ascii="Times New Roman;serif" w:hAnsi="Times New Roman;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68"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quarterly period ended September 30, 2026</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lineRule="auto" w:line="288" w:before="180" w:after="283"/>
        <w:jc w:val="center"/>
      </w:pPr>
      <w:r>
        <w:rPr>
          <w:rFonts w:ascii="Times New Roman;serif" w:hAnsi="Times New Roman;serif"/>
          <w:b w:val="false"/>
          <w:color w:val="000000"/>
          <w:sz w:val="24"/>
        </w:rPr>
        <w:t>Commission file number:</w:t>
      </w:r>
      <w:r>
        <w:rPr>
          <w:color w:val="000000"/>
        </w:rPr>
        <w:t xml:space="preserve"> </w:t>
      </w:r>
      <w:r>
        <w:rPr>
          <w:rFonts w:ascii="Times New Roman;serif" w:hAnsi="Times New Roman;serif"/>
          <w:b/>
          <w:color w:val="000000"/>
          <w:sz w:val="24"/>
        </w:rPr>
        <w:t>001-39755</w:t>
      </w:r>
    </w:p>
    <w:p>
      <w:pPr>
        <w:pStyle w:val="TextBody"/>
        <w:bidi w:val="0"/>
        <w:spacing w:before="120" w:after="283"/>
        <w:jc w:val="center"/>
      </w:pPr>
      <w:r>
        <w:drawing>
          <wp:inline distT="0" distB="0" distL="0" distR="0">
            <wp:extent cx="20097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00075"/>
                    </a:xfrm>
                    <a:prstGeom prst="rect">
                      <a:avLst/>
                    </a:prstGeom>
                  </pic:spPr>
                </pic:pic>
              </a:graphicData>
            </a:graphic>
          </wp:inline>
        </w:drawing>
      </w:r>
      <w:bookmarkStart w:id="0" w:name="i-1"/>
      <w:bookmarkEnd w:id="0"/>
    </w:p>
    <w:p>
      <w:pPr>
        <w:pStyle w:val="TextBody"/>
        <w:bidi w:val="0"/>
        <w:spacing w:lineRule="auto" w:line="288" w:before="120" w:after="283"/>
        <w:jc w:val="center"/>
        <w:rPr>
          <w:rFonts w:ascii="sans-serif" w:hAnsi="sans-serif"/>
          <w:b/>
          <w:color w:val="000000"/>
          <w:sz w:val="36"/>
        </w:rPr>
      </w:pPr>
      <w:r>
        <w:rPr>
          <w:rFonts w:ascii="sans-serif" w:hAnsi="sans-serif"/>
          <w:b/>
          <w:color w:val="000000"/>
          <w:sz w:val="36"/>
        </w:rPr>
        <w:t>Navitas Semiconductor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65" w:type="dxa"/>
        <w:jc w:val="left"/>
        <w:tblInd w:w="0" w:type="dxa"/>
        <w:tblLayout w:type="fixed"/>
        <w:tblCellMar>
          <w:top w:w="28" w:type="dxa"/>
          <w:left w:w="28" w:type="dxa"/>
          <w:bottom w:w="28" w:type="dxa"/>
          <w:right w:w="28" w:type="dxa"/>
        </w:tblCellMar>
      </w:tblPr>
      <w:tblGrid>
        <w:gridCol w:w="630"/>
        <w:gridCol w:w="553"/>
        <w:gridCol w:w="553"/>
        <w:gridCol w:w="553"/>
        <w:gridCol w:w="553"/>
        <w:gridCol w:w="574"/>
        <w:gridCol w:w="438"/>
        <w:gridCol w:w="438"/>
        <w:gridCol w:w="773"/>
      </w:tblGrid>
      <w:t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ind w:left="0" w:right="0" w:firstLine="60"/>
              <w:jc w:val="left"/>
              <w:rPr>
                <w:sz w:val="4"/>
                <w:szCs w:val="4"/>
              </w:rPr>
            </w:pPr>
            <w:r>
              <w:rPr>
                <w:sz w:val="4"/>
                <w:szCs w:val="4"/>
              </w:rPr>
            </w:r>
          </w:p>
        </w:tc>
      </w:tr>
      <w:tr>
        <w:tc>
          <w:tcPr>
            <w:tcW w:w="341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color w:val="000000"/>
                <w:sz w:val="20"/>
              </w:rPr>
            </w:pPr>
            <w:r>
              <w:rPr>
                <w:rFonts w:ascii="Times New Roman;serif" w:hAnsi="Times New Roman;serif"/>
                <w:b/>
                <w:color w:val="000000"/>
                <w:sz w:val="20"/>
              </w:rPr>
              <w:t>85-2560226</w:t>
            </w:r>
          </w:p>
        </w:tc>
      </w:tr>
      <w:tr>
        <w:tc>
          <w:tcPr>
            <w:tcW w:w="341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68"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color w:val="000000"/>
                <w:sz w:val="20"/>
              </w:rPr>
            </w:pPr>
            <w:r>
              <w:rPr>
                <w:rFonts w:ascii="Times New Roman;serif" w:hAnsi="Times New Roman;serif"/>
                <w:b/>
                <w:color w:val="000000"/>
                <w:sz w:val="20"/>
              </w:rPr>
              <w:t>3520 Challenger Street</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color w:val="000000"/>
                <w:sz w:val="20"/>
              </w:rPr>
            </w:pPr>
            <w:r>
              <w:rPr>
                <w:rFonts w:ascii="Times New Roman;serif" w:hAnsi="Times New Roman;serif"/>
                <w:b/>
                <w:color w:val="000000"/>
                <w:sz w:val="20"/>
              </w:rPr>
              <w:t>90503-1640</w:t>
            </w:r>
          </w:p>
        </w:tc>
      </w:tr>
      <w:tr>
        <w:tc>
          <w:tcPr>
            <w:tcW w:w="17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right"/>
              <w:rPr>
                <w:rFonts w:ascii="Times New Roman;serif" w:hAnsi="Times New Roman;serif"/>
                <w:b/>
                <w:color w:val="000000"/>
                <w:sz w:val="20"/>
              </w:rPr>
            </w:pPr>
            <w:r>
              <w:rPr>
                <w:rFonts w:ascii="Times New Roman;serif" w:hAnsi="Times New Roman;serif"/>
                <w:b/>
                <w:color w:val="000000"/>
                <w:sz w:val="20"/>
              </w:rPr>
              <w:t>Torrance,</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California</w:t>
            </w:r>
          </w:p>
        </w:tc>
        <w:tc>
          <w:tcPr>
            <w:tcW w:w="1649" w:type="dxa"/>
            <w:gridSpan w:val="3"/>
            <w:vMerge w:val="continue"/>
            <w:tcBorders/>
            <w:tcMar>
              <w:top w:w="0" w:type="dxa"/>
              <w:left w:w="0" w:type="dxa"/>
              <w:bottom w:w="0" w:type="dxa"/>
              <w:right w:w="0" w:type="dxa"/>
            </w:tcMar>
            <w:vAlign w:val="center"/>
          </w:tcPr>
          <w:p>
            <w:pPr>
              <w:pStyle w:val="Normal"/>
              <w:bidi w:val="0"/>
              <w:jc w:val="left"/>
            </w:pPr>
            <w:r/>
          </w:p>
        </w:tc>
      </w:tr>
      <w:t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(844) 654-2642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14" w:type="dxa"/>
        <w:jc w:val="left"/>
        <w:tblInd w:w="0" w:type="dxa"/>
        <w:tblLayout w:type="fixed"/>
        <w:tblCellMar>
          <w:top w:w="28" w:type="dxa"/>
          <w:left w:w="28" w:type="dxa"/>
          <w:bottom w:w="28" w:type="dxa"/>
          <w:right w:w="28" w:type="dxa"/>
        </w:tblCellMar>
      </w:tblPr>
      <w:tblGrid>
        <w:gridCol w:w="902"/>
        <w:gridCol w:w="789"/>
        <w:gridCol w:w="799"/>
        <w:gridCol w:w="539"/>
        <w:gridCol w:w="539"/>
        <w:gridCol w:w="541"/>
        <w:gridCol w:w="1085"/>
        <w:gridCol w:w="1085"/>
        <w:gridCol w:w="1535"/>
      </w:tblGrid>
      <w:tr>
        <w:tc>
          <w:tcPr>
            <w:tcW w:w="9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2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Class A Common Stock,</w:t>
              <w:br/>
              <w:t>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NVTS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120"/>
        <w:jc w:val="left"/>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97" w:type="dxa"/>
        <w:jc w:val="left"/>
        <w:tblInd w:w="0" w:type="dxa"/>
        <w:tblLayout w:type="fixed"/>
        <w:tblCellMar>
          <w:top w:w="28" w:type="dxa"/>
          <w:left w:w="28" w:type="dxa"/>
          <w:bottom w:w="28" w:type="dxa"/>
          <w:right w:w="28" w:type="dxa"/>
        </w:tblCellMar>
      </w:tblPr>
      <w:tblGrid>
        <w:gridCol w:w="717"/>
        <w:gridCol w:w="630"/>
        <w:gridCol w:w="632"/>
        <w:gridCol w:w="125"/>
        <w:gridCol w:w="125"/>
        <w:gridCol w:w="126"/>
        <w:gridCol w:w="789"/>
        <w:gridCol w:w="789"/>
        <w:gridCol w:w="792"/>
        <w:gridCol w:w="109"/>
        <w:gridCol w:w="109"/>
        <w:gridCol w:w="154"/>
      </w:tblGrid>
      <w:t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right"/>
      </w:pP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269,507,528 shares of Class A Common Stock and 0 shares of Class B Common Stock were outstanding at November 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center"/>
        <w:tblInd w:w="0" w:type="dxa"/>
        <w:tblLayout w:type="fixed"/>
        <w:tblCellMar>
          <w:top w:w="28" w:type="dxa"/>
          <w:left w:w="28" w:type="dxa"/>
          <w:bottom w:w="28" w:type="dxa"/>
          <w:right w:w="28" w:type="dxa"/>
        </w:tblCellMar>
      </w:tblPr>
      <w:tblGrid>
        <w:gridCol w:w="280"/>
        <w:gridCol w:w="246"/>
        <w:gridCol w:w="247"/>
        <w:gridCol w:w="2973"/>
        <w:gridCol w:w="2955"/>
        <w:gridCol w:w="2960"/>
        <w:gridCol w:w="158"/>
        <w:gridCol w:w="158"/>
        <w:gridCol w:w="228"/>
      </w:tblGrid>
      <w:t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E32E1"/>
                <w:sz w:val="20"/>
                <w:u w:val="single"/>
              </w:rPr>
            </w:pPr>
            <w:r>
              <w:rPr>
                <w:rFonts w:ascii="Times New Roman;serif" w:hAnsi="Times New Roman;serif"/>
                <w:b/>
                <w:color w:val="0E32E1"/>
                <w:sz w:val="20"/>
                <w:u w:val="single"/>
              </w:rPr>
              <w:t>Part I - Financial Information</w:t>
            </w:r>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3">
              <w:bookmarkStart w:id="1" w:name="ice3c1540687d4bfab5a1e31d70e3f7bd_4-1-1-"/>
              <w:bookmarkEnd w:id="1"/>
              <w:r>
                <w:rPr>
                  <w:rStyle w:val="InternetLink"/>
                  <w:rFonts w:ascii="Times New Roman;serif" w:hAnsi="Times New Roman;serif"/>
                  <w:b w:val="false"/>
                  <w:color w:val="0000FF"/>
                  <w:sz w:val="20"/>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3">
              <w:r>
                <w:rPr>
                  <w:rStyle w:val="InternetLink"/>
                  <w:rFonts w:ascii="Times New Roman;serif" w:hAnsi="Times New Roman;serif"/>
                  <w:b w:val="false"/>
                  <w:strike w:val="false"/>
                  <w:dstrike w:val="false"/>
                  <w:color w:val="0E32E1"/>
                  <w:sz w:val="20"/>
                  <w:u w:val="none"/>
                  <w:effect w:val="none"/>
                </w:rPr>
                <w:t>4</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16">
              <w:r>
                <w:rPr>
                  <w:rStyle w:val="InternetLink"/>
                  <w:rFonts w:ascii="Times New Roman;serif" w:hAnsi="Times New Roman;serif"/>
                  <w:b w:val="false"/>
                  <w:color w:val="000080"/>
                  <w:sz w:val="20"/>
                  <w:u w:val="single"/>
                </w:rPr>
                <w:t>Condensed Consolidated Balance Sheets as of</w:t>
              </w:r>
            </w:hyperlink>
            <w:hyperlink w:anchor="i3c1cfedc56bc4cf2b0e702331222fb8b_16">
              <w:r>
                <w:rPr>
                  <w:rStyle w:val="InternetLink"/>
                  <w:rFonts w:ascii="Times New Roman;serif" w:hAnsi="Times New Roman;serif"/>
                  <w:b w:val="false"/>
                  <w:color w:val="000080"/>
                  <w:sz w:val="20"/>
                  <w:u w:val="single"/>
                </w:rPr>
                <w:t xml:space="preserve"> September </w:t>
              </w:r>
            </w:hyperlink>
            <w:hyperlink w:anchor="i3c1cfedc56bc4cf2b0e702331222fb8b_16">
              <w:r>
                <w:rPr>
                  <w:rStyle w:val="InternetLink"/>
                  <w:rFonts w:ascii="Times New Roman;serif" w:hAnsi="Times New Roman;serif"/>
                  <w:b w:val="false"/>
                  <w:color w:val="000080"/>
                  <w:sz w:val="20"/>
                  <w:u w:val="single"/>
                </w:rPr>
                <w:t>30, 2026 and December 31,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6">
              <w:r>
                <w:rPr>
                  <w:rStyle w:val="InternetLink"/>
                  <w:rFonts w:ascii="Times New Roman;serif" w:hAnsi="Times New Roman;serif"/>
                  <w:b w:val="false"/>
                  <w:strike w:val="false"/>
                  <w:dstrike w:val="false"/>
                  <w:color w:val="0E32E1"/>
                  <w:sz w:val="20"/>
                  <w:u w:val="none"/>
                  <w:effect w:val="none"/>
                </w:rPr>
                <w:t>4</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19">
              <w:r>
                <w:rPr>
                  <w:rStyle w:val="InternetLink"/>
                  <w:rFonts w:ascii="Times New Roman;serif" w:hAnsi="Times New Roman;serif"/>
                  <w:b w:val="false"/>
                  <w:color w:val="000080"/>
                  <w:sz w:val="20"/>
                  <w:u w:val="single"/>
                </w:rPr>
                <w:t>Condensed Consolidated Statements of Operations for the Three and</w:t>
              </w:r>
            </w:hyperlink>
            <w:hyperlink w:anchor="i3c1cfedc56bc4cf2b0e702331222fb8b_19">
              <w:r>
                <w:rPr>
                  <w:rStyle w:val="InternetLink"/>
                  <w:rFonts w:ascii="Times New Roman;serif" w:hAnsi="Times New Roman;serif"/>
                  <w:b w:val="false"/>
                  <w:color w:val="000080"/>
                  <w:sz w:val="20"/>
                  <w:u w:val="single"/>
                </w:rPr>
                <w:t xml:space="preserve"> Nine</w:t>
              </w:r>
            </w:hyperlink>
            <w:hyperlink w:anchor="i3c1cfedc56bc4cf2b0e702331222fb8b_19">
              <w:r>
                <w:rPr>
                  <w:rStyle w:val="InternetLink"/>
                  <w:rFonts w:ascii="Times New Roman;serif" w:hAnsi="Times New Roman;serif"/>
                  <w:b w:val="false"/>
                  <w:color w:val="000080"/>
                  <w:sz w:val="20"/>
                  <w:u w:val="single"/>
                </w:rPr>
                <w:t xml:space="preserve"> Months Ended</w:t>
              </w:r>
            </w:hyperlink>
            <w:hyperlink w:anchor="i3c1cfedc56bc4cf2b0e702331222fb8b_19">
              <w:r>
                <w:rPr>
                  <w:rStyle w:val="InternetLink"/>
                  <w:rFonts w:ascii="Times New Roman;serif" w:hAnsi="Times New Roman;serif"/>
                  <w:b w:val="false"/>
                  <w:color w:val="000080"/>
                  <w:sz w:val="20"/>
                  <w:u w:val="single"/>
                </w:rPr>
                <w:t xml:space="preserve"> September</w:t>
              </w:r>
            </w:hyperlink>
            <w:hyperlink w:anchor="i3c1cfedc56bc4cf2b0e702331222fb8b_19">
              <w:r>
                <w:rPr>
                  <w:rStyle w:val="InternetLink"/>
                  <w:rFonts w:ascii="Times New Roman;serif" w:hAnsi="Times New Roman;serif"/>
                  <w:b w:val="false"/>
                  <w:color w:val="000080"/>
                  <w:sz w:val="20"/>
                  <w:u w:val="single"/>
                </w:rPr>
                <w:t xml:space="preserve"> 30,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9">
              <w:r>
                <w:rPr>
                  <w:rStyle w:val="InternetLink"/>
                  <w:rFonts w:ascii="Times New Roman;serif" w:hAnsi="Times New Roman;serif"/>
                  <w:b w:val="false"/>
                  <w:strike w:val="false"/>
                  <w:dstrike w:val="false"/>
                  <w:color w:val="0E32E1"/>
                  <w:sz w:val="20"/>
                  <w:u w:val="none"/>
                  <w:effect w:val="none"/>
                </w:rPr>
                <w:t>6</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25">
              <w:r>
                <w:rPr>
                  <w:rStyle w:val="InternetLink"/>
                  <w:rFonts w:ascii="Times New Roman;serif" w:hAnsi="Times New Roman;serif"/>
                  <w:b w:val="false"/>
                  <w:color w:val="000080"/>
                  <w:sz w:val="20"/>
                  <w:u w:val="single"/>
                </w:rPr>
                <w:t>Condensed Consolidated Statements of Stockholders’ Equity for</w:t>
              </w:r>
            </w:hyperlink>
            <w:hyperlink w:anchor="i3c1cfedc56bc4cf2b0e702331222fb8b_25">
              <w:r>
                <w:rPr>
                  <w:rStyle w:val="InternetLink"/>
                  <w:rFonts w:ascii="Times New Roman;serif" w:hAnsi="Times New Roman;serif"/>
                  <w:b w:val="false"/>
                  <w:color w:val="000080"/>
                  <w:sz w:val="20"/>
                  <w:u w:val="single"/>
                </w:rPr>
                <w:t xml:space="preserve"> the</w:t>
              </w:r>
            </w:hyperlink>
            <w:hyperlink w:anchor="i3c1cfedc56bc4cf2b0e702331222fb8b_25">
              <w:r>
                <w:rPr>
                  <w:rStyle w:val="InternetLink"/>
                  <w:rFonts w:ascii="Times New Roman;serif" w:hAnsi="Times New Roman;serif"/>
                  <w:b w:val="false"/>
                  <w:color w:val="000080"/>
                  <w:sz w:val="20"/>
                  <w:u w:val="single"/>
                </w:rPr>
                <w:t xml:space="preserve"> </w:t>
              </w:r>
            </w:hyperlink>
            <w:hyperlink w:anchor="i3c1cfedc56bc4cf2b0e702331222fb8b_25">
              <w:r>
                <w:rPr>
                  <w:rStyle w:val="InternetLink"/>
                  <w:rFonts w:ascii="Times New Roman;serif" w:hAnsi="Times New Roman;serif"/>
                  <w:b w:val="false"/>
                  <w:color w:val="000080"/>
                  <w:sz w:val="20"/>
                  <w:u w:val="single"/>
                </w:rPr>
                <w:t xml:space="preserve">Nine </w:t>
              </w:r>
            </w:hyperlink>
            <w:hyperlink w:anchor="i3c1cfedc56bc4cf2b0e702331222fb8b_25">
              <w:r>
                <w:rPr>
                  <w:rStyle w:val="InternetLink"/>
                  <w:rFonts w:ascii="Times New Roman;serif" w:hAnsi="Times New Roman;serif"/>
                  <w:b w:val="false"/>
                  <w:color w:val="000080"/>
                  <w:sz w:val="20"/>
                  <w:u w:val="single"/>
                </w:rPr>
                <w:t>Months Ended September 30,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25">
              <w:r>
                <w:rPr>
                  <w:rStyle w:val="InternetLink"/>
                  <w:rFonts w:ascii="Times New Roman;serif" w:hAnsi="Times New Roman;serif"/>
                  <w:b w:val="false"/>
                  <w:strike w:val="false"/>
                  <w:dstrike w:val="false"/>
                  <w:color w:val="0E32E1"/>
                  <w:sz w:val="20"/>
                  <w:u w:val="none"/>
                  <w:effect w:val="none"/>
                </w:rPr>
                <w:t>7</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28">
              <w:r>
                <w:rPr>
                  <w:rStyle w:val="InternetLink"/>
                  <w:rFonts w:ascii="Times New Roman;serif" w:hAnsi="Times New Roman;serif"/>
                  <w:b w:val="false"/>
                  <w:color w:val="000080"/>
                  <w:sz w:val="20"/>
                  <w:u w:val="single"/>
                </w:rPr>
                <w:t xml:space="preserve">Condensed Consolidated Statements of Cash Flows for the </w:t>
              </w:r>
            </w:hyperlink>
            <w:hyperlink w:anchor="i3c1cfedc56bc4cf2b0e702331222fb8b_28">
              <w:r>
                <w:rPr>
                  <w:rStyle w:val="InternetLink"/>
                  <w:rFonts w:ascii="Times New Roman;serif" w:hAnsi="Times New Roman;serif"/>
                  <w:b w:val="false"/>
                  <w:color w:val="000080"/>
                  <w:sz w:val="20"/>
                  <w:u w:val="single"/>
                </w:rPr>
                <w:t xml:space="preserve">Nine </w:t>
              </w:r>
            </w:hyperlink>
            <w:hyperlink w:anchor="i3c1cfedc56bc4cf2b0e702331222fb8b_28">
              <w:r>
                <w:rPr>
                  <w:rStyle w:val="InternetLink"/>
                  <w:rFonts w:ascii="Times New Roman;serif" w:hAnsi="Times New Roman;serif"/>
                  <w:b w:val="false"/>
                  <w:color w:val="000080"/>
                  <w:sz w:val="20"/>
                  <w:u w:val="single"/>
                </w:rPr>
                <w:t>Months Ended</w:t>
              </w:r>
            </w:hyperlink>
            <w:hyperlink w:anchor="i3c1cfedc56bc4cf2b0e702331222fb8b_28">
              <w:r>
                <w:rPr>
                  <w:rStyle w:val="InternetLink"/>
                  <w:rFonts w:ascii="Times New Roman;serif" w:hAnsi="Times New Roman;serif"/>
                  <w:b w:val="false"/>
                  <w:color w:val="000080"/>
                  <w:sz w:val="20"/>
                  <w:u w:val="single"/>
                </w:rPr>
                <w:t xml:space="preserve"> September</w:t>
              </w:r>
            </w:hyperlink>
            <w:hyperlink w:anchor="i3c1cfedc56bc4cf2b0e702331222fb8b_28">
              <w:r>
                <w:rPr>
                  <w:rStyle w:val="InternetLink"/>
                  <w:rFonts w:ascii="Times New Roman;serif" w:hAnsi="Times New Roman;serif"/>
                  <w:b w:val="false"/>
                  <w:color w:val="000080"/>
                  <w:sz w:val="20"/>
                  <w:u w:val="single"/>
                </w:rPr>
                <w:t xml:space="preserve"> 30, 2026 and 2025</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28">
              <w:r>
                <w:rPr>
                  <w:rStyle w:val="InternetLink"/>
                  <w:rFonts w:ascii="Times New Roman;serif" w:hAnsi="Times New Roman;serif"/>
                  <w:b w:val="false"/>
                  <w:strike w:val="false"/>
                  <w:dstrike w:val="false"/>
                  <w:color w:val="0E32E1"/>
                  <w:sz w:val="20"/>
                  <w:u w:val="none"/>
                  <w:effect w:val="none"/>
                </w:rPr>
                <w:t>9</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31">
              <w:r>
                <w:rPr>
                  <w:rStyle w:val="InternetLink"/>
                  <w:rFonts w:ascii="Times New Roman;serif" w:hAnsi="Times New Roman;serif"/>
                  <w:b w:val="false"/>
                  <w:color w:val="0000FF"/>
                  <w:sz w:val="20"/>
                  <w:u w:val="single"/>
                </w:rPr>
                <w:t>Condensed Notes to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31">
              <w:r>
                <w:rPr>
                  <w:rStyle w:val="InternetLink"/>
                  <w:rFonts w:ascii="Times New Roman;serif" w:hAnsi="Times New Roman;serif"/>
                  <w:b w:val="false"/>
                  <w:strike w:val="false"/>
                  <w:dstrike w:val="false"/>
                  <w:color w:val="0E32E1"/>
                  <w:sz w:val="20"/>
                  <w:u w:val="none"/>
                  <w:effect w:val="none"/>
                </w:rPr>
                <w:t>11</w:t>
              </w:r>
            </w:hyperlink>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00">
              <w:r>
                <w:rPr>
                  <w:rStyle w:val="InternetLink"/>
                  <w:rFonts w:ascii="Times New Roman;serif" w:hAnsi="Times New Roman;serif"/>
                  <w:b w:val="false"/>
                  <w:strike w:val="false"/>
                  <w:dstrike w:val="false"/>
                  <w:color w:val="0E32E1"/>
                  <w:sz w:val="20"/>
                  <w:u w:val="none"/>
                  <w:effect w:val="none"/>
                </w:rPr>
                <w:t>27</w:t>
              </w:r>
            </w:hyperlink>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124">
              <w:r>
                <w:rPr>
                  <w:rStyle w:val="InternetLink"/>
                  <w:rFonts w:ascii="Times New Roman;serif" w:hAnsi="Times New Roman;serif"/>
                  <w:b w:val="false"/>
                  <w:strike w:val="false"/>
                  <w:dstrike w:val="false"/>
                  <w:color w:val="000000"/>
                  <w:sz w:val="20"/>
                  <w:u w:val="none"/>
                  <w:effect w:val="none"/>
                </w:rPr>
                <w:t>Item 3.</w:t>
              </w:r>
            </w:hyperlink>
          </w:p>
        </w:tc>
        <w:tc>
          <w:tcPr>
            <w:tcW w:w="8888"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24">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24">
              <w:r>
                <w:rPr>
                  <w:rStyle w:val="InternetLink"/>
                  <w:rFonts w:ascii="Times New Roman;serif" w:hAnsi="Times New Roman;serif"/>
                  <w:b w:val="false"/>
                  <w:strike w:val="false"/>
                  <w:dstrike w:val="false"/>
                  <w:color w:val="0E32E1"/>
                  <w:sz w:val="20"/>
                  <w:u w:val="none"/>
                  <w:effect w:val="none"/>
                </w:rPr>
                <w:t>33</w:t>
              </w:r>
            </w:hyperlink>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8"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27">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27">
              <w:r>
                <w:rPr>
                  <w:rStyle w:val="InternetLink"/>
                  <w:rFonts w:ascii="Times New Roman;serif" w:hAnsi="Times New Roman;serif"/>
                  <w:b w:val="false"/>
                  <w:strike w:val="false"/>
                  <w:dstrike w:val="false"/>
                  <w:color w:val="0E32E1"/>
                  <w:sz w:val="20"/>
                  <w:u w:val="none"/>
                  <w:effect w:val="none"/>
                </w:rPr>
                <w:t>34</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3c1cfedc56bc4cf2b0e702331222fb8b_130">
              <w:r>
                <w:rPr>
                  <w:rStyle w:val="InternetLink"/>
                  <w:rFonts w:ascii="Times New Roman;serif" w:hAnsi="Times New Roman;serif"/>
                  <w:b/>
                  <w:color w:val="0000FF"/>
                  <w:sz w:val="20"/>
                  <w:u w:val="single"/>
                </w:rPr>
                <w:t>Part II - 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8"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33">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33">
              <w:r>
                <w:rPr>
                  <w:rStyle w:val="InternetLink"/>
                  <w:rFonts w:ascii="Times New Roman;serif" w:hAnsi="Times New Roman;serif"/>
                  <w:b w:val="false"/>
                  <w:strike w:val="false"/>
                  <w:dstrike w:val="false"/>
                  <w:color w:val="0E32E1"/>
                  <w:sz w:val="20"/>
                  <w:u w:val="none"/>
                  <w:effect w:val="none"/>
                </w:rPr>
                <w:t>35</w:t>
              </w:r>
            </w:hyperlink>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88"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36">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36">
              <w:r>
                <w:rPr>
                  <w:rStyle w:val="InternetLink"/>
                  <w:rFonts w:ascii="Times New Roman;serif" w:hAnsi="Times New Roman;serif"/>
                  <w:b w:val="false"/>
                  <w:strike w:val="false"/>
                  <w:dstrike w:val="false"/>
                  <w:color w:val="0E32E1"/>
                  <w:sz w:val="20"/>
                  <w:u w:val="none"/>
                  <w:effect w:val="none"/>
                </w:rPr>
                <w:t>35</w:t>
              </w:r>
            </w:hyperlink>
          </w:p>
        </w:tc>
      </w:tr>
      <w:t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c1cfedc56bc4cf2b0e702331222fb8b_148">
              <w:r>
                <w:rPr>
                  <w:rStyle w:val="InternetLink"/>
                  <w:rFonts w:ascii="Times New Roman;serif" w:hAnsi="Times New Roman;serif"/>
                  <w:b w:val="false"/>
                  <w:strike w:val="false"/>
                  <w:dstrike w:val="false"/>
                  <w:color w:val="000080"/>
                  <w:sz w:val="20"/>
                  <w:u w:val="single"/>
                  <w:effect w:val="none"/>
                </w:rPr>
                <w:t xml:space="preserve">Item </w:t>
              </w:r>
            </w:hyperlink>
            <w:hyperlink w:anchor="i3c1cfedc56bc4cf2b0e702331222fb8b_148">
              <w:r>
                <w:rPr>
                  <w:rStyle w:val="InternetLink"/>
                  <w:rFonts w:ascii="Times New Roman;serif" w:hAnsi="Times New Roman;serif"/>
                  <w:b w:val="false"/>
                  <w:strike w:val="false"/>
                  <w:dstrike w:val="false"/>
                  <w:color w:val="000080"/>
                  <w:sz w:val="20"/>
                  <w:u w:val="single"/>
                  <w:effect w:val="none"/>
                </w:rPr>
                <w:t>6.</w:t>
              </w:r>
            </w:hyperlink>
          </w:p>
        </w:tc>
        <w:tc>
          <w:tcPr>
            <w:tcW w:w="8888"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48">
              <w:r>
                <w:rPr>
                  <w:rStyle w:val="InternetLink"/>
                  <w:rFonts w:ascii="Times New Roman;serif" w:hAnsi="Times New Roman;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c1cfedc56bc4cf2b0e702331222fb8b_148">
              <w:r>
                <w:rPr>
                  <w:rStyle w:val="InternetLink"/>
                  <w:rFonts w:ascii="Times New Roman;serif" w:hAnsi="Times New Roman;serif"/>
                  <w:b w:val="false"/>
                  <w:strike w:val="false"/>
                  <w:dstrike w:val="false"/>
                  <w:color w:val="0E32E1"/>
                  <w:sz w:val="20"/>
                  <w:u w:val="none"/>
                  <w:effect w:val="none"/>
                </w:rPr>
                <w:t>38</w:t>
              </w:r>
            </w:hyperlink>
          </w:p>
        </w:tc>
      </w:tr>
      <w:t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61" w:type="dxa"/>
            <w:gridSpan w:val="6"/>
            <w:tcBorders/>
            <w:tcMar>
              <w:top w:w="0" w:type="dxa"/>
              <w:left w:w="0" w:type="dxa"/>
              <w:bottom w:w="0" w:type="dxa"/>
              <w:right w:w="0" w:type="dxa"/>
            </w:tcMar>
            <w:vAlign w:val="center"/>
          </w:tcPr>
          <w:p>
            <w:pPr>
              <w:pStyle w:val="TableContents"/>
              <w:bidi w:val="0"/>
              <w:spacing w:lineRule="auto" w:line="288" w:before="0" w:after="0"/>
              <w:jc w:val="left"/>
            </w:pPr>
            <w:hyperlink w:anchor="i3c1cfedc56bc4cf2b0e702331222fb8b_154">
              <w:r>
                <w:rPr>
                  <w:rStyle w:val="InternetLink"/>
                  <w:rFonts w:ascii="Times New Roman;serif" w:hAnsi="Times New Roman;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before="0" w:after="0"/>
        <w:jc w:val="left"/>
      </w:pPr>
      <w:r/>
    </w:p>
    <w:p>
      <w:pPr>
        <w:pStyle w:val="TextBody"/>
        <w:bidi w:val="0"/>
        <w:spacing w:lineRule="auto" w:line="256" w:before="0" w:after="0"/>
        <w:jc w:val="center"/>
      </w:pPr>
      <w:r>
        <w:rPr>
          <w:rFonts w:ascii="Times New Roman;serif" w:hAnsi="Times New Roman;serif"/>
          <w:b/>
          <w:color w:val="000000"/>
          <w:sz w:val="20"/>
          <w:shd w:fill="FFFFFF" w:val="clear"/>
        </w:rPr>
        <w:t>PART I</w:t>
      </w:r>
      <w:r>
        <w:rPr>
          <w:color w:val="000000"/>
        </w:rPr>
        <w:t>—</w:t>
      </w:r>
      <w:r>
        <w:rPr>
          <w:rFonts w:ascii="Times New Roman;serif" w:hAnsi="Times New Roman;serif"/>
          <w:b/>
          <w:color w:val="000000"/>
          <w:sz w:val="20"/>
        </w:rPr>
        <w:t>FINANCIAL INFORMATION</w: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45"/>
        <w:gridCol w:w="2163"/>
        <w:gridCol w:w="2176"/>
        <w:gridCol w:w="236"/>
        <w:gridCol w:w="924"/>
        <w:gridCol w:w="121"/>
        <w:gridCol w:w="109"/>
        <w:gridCol w:w="109"/>
        <w:gridCol w:w="109"/>
        <w:gridCol w:w="231"/>
        <w:gridCol w:w="908"/>
        <w:gridCol w:w="174"/>
      </w:tblGrid>
      <w:tr>
        <w:tc>
          <w:tcPr>
            <w:tcW w:w="2945"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7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shares and par value)</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$98 as of September 30, 2026 and $468 as of December 31, 2025</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575,310 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noncurrent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accrued expenses </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740,000,000 shares authorized as of September 30, 2026 and December 31, 2025, and 262,162,970 and 230,525,464 shares issued and outstanding at September 30, 2026 and December 31, 2025, respectively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10,000,000 shares authorized as of September 30, 2026 and December 31, 2025, and 0 shares issued and outstanding at both September 30, 2026 and December 31, 2025</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(501,739)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443,661 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810,059 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Pr>
          <w:t xml:space="preserve">TABLE OF </w:t>
        </w:r>
      </w:hyperlink>
      <w:hyperlink w:anchor="i3c1cfedc56bc4cf2b0e702331222fb8b_7">
        <w:r>
          <w:rPr>
            <w:rStyle w:val="InternetLink"/>
          </w:rPr>
          <w:t>CONTENTS</w:t>
        </w:r>
      </w:hyperlink>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Pr>
          <w:t xml:space="preserve">TABLE OF </w:t>
        </w:r>
      </w:hyperlink>
      <w:hyperlink w:anchor="i3c1cfedc56bc4cf2b0e702331222fb8b_7">
        <w:r>
          <w:rPr>
            <w:rStyle w:val="InternetLink"/>
          </w:rPr>
          <w:t>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725"/>
        <w:gridCol w:w="1386"/>
        <w:gridCol w:w="1395"/>
        <w:gridCol w:w="224"/>
        <w:gridCol w:w="815"/>
        <w:gridCol w:w="115"/>
        <w:gridCol w:w="115"/>
        <w:gridCol w:w="115"/>
        <w:gridCol w:w="115"/>
        <w:gridCol w:w="224"/>
        <w:gridCol w:w="815"/>
        <w:gridCol w:w="115"/>
        <w:gridCol w:w="109"/>
        <w:gridCol w:w="109"/>
        <w:gridCol w:w="109"/>
        <w:gridCol w:w="216"/>
        <w:gridCol w:w="892"/>
        <w:gridCol w:w="111"/>
        <w:gridCol w:w="111"/>
        <w:gridCol w:w="111"/>
        <w:gridCol w:w="111"/>
        <w:gridCol w:w="216"/>
        <w:gridCol w:w="784"/>
        <w:gridCol w:w="167"/>
      </w:tblGrid>
      <w:tr>
        <w:tc>
          <w:tcPr>
            <w:tcW w:w="172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income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change in fair value of earnout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(209,659)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(298,994)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gain (loss)</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(299,111)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attributable to common stockholders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 attributable to common stockholders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net loss per share attributable to common shareholders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common shares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common shares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Pr>
          <w:t xml:space="preserve">TABLE OF </w:t>
        </w:r>
      </w:hyperlink>
      <w:hyperlink w:anchor="i3c1cfedc56bc4cf2b0e702331222fb8b_7">
        <w:r>
          <w:rPr>
            <w:rStyle w:val="InternetLink"/>
          </w:rPr>
          <w:t>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11"/>
        <w:gridCol w:w="624"/>
        <w:gridCol w:w="627"/>
        <w:gridCol w:w="413"/>
        <w:gridCol w:w="413"/>
        <w:gridCol w:w="196"/>
        <w:gridCol w:w="112"/>
        <w:gridCol w:w="112"/>
        <w:gridCol w:w="112"/>
        <w:gridCol w:w="217"/>
        <w:gridCol w:w="418"/>
        <w:gridCol w:w="112"/>
        <w:gridCol w:w="109"/>
        <w:gridCol w:w="109"/>
        <w:gridCol w:w="109"/>
        <w:gridCol w:w="211"/>
        <w:gridCol w:w="976"/>
        <w:gridCol w:w="109"/>
        <w:gridCol w:w="109"/>
        <w:gridCol w:w="109"/>
        <w:gridCol w:w="109"/>
        <w:gridCol w:w="211"/>
        <w:gridCol w:w="848"/>
        <w:gridCol w:w="109"/>
        <w:gridCol w:w="109"/>
        <w:gridCol w:w="109"/>
        <w:gridCol w:w="109"/>
        <w:gridCol w:w="340"/>
        <w:gridCol w:w="654"/>
        <w:gridCol w:w="177"/>
        <w:gridCol w:w="109"/>
        <w:gridCol w:w="109"/>
        <w:gridCol w:w="109"/>
        <w:gridCol w:w="211"/>
        <w:gridCol w:w="826"/>
        <w:gridCol w:w="158"/>
      </w:tblGrid>
      <w:t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r>
      <w:tr>
        <w:tc>
          <w:tcPr>
            <w:tcW w:w="19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962" w:type="dxa"/>
            <w:gridSpan w:val="3"/>
            <w:vMerge w:val="continue"/>
            <w:tcBorders/>
            <w:tcMar>
              <w:top w:w="0" w:type="dxa"/>
              <w:left w:w="0" w:type="dxa"/>
              <w:bottom w:w="0" w:type="dxa"/>
              <w:right w:w="0" w:type="dxa"/>
            </w:tcMar>
            <w:vAlign w:val="center"/>
          </w:tcPr>
          <w:p>
            <w:pPr>
              <w:pStyle w:val="Normal"/>
              <w:bidi w:val="0"/>
              <w:jc w:val="left"/>
            </w:p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At-the-market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 for the At-the-market offering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Share activity in connection with Earnout settlement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262,163 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Pr>
          <w:t xml:space="preserve">TABLE OF </w:t>
        </w:r>
      </w:hyperlink>
      <w:hyperlink w:anchor="i3c1cfedc56bc4cf2b0e702331222fb8b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762"/>
        <w:gridCol w:w="669"/>
        <w:gridCol w:w="672"/>
        <w:gridCol w:w="413"/>
        <w:gridCol w:w="413"/>
        <w:gridCol w:w="196"/>
        <w:gridCol w:w="113"/>
        <w:gridCol w:w="113"/>
        <w:gridCol w:w="113"/>
        <w:gridCol w:w="218"/>
        <w:gridCol w:w="421"/>
        <w:gridCol w:w="113"/>
        <w:gridCol w:w="109"/>
        <w:gridCol w:w="109"/>
        <w:gridCol w:w="109"/>
        <w:gridCol w:w="211"/>
        <w:gridCol w:w="826"/>
        <w:gridCol w:w="109"/>
        <w:gridCol w:w="109"/>
        <w:gridCol w:w="109"/>
        <w:gridCol w:w="109"/>
        <w:gridCol w:w="211"/>
        <w:gridCol w:w="850"/>
        <w:gridCol w:w="109"/>
        <w:gridCol w:w="109"/>
        <w:gridCol w:w="109"/>
        <w:gridCol w:w="109"/>
        <w:gridCol w:w="340"/>
        <w:gridCol w:w="654"/>
        <w:gridCol w:w="177"/>
        <w:gridCol w:w="109"/>
        <w:gridCol w:w="109"/>
        <w:gridCol w:w="109"/>
        <w:gridCol w:w="211"/>
        <w:gridCol w:w="826"/>
        <w:gridCol w:w="157"/>
      </w:tblGrid>
      <w:t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r>
      <w:tr>
        <w:tc>
          <w:tcPr>
            <w:tcW w:w="2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103" w:type="dxa"/>
            <w:gridSpan w:val="3"/>
            <w:vMerge w:val="continue"/>
            <w:tcBorders/>
            <w:tcMar>
              <w:top w:w="0" w:type="dxa"/>
              <w:left w:w="0" w:type="dxa"/>
              <w:bottom w:w="0" w:type="dxa"/>
              <w:right w:w="0" w:type="dxa"/>
            </w:tcMar>
            <w:vAlign w:val="center"/>
          </w:tcPr>
          <w:p>
            <w:pPr>
              <w:pStyle w:val="Normal"/>
              <w:bidi w:val="0"/>
              <w:jc w:val="left"/>
            </w:p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 for the At-the-market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At-the-market offering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Costs for the issuance of common stock for the At-the-market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388,877 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option and stock award plans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employee and non-employee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3"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214,939 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370,985 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Pr>
          <w:t xml:space="preserve">TABLE OF </w:t>
        </w:r>
      </w:hyperlink>
      <w:hyperlink w:anchor="i3c1cfedc56bc4cf2b0e702331222fb8b_7">
        <w:r>
          <w:rPr>
            <w:rStyle w:val="InternetLink"/>
          </w:rPr>
          <w:t>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35" w:type="dxa"/>
        <w:jc w:val="center"/>
        <w:tblInd w:w="0" w:type="dxa"/>
        <w:tblLayout w:type="fixed"/>
        <w:tblCellMar>
          <w:top w:w="28" w:type="dxa"/>
          <w:left w:w="28" w:type="dxa"/>
          <w:bottom w:w="28" w:type="dxa"/>
          <w:right w:w="28" w:type="dxa"/>
        </w:tblCellMar>
      </w:tblPr>
      <w:tblGrid>
        <w:gridCol w:w="2639"/>
        <w:gridCol w:w="2319"/>
        <w:gridCol w:w="2331"/>
        <w:gridCol w:w="219"/>
        <w:gridCol w:w="937"/>
        <w:gridCol w:w="113"/>
        <w:gridCol w:w="113"/>
        <w:gridCol w:w="113"/>
        <w:gridCol w:w="113"/>
        <w:gridCol w:w="219"/>
        <w:gridCol w:w="859"/>
        <w:gridCol w:w="160"/>
      </w:tblGrid>
      <w:tr>
        <w:tc>
          <w:tcPr>
            <w:tcW w:w="263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investment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(gains) losses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property and equipment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change in fair value of earnout liability</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compensation and other accrued expenses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property and equipment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purchases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shares in the At-the-market offerings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for the issuance of common stock for the At-the-market offering</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equipment financing obligation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stock option exercises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earnout shares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obligations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Pr>
          <w:t xml:space="preserve">TABLE OF </w:t>
        </w:r>
      </w:hyperlink>
      <w:hyperlink w:anchor="i3c1cfedc56bc4cf2b0e702331222fb8b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733"/>
        <w:gridCol w:w="2398"/>
        <w:gridCol w:w="2408"/>
        <w:gridCol w:w="211"/>
        <w:gridCol w:w="826"/>
        <w:gridCol w:w="109"/>
        <w:gridCol w:w="109"/>
        <w:gridCol w:w="109"/>
        <w:gridCol w:w="109"/>
        <w:gridCol w:w="211"/>
        <w:gridCol w:w="826"/>
        <w:gridCol w:w="156"/>
      </w:tblGrid>
      <w:tr>
        <w:tc>
          <w:tcPr>
            <w:tcW w:w="2733"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Earnout Settlement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annual bonus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finance lease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Navitas Semiconductor Corporation (the “Company”) was founded in 2014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Philippines, China, Taiwan, and South Korea, with principal executive offices in Torrance, California.</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two authorized classes of common stock: Class A common stock, par value of $0.0001 per share (“Class A common stock”) and Class B common stock, par value of $0.0001 per share (“Class B common stock”). Both classes have identical voting, dividend, and liquidation rights. There were no outstanding Class B shares as of September 30, 2026 and December 31, 2025. The Company also has authorized 1.0 million shares of preferred stock, par value of $0.0001 per share (“preferred stock”), with no amounts outstanding as of September 30, 2026 and December 31, 2025. The preferred stock may be issued with terms, rights, and preferences determined by the board of directors at the time of issuance.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Execution of At-The-Market Sales Agreements</w:t>
      </w:r>
    </w:p>
    <w:p>
      <w:pPr>
        <w:pStyle w:val="TextBody"/>
        <w:bidi w:val="0"/>
        <w:spacing w:before="0" w:after="0"/>
        <w:jc w:val="left"/>
      </w:p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sold approximately 17.4 million shares of Class A common stock in at-the-market offerings, for gross proceeds of approximately $380.7 million and offering-related costs of approximately $7.6 million. The sales were made under two Sales Agreements: the first, entered into on May 11, 2026, terminated on May 12, 2026 upon completion of its $125.0 million offering, and the second, entered into on June 8, 2026, provides for sales of up to $500.0 million. No shares were sold under either agreement during the three months ended September 30, 2026, and approximately $244.3 million remained available under the second agreement as of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Use of Estimates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unaudited and have been prepared in accordance with U.S. Generally Accepted Accounting Principles ("U.S. GAAP") and pursuant to the rules and regulations of the U.S. Securities and Exchange Commission ("SEC"). In our opinion, they include all adjustments, consisting only of normal recurring adjustments, necessary for the fair presentation of results for the interim periods. Certain information and note disclosures normally included in financial statements prepared in accordance with U.S. GAAP have been condensed or omitted as permitted by the SEC's rules and regulations for interim reporting. These condensed consolidated financial statements should be read in conjunction with our audited financial statements and notes thereto included in our annual report on Form 10-K for the year ended December 31, 2025, filed with the SEC on February 27, 2026. </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judgments affecting the amounts reported in our condensed consolidated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may differ materially from these estimates under different assumptions or conditions. We evaluate our estimates and judgments on an ongoing basis.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describe our accounting methods and practices in more detail in our 2025 10-K. There have been no changes to the significant accounting policies, procedures, or general information described in our 2025 10-K that have had a material impact on our condensed consolidated financial statements and the accompanying notes, except as described in Note 15 - “Related Party Transactions and Equity Investments.”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Certain prior period amounts have been reclassified to conform to the current period present</w:t>
      </w:r>
      <w:r>
        <w:rPr>
          <w:rFonts w:ascii="Times New Roman;serif" w:hAnsi="Times New Roman;serif"/>
          <w:b w:val="false"/>
          <w:color w:val="000000"/>
          <w:sz w:val="20"/>
        </w:rPr>
        <w:t>ation for</w:t>
      </w:r>
      <w:r>
        <w:rPr>
          <w:color w:val="000000"/>
          <w:shd w:fill="FFFFFF" w:val="clear"/>
        </w:rPr>
        <w:t xml:space="preserve"> </w:t>
      </w:r>
      <w:r>
        <w:rPr>
          <w:rFonts w:ascii="Times New Roman;serif" w:hAnsi="Times New Roman;serif"/>
          <w:b w:val="false"/>
          <w:color w:val="000000"/>
          <w:sz w:val="20"/>
          <w:shd w:fill="FFFFFF" w:val="clear"/>
        </w:rPr>
        <w:t>the nine months ended September 30, 2026. Equipment previously included in construction in progress has been reclassified to computers and other equipment. This reclassification had no impact on net loss or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before="0" w:after="0"/>
        <w:jc w:val="left"/>
      </w:pPr>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lineRule="auto" w:line="333" w:before="120" w:after="120"/>
        <w:ind w:left="0" w:right="0" w:firstLine="540"/>
        <w:jc w:val="left"/>
      </w:pPr>
      <w:r>
        <w:rPr>
          <w:rFonts w:ascii="Times New Roman;serif" w:hAnsi="Times New Roman;serif"/>
          <w:b w:val="false"/>
          <w:color w:val="000000"/>
          <w:sz w:val="20"/>
        </w:rPr>
        <w:t xml:space="preserve">In November 2024, the Financial Accounting Standards Board (the “FASB”) issued Accounting Standards Update (“ASU”) No.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which mandates enhanced disclosure of specific costs and expenses within the notes to the financial statements. The guidance is effective for annual reporting periods beginning after December 15, 2026, and interim periods within annual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extent of the additional disclosures required.</w:t>
      </w:r>
    </w:p>
    <w:p>
      <w:pPr>
        <w:pStyle w:val="TextBody"/>
        <w:bidi w:val="0"/>
        <w:spacing w:lineRule="auto" w:line="333" w:before="120" w:after="120"/>
        <w:ind w:left="0" w:right="0" w:firstLine="540"/>
        <w:jc w:val="left"/>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xml:space="preserve">. The amendments eliminate references to software development project stages, making the guidance neutral across various software development methods. ASU 2025-06 is effective for annual reporting periods beginning after December 15, 2027, including interim periods within those fiscal years, with early adoption permitted. The Company is currently evaluating the impact of this guidance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NET LOSS PER SHARE</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Basic net loss per share is calculated by dividing net loss attributable to common stockholders by the weighted-average shares of common stock outstanding during the period. Diluted loss per share is calculated by dividing net income (loss) by the weighted-average shares of common stock and dilutive common equivalent shares outstanding during the period. The Company has no plans to declare dividends.</w:t>
      </w:r>
    </w:p>
    <w:tbl>
      <w:tblPr>
        <w:tblW w:w="10205" w:type="dxa"/>
        <w:jc w:val="left"/>
        <w:tblInd w:w="0" w:type="dxa"/>
        <w:tblLayout w:type="fixed"/>
        <w:tblCellMar>
          <w:top w:w="28" w:type="dxa"/>
          <w:left w:w="28" w:type="dxa"/>
          <w:bottom w:w="28" w:type="dxa"/>
          <w:right w:w="28" w:type="dxa"/>
        </w:tblCellMar>
      </w:tblPr>
      <w:tblGrid>
        <w:gridCol w:w="1225"/>
        <w:gridCol w:w="1072"/>
        <w:gridCol w:w="1078"/>
        <w:gridCol w:w="109"/>
        <w:gridCol w:w="109"/>
        <w:gridCol w:w="109"/>
        <w:gridCol w:w="610"/>
        <w:gridCol w:w="272"/>
        <w:gridCol w:w="223"/>
        <w:gridCol w:w="223"/>
        <w:gridCol w:w="223"/>
        <w:gridCol w:w="223"/>
        <w:gridCol w:w="610"/>
        <w:gridCol w:w="272"/>
        <w:gridCol w:w="223"/>
        <w:gridCol w:w="109"/>
        <w:gridCol w:w="109"/>
        <w:gridCol w:w="109"/>
        <w:gridCol w:w="573"/>
        <w:gridCol w:w="284"/>
        <w:gridCol w:w="218"/>
        <w:gridCol w:w="218"/>
        <w:gridCol w:w="218"/>
        <w:gridCol w:w="218"/>
        <w:gridCol w:w="573"/>
        <w:gridCol w:w="284"/>
        <w:gridCol w:w="218"/>
        <w:gridCol w:w="109"/>
        <w:gridCol w:w="109"/>
        <w:gridCol w:w="109"/>
        <w:gridCol w:w="166"/>
      </w:tblGrid>
      <w:tr>
        <w:tc>
          <w:tcPr>
            <w:tcW w:w="12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basic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199,931 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other dilutive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diluted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212,681 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243,865 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199,931 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excluded from diluted weighted-average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excluded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¹ The Company’s potentially dilutive securities, which include unexercised stock options, unvested restricted stock units, and 2022 ESPP (as defined below) shares have been excluded from the computation of diluted net loss per share as the effect would be to reduce the net loss per share for the three and nine months ended September 30, 2026 and 2025.</w:t>
      </w:r>
    </w:p>
    <w:p>
      <w:pPr>
        <w:pStyle w:val="TextBody"/>
        <w:bidi w:val="0"/>
        <w:spacing w:before="0" w:after="0"/>
        <w:jc w:val="left"/>
      </w:pPr>
      <w:r/>
    </w:p>
    <w:p>
      <w:pPr>
        <w:pStyle w:val="TextBody"/>
        <w:bidi w:val="0"/>
        <w:spacing w:lineRule="auto" w:line="328" w:before="0" w:after="0"/>
        <w:ind w:left="0" w:right="0" w:firstLine="540"/>
        <w:jc w:val="left"/>
      </w:pPr>
      <w:r>
        <w:rPr>
          <w:rFonts w:ascii="Times New Roman;serif" w:hAnsi="Times New Roman;serif"/>
          <w:b w:val="false"/>
          <w:color w:val="000000"/>
          <w:sz w:val="20"/>
          <w:shd w:fill="FFFFFF" w:val="clear"/>
        </w:rPr>
        <w:t xml:space="preserve">As of September 30, 2026, there were no earnout shares or sponsor earnout shares excluded from diluted weighted-average common shares based on performance, market or forfeiture conditions. The Company’s earnout obligations were settled 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no earnout liability remained outstanding as of September 30, 2026. See Note 11 - “Earnout Liability.” As of September 30, 2025, the Company excluded </w:t>
      </w:r>
      <w:r>
        <w:rPr>
          <w:rFonts w:ascii="Times New Roman;serif" w:hAnsi="Times New Roman;serif"/>
          <w:b w:val="false"/>
          <w:color w:val="000000"/>
          <w:sz w:val="20"/>
        </w:rPr>
        <w:t>10.0 million</w:t>
      </w:r>
      <w:r>
        <w:rPr>
          <w:color w:val="000000"/>
          <w:shd w:fill="FFFFFF" w:val="clear"/>
        </w:rPr>
        <w:t xml:space="preserve"> </w:t>
      </w:r>
      <w:r>
        <w:rPr>
          <w:rFonts w:ascii="Times New Roman;serif" w:hAnsi="Times New Roman;serif"/>
          <w:b w:val="false"/>
          <w:color w:val="000000"/>
          <w:sz w:val="20"/>
          <w:shd w:fill="FFFFFF" w:val="clear"/>
        </w:rPr>
        <w:t xml:space="preserve">earnout shares and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sponsor earnout shares subject to forfeiture from the diluted weighted-average share count because the applicable performance and/or market conditions had not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pPr>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SIGNIFICANT CUSTOMERS AND CREDIT CONCENTRATIONS</w:t>
      </w:r>
    </w:p>
    <w:p>
      <w:pPr>
        <w:pStyle w:val="TextBody"/>
        <w:bidi w:val="0"/>
        <w:spacing w:lineRule="auto" w:line="333"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Customer Concentration</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majority of the Company’s revenues are attributable to sales of the Company’s products to distributors of electronic components. These distributors sell the Company’s products to a range of end users, including original equipment manufacturers and merchant power supply manufacturers.</w:t>
      </w:r>
    </w:p>
    <w:p>
      <w:pPr>
        <w:pStyle w:val="TextBody"/>
        <w:bidi w:val="0"/>
        <w:spacing w:lineRule="auto" w:line="288" w:before="0" w:after="0"/>
        <w:ind w:left="0" w:right="0" w:firstLine="540"/>
        <w:jc w:val="left"/>
      </w:pPr>
      <w:r>
        <w:rPr>
          <w:rFonts w:ascii="Times New Roman;serif" w:hAnsi="Times New Roman;serif"/>
          <w:b w:val="false"/>
          <w:color w:val="000000"/>
          <w:sz w:val="20"/>
          <w:shd w:fill="FFFFFF" w:val="clear"/>
        </w:rPr>
        <w:t xml:space="preserve">The following customers represented 10% or more of the Company’s net revenues for the </w:t>
      </w:r>
      <w:r>
        <w:rPr>
          <w:rFonts w:ascii="Times New Roman;serif" w:hAnsi="Times New Roman;serif"/>
          <w:b w:val="false"/>
          <w:color w:val="000000"/>
          <w:sz w:val="20"/>
        </w:rPr>
        <w:t>three and nine months ended September 30, 2026</w:t>
      </w:r>
      <w:r>
        <w:rPr>
          <w:color w:val="000000"/>
          <w:shd w:fill="FFFFFF" w:val="clear"/>
        </w:rPr>
        <w:t xml:space="preserve"> </w:t>
      </w:r>
      <w:r>
        <w:rPr>
          <w:rFonts w:ascii="Times New Roman;serif" w:hAnsi="Times New Roman;serif"/>
          <w:b w:val="false"/>
          <w:color w:val="000000"/>
          <w:sz w:val="20"/>
          <w:shd w:fill="FFFFFF" w:val="clear"/>
        </w:rPr>
        <w:t>and 2025:</w:t>
      </w:r>
    </w:p>
    <w:p>
      <w:pPr>
        <w:pStyle w:val="TextBody"/>
        <w:bidi w:val="0"/>
        <w:spacing w:before="0" w:after="0"/>
        <w:jc w:val="left"/>
      </w:pPr>
      <w:r/>
    </w:p>
    <w:tbl>
      <w:tblPr>
        <w:tblW w:w="7576"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41"/>
        <w:gridCol w:w="241"/>
        <w:gridCol w:w="601"/>
        <w:gridCol w:w="241"/>
        <w:gridCol w:w="241"/>
        <w:gridCol w:w="241"/>
        <w:gridCol w:w="241"/>
        <w:gridCol w:w="241"/>
        <w:gridCol w:w="601"/>
        <w:gridCol w:w="109"/>
        <w:gridCol w:w="109"/>
        <w:gridCol w:w="109"/>
        <w:gridCol w:w="230"/>
        <w:gridCol w:w="230"/>
        <w:gridCol w:w="572"/>
        <w:gridCol w:w="230"/>
        <w:gridCol w:w="230"/>
        <w:gridCol w:w="230"/>
        <w:gridCol w:w="230"/>
        <w:gridCol w:w="230"/>
        <w:gridCol w:w="667"/>
      </w:tblGrid>
      <w:t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Revenues by Geographic Area</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Revenues for the </w:t>
      </w:r>
      <w:r>
        <w:rPr>
          <w:rFonts w:ascii="Times New Roman;serif" w:hAnsi="Times New Roman;serif"/>
          <w:b w:val="false"/>
          <w:color w:val="000000"/>
          <w:sz w:val="20"/>
        </w:rPr>
        <w:t>three and nine months ended September 30, 2026</w:t>
      </w:r>
      <w:r>
        <w:rPr>
          <w:color w:val="000000"/>
          <w:shd w:fill="FFFFFF" w:val="clear"/>
        </w:rPr>
        <w:t xml:space="preserve"> </w:t>
      </w:r>
      <w:r>
        <w:rPr>
          <w:rFonts w:ascii="Times New Roman;serif" w:hAnsi="Times New Roman;serif"/>
          <w:b w:val="false"/>
          <w:color w:val="000000"/>
          <w:sz w:val="20"/>
          <w:shd w:fill="FFFFFF" w:val="clear"/>
        </w:rPr>
        <w:t>and 2025 were attributable to the following regions:</w:t>
      </w:r>
    </w:p>
    <w:tbl>
      <w:tblPr>
        <w:tblW w:w="9504" w:type="dxa"/>
        <w:jc w:val="left"/>
        <w:tblInd w:w="0" w:type="dxa"/>
        <w:tblLayout w:type="fixed"/>
        <w:tblCellMar>
          <w:top w:w="28" w:type="dxa"/>
          <w:left w:w="28" w:type="dxa"/>
          <w:bottom w:w="28" w:type="dxa"/>
          <w:right w:w="28" w:type="dxa"/>
        </w:tblCellMar>
      </w:tblPr>
      <w:tblGrid>
        <w:gridCol w:w="434"/>
        <w:gridCol w:w="381"/>
        <w:gridCol w:w="384"/>
        <w:gridCol w:w="109"/>
        <w:gridCol w:w="109"/>
        <w:gridCol w:w="109"/>
        <w:gridCol w:w="109"/>
        <w:gridCol w:w="339"/>
        <w:gridCol w:w="339"/>
        <w:gridCol w:w="846"/>
        <w:gridCol w:w="339"/>
        <w:gridCol w:w="339"/>
        <w:gridCol w:w="339"/>
        <w:gridCol w:w="354"/>
        <w:gridCol w:w="232"/>
        <w:gridCol w:w="234"/>
        <w:gridCol w:w="271"/>
        <w:gridCol w:w="267"/>
        <w:gridCol w:w="267"/>
        <w:gridCol w:w="267"/>
        <w:gridCol w:w="267"/>
        <w:gridCol w:w="267"/>
        <w:gridCol w:w="665"/>
        <w:gridCol w:w="267"/>
        <w:gridCol w:w="267"/>
        <w:gridCol w:w="267"/>
        <w:gridCol w:w="232"/>
        <w:gridCol w:w="234"/>
        <w:gridCol w:w="271"/>
        <w:gridCol w:w="109"/>
        <w:gridCol w:w="109"/>
        <w:gridCol w:w="109"/>
        <w:gridCol w:w="109"/>
        <w:gridCol w:w="109"/>
        <w:gridCol w:w="154"/>
      </w:tblGrid>
      <w:t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gridSpan w:val="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Concentration of Credit Risk</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customers represented 10% or more of the Company’s accounts receivable (in thousands). </w:t>
      </w:r>
    </w:p>
    <w:p>
      <w:pPr>
        <w:pStyle w:val="TextBody"/>
        <w:bidi w:val="0"/>
        <w:spacing w:before="0" w:after="0"/>
        <w:jc w:val="left"/>
      </w:pPr>
      <w:r/>
    </w:p>
    <w:tbl>
      <w:tblPr>
        <w:tblW w:w="5523"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11"/>
        <w:gridCol w:w="616"/>
        <w:gridCol w:w="109"/>
        <w:gridCol w:w="109"/>
        <w:gridCol w:w="109"/>
        <w:gridCol w:w="109"/>
        <w:gridCol w:w="180"/>
        <w:gridCol w:w="181"/>
        <w:gridCol w:w="271"/>
        <w:gridCol w:w="109"/>
        <w:gridCol w:w="109"/>
        <w:gridCol w:w="109"/>
        <w:gridCol w:w="211"/>
        <w:gridCol w:w="466"/>
        <w:gridCol w:w="109"/>
        <w:gridCol w:w="109"/>
        <w:gridCol w:w="109"/>
        <w:gridCol w:w="109"/>
        <w:gridCol w:w="180"/>
        <w:gridCol w:w="181"/>
        <w:gridCol w:w="316"/>
      </w:tblGrid>
      <w:t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Distributor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Customer revenues or accounts receivable represented less than 10% of total revenues or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5. BALANCE SHEET COMPONENTS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pPr>
      <w:r/>
    </w:p>
    <w:p>
      <w:pPr>
        <w:pStyle w:val="TextBody"/>
        <w:bidi w:val="0"/>
        <w:spacing w:lineRule="auto" w:line="268" w:before="0" w:after="0"/>
        <w:ind w:left="0" w:right="0" w:firstLine="540"/>
        <w:jc w:val="left"/>
      </w:pPr>
      <w:r>
        <w:rPr>
          <w:rFonts w:ascii="Times New Roman;serif" w:hAnsi="Times New Roman;serif"/>
          <w:b w:val="false"/>
          <w:color w:val="000000"/>
          <w:sz w:val="20"/>
          <w:shd w:fill="FFFFFF" w:val="clear"/>
        </w:rPr>
        <w:t xml:space="preserve">Accounts receivable are non-interest-bearing and stated net of an allowance for expected lifetime credit losses, as detailed in our </w:t>
      </w:r>
      <w:r>
        <w:rPr>
          <w:rFonts w:ascii="Times New Roman;serif" w:hAnsi="Times New Roman;serif"/>
          <w:b w:val="false"/>
          <w:color w:val="000000"/>
          <w:sz w:val="20"/>
        </w:rPr>
        <w:t xml:space="preserve">annual report on Form 10-K for the year </w:t>
      </w:r>
      <w:r>
        <w:rPr>
          <w:rFonts w:ascii="Times New Roman;serif" w:hAnsi="Times New Roman;serif"/>
          <w:b w:val="false"/>
          <w:color w:val="000000"/>
          <w:sz w:val="20"/>
          <w:shd w:fill="FFFFFF" w:val="clear"/>
        </w:rPr>
        <w:t>ended December 31, 2025. Accounts receivable, net consist of the following (in thousands):</w:t>
      </w:r>
    </w:p>
    <w:tbl>
      <w:tblPr>
        <w:tblW w:w="5817" w:type="dxa"/>
        <w:jc w:val="left"/>
        <w:tblInd w:w="0" w:type="dxa"/>
        <w:tblLayout w:type="fixed"/>
        <w:tblCellMar>
          <w:top w:w="28" w:type="dxa"/>
          <w:left w:w="28" w:type="dxa"/>
          <w:bottom w:w="28" w:type="dxa"/>
          <w:right w:w="28" w:type="dxa"/>
        </w:tblCellMar>
      </w:tblPr>
      <w:tblGrid>
        <w:gridCol w:w="830"/>
        <w:gridCol w:w="730"/>
        <w:gridCol w:w="735"/>
        <w:gridCol w:w="362"/>
        <w:gridCol w:w="1056"/>
        <w:gridCol w:w="187"/>
        <w:gridCol w:w="109"/>
        <w:gridCol w:w="109"/>
        <w:gridCol w:w="109"/>
        <w:gridCol w:w="342"/>
        <w:gridCol w:w="999"/>
        <w:gridCol w:w="249"/>
      </w:tblGrid>
      <w:t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49"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Allowance for credit losses activity (in thousands):</w:t>
      </w:r>
    </w:p>
    <w:tbl>
      <w:tblPr>
        <w:tblW w:w="4949" w:type="dxa"/>
        <w:jc w:val="left"/>
        <w:tblInd w:w="0" w:type="dxa"/>
        <w:tblLayout w:type="fixed"/>
        <w:tblCellMar>
          <w:top w:w="28" w:type="dxa"/>
          <w:left w:w="28" w:type="dxa"/>
          <w:bottom w:w="28" w:type="dxa"/>
          <w:right w:w="28" w:type="dxa"/>
        </w:tblCellMar>
      </w:tblPr>
      <w:tblGrid>
        <w:gridCol w:w="956"/>
        <w:gridCol w:w="839"/>
        <w:gridCol w:w="845"/>
        <w:gridCol w:w="538"/>
        <w:gridCol w:w="1379"/>
        <w:gridCol w:w="392"/>
      </w:tblGrid>
      <w:t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Allowance for Credit Losses</w:t>
            </w:r>
          </w:p>
        </w:tc>
      </w:tr>
      <w:t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39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written-off</w:t>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credit losses</w:t>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40"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ind w:left="0" w:right="0" w:hanging="240"/>
              <w:jc w:val="left"/>
              <w:rPr>
                <w:sz w:val="4"/>
                <w:szCs w:val="4"/>
              </w:rPr>
            </w:pPr>
            <w:r>
              <w:rPr>
                <w:sz w:val="4"/>
                <w:szCs w:val="4"/>
              </w:rPr>
            </w:r>
          </w:p>
        </w:tc>
      </w:tr>
      <w:t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p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Inventories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consist of the following (in thousands):</w:t>
      </w:r>
    </w:p>
    <w:tbl>
      <w:tblPr>
        <w:tblW w:w="5997" w:type="dxa"/>
        <w:jc w:val="left"/>
        <w:tblInd w:w="0" w:type="dxa"/>
        <w:tblLayout w:type="fixed"/>
        <w:tblCellMar>
          <w:top w:w="28" w:type="dxa"/>
          <w:left w:w="28" w:type="dxa"/>
          <w:bottom w:w="28" w:type="dxa"/>
          <w:right w:w="28" w:type="dxa"/>
        </w:tblCellMar>
      </w:tblPr>
      <w:tblGrid>
        <w:gridCol w:w="896"/>
        <w:gridCol w:w="788"/>
        <w:gridCol w:w="791"/>
        <w:gridCol w:w="325"/>
        <w:gridCol w:w="1112"/>
        <w:gridCol w:w="168"/>
        <w:gridCol w:w="109"/>
        <w:gridCol w:w="109"/>
        <w:gridCol w:w="109"/>
        <w:gridCol w:w="309"/>
        <w:gridCol w:w="1056"/>
        <w:gridCol w:w="225"/>
      </w:tblGrid>
      <w:t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Inventories, noncurrent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current</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p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Inventories not expected to be sold or consumed within twelve months of the balance sheet date are classified as Inventories, noncurrent. As of September 30, 2026, Inventories, noncurrent consisted primarily of GaN wafers purchased as buffer inventory to support the transition of GaN wafer supply to a new foundry partner.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Property and Equipment, Net</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and equipment, net consist of the following (in thousands):</w:t>
      </w:r>
    </w:p>
    <w:tbl>
      <w:tblPr>
        <w:tblW w:w="7642" w:type="dxa"/>
        <w:jc w:val="left"/>
        <w:tblInd w:w="0" w:type="dxa"/>
        <w:tblLayout w:type="fixed"/>
        <w:tblCellMar>
          <w:top w:w="28" w:type="dxa"/>
          <w:left w:w="28" w:type="dxa"/>
          <w:bottom w:w="28" w:type="dxa"/>
          <w:right w:w="28" w:type="dxa"/>
        </w:tblCellMar>
      </w:tblPr>
      <w:tblGrid>
        <w:gridCol w:w="988"/>
        <w:gridCol w:w="868"/>
        <w:gridCol w:w="874"/>
        <w:gridCol w:w="303"/>
        <w:gridCol w:w="1145"/>
        <w:gridCol w:w="156"/>
        <w:gridCol w:w="109"/>
        <w:gridCol w:w="109"/>
        <w:gridCol w:w="109"/>
        <w:gridCol w:w="348"/>
        <w:gridCol w:w="1017"/>
        <w:gridCol w:w="180"/>
        <w:gridCol w:w="109"/>
        <w:gridCol w:w="109"/>
        <w:gridCol w:w="109"/>
        <w:gridCol w:w="324"/>
        <w:gridCol w:w="324"/>
        <w:gridCol w:w="461"/>
      </w:tblGrid>
      <w:t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Useful Life</w:t>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 — 7 years</w:t>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other equipment</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 — 5 years</w:t>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 — 6 years</w:t>
            </w:r>
          </w:p>
        </w:tc>
      </w:tr>
      <w:tr>
        <w:tc>
          <w:tcPr>
            <w:tcW w:w="273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6. FAIR VALUE OF FINANCIAL ASSETS AND LIABILITIES</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The short-term nature of the Company’s cash and cash equivalents, accounts receivable and current liabilities causes each of their carrying values to </w:t>
      </w:r>
      <w:r>
        <w:rPr>
          <w:rFonts w:ascii="Times New Roman;serif" w:hAnsi="Times New Roman;serif"/>
          <w:b w:val="false"/>
          <w:color w:val="000000"/>
          <w:sz w:val="20"/>
        </w:rPr>
        <w:t>approximate fair value for all periods presented.</w:t>
      </w:r>
    </w:p>
    <w:p>
      <w:pPr>
        <w:pStyle w:val="TextBody"/>
        <w:bidi w:val="0"/>
        <w:spacing w:lineRule="auto" w:line="333" w:before="120" w:after="120"/>
        <w:ind w:left="0" w:right="0" w:firstLine="540"/>
        <w:jc w:val="left"/>
      </w:pPr>
      <w:r>
        <w:rPr>
          <w:rFonts w:ascii="Times New Roman;serif" w:hAnsi="Times New Roman;serif"/>
          <w:b w:val="false"/>
          <w:color w:val="000000"/>
          <w:sz w:val="20"/>
        </w:rPr>
        <w:t>The following table presents the Company’s fair value hierarchy for financial instruments</w:t>
      </w:r>
      <w:r>
        <w:rPr>
          <w:color w:val="000000"/>
          <w:shd w:fill="FFFFFF" w:val="clear"/>
        </w:rPr>
        <w:t xml:space="preserve"> </w:t>
      </w:r>
      <w:r>
        <w:rPr>
          <w:rFonts w:ascii="Times New Roman;serif" w:hAnsi="Times New Roman;serif"/>
          <w:b w:val="false"/>
          <w:color w:val="000000"/>
          <w:sz w:val="20"/>
          <w:shd w:fill="FFFFFF" w:val="clear"/>
        </w:rPr>
        <w:t>(in thousands)</w:t>
      </w:r>
      <w:r>
        <w:rPr>
          <w:rFonts w:ascii="Times New Roman;serif" w:hAnsi="Times New Roman;serif"/>
          <w:b w:val="false"/>
          <w:color w:val="000000"/>
          <w:sz w:val="20"/>
        </w:rPr>
        <w:t>:</w:t>
      </w:r>
    </w:p>
    <w:tbl>
      <w:tblPr>
        <w:tblW w:w="12025" w:type="dxa"/>
        <w:jc w:val="left"/>
        <w:tblInd w:w="0" w:type="dxa"/>
        <w:tblLayout w:type="fixed"/>
        <w:tblCellMar>
          <w:top w:w="28" w:type="dxa"/>
          <w:left w:w="28" w:type="dxa"/>
          <w:bottom w:w="28" w:type="dxa"/>
          <w:right w:w="28" w:type="dxa"/>
        </w:tblCellMar>
      </w:tblPr>
      <w:tblGrid>
        <w:gridCol w:w="659"/>
        <w:gridCol w:w="315"/>
        <w:gridCol w:w="317"/>
        <w:gridCol w:w="109"/>
        <w:gridCol w:w="109"/>
        <w:gridCol w:w="109"/>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c>
          <w:tcPr>
            <w:tcW w:w="6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20" w:after="120"/>
        <w:ind w:left="0" w:right="0" w:firstLine="540"/>
        <w:jc w:val="left"/>
      </w:pPr>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Marketable equity securities are measured at fair value using the quoted market price of Magnachip’s common stock. Because the shares were not yet registered for resale at September 30, 2026, they are classified within Level 2. The preferred equity investment was measured at fair value on a nonrecurring basis in connection with the impairment assessment and classified within Level 3.</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During the third quarter of 2026, the Company identified impairment indicators related to a preferred equity investment, including the investee’s limited liquidity, continuing operating losses and cash outflows, dependence on additional financing and the failure of an anticipated financing transaction to close. The Company estimated the fair value of the investment using a probability-weighted scenario model under the income approach. Significant unobservable inputs included the probabilities assigned to potential liquidity and exit outcomes, estimated exit values, the timing of those outcomes, additional financing expected to rank senior to the Company’s investment, potential dilution and a discount rate. Based on this valuation, the Company estimated the fair value of the investment at $0.5 million and recognized a noncash impairment loss of </w:t>
      </w:r>
      <w:r>
        <w:rPr>
          <w:rFonts w:ascii="Times New Roman;serif" w:hAnsi="Times New Roman;serif"/>
          <w:b w:val="false"/>
          <w:color w:val="000000"/>
          <w:sz w:val="20"/>
        </w:rPr>
        <w:t>$7.2 million</w:t>
      </w:r>
      <w:r>
        <w:rPr>
          <w:color w:val="000000"/>
          <w:shd w:fill="FFFFFF" w:val="clear"/>
        </w:rPr>
        <w:t xml:space="preserve"> </w:t>
      </w:r>
      <w:r>
        <w:rPr>
          <w:rFonts w:ascii="Times New Roman;serif" w:hAnsi="Times New Roman;serif"/>
          <w:b w:val="false"/>
          <w:color w:val="000000"/>
          <w:sz w:val="20"/>
          <w:shd w:fill="FFFFFF" w:val="clear"/>
        </w:rPr>
        <w:t>in other income (expense), net during the three and nine months ended September 30, 2026.</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15, “Related Party Transactions and Equity Investments,” for additional information.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 GOODWILL AND INTANGIBLES</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Goodwill represents the excess of the consideration transferred over the estimated fair value of assets acquired and liabilities assumed in a business combination. </w:t>
      </w:r>
      <w:r>
        <w:rPr>
          <w:rFonts w:ascii="Times New Roman;serif" w:hAnsi="Times New Roman;serif"/>
          <w:b w:val="false"/>
          <w:color w:val="000000"/>
          <w:sz w:val="20"/>
        </w:rPr>
        <w:t>Goodwill is not amortized, but is tested for impairment annually as of September 30, or more frequently if events or changes in circumstances indicate that goodwill may be impaired, by performing a qualitative assessment on the Company’s reporting unit.</w:t>
      </w:r>
    </w:p>
    <w:p>
      <w:pPr>
        <w:pStyle w:val="TextBody"/>
        <w:bidi w:val="0"/>
        <w:spacing w:lineRule="auto" w:line="333" w:before="120" w:after="120"/>
        <w:ind w:left="0" w:right="0" w:firstLine="540"/>
        <w:jc w:val="left"/>
      </w:pPr>
      <w:r>
        <w:rPr>
          <w:rFonts w:ascii="Times New Roman;serif" w:hAnsi="Times New Roman;serif"/>
          <w:b w:val="false"/>
          <w:color w:val="000000"/>
          <w:sz w:val="20"/>
        </w:rPr>
        <w:t>As of the annual measurement date of September 30, 2026, the Company’s market capitalization remains above the carrying value of the Company’s assets. Based on its qualitative assessment, the Company determined that it is more likely than not that the fair value of its reporting unit is greater than its carrying amount, and no indicators of impairment are present as of September 30, 2026. There were no changes to goodwill during the three and nine months ended September 30, 2026</w:t>
      </w:r>
      <w:r>
        <w:rPr>
          <w:rFonts w:ascii="Times New Roman;serif" w:hAnsi="Times New Roman;serif"/>
          <w:b w:val="false"/>
          <w:color w:val="000000"/>
          <w:sz w:val="20"/>
          <w:shd w:fill="FFFFFF" w:val="clear"/>
        </w:rPr>
        <w:t>.</w:t>
      </w:r>
    </w:p>
    <w:p>
      <w:pPr>
        <w:pStyle w:val="TextBody"/>
        <w:bidi w:val="0"/>
        <w:spacing w:before="0" w:after="0"/>
        <w:jc w:val="left"/>
      </w:p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finite-lived intangible asset balances by asset class (in thousands):</w:t>
      </w:r>
    </w:p>
    <w:tbl>
      <w:tblPr>
        <w:tblW w:w="10540" w:type="dxa"/>
        <w:jc w:val="center"/>
        <w:tblInd w:w="0" w:type="dxa"/>
        <w:tblLayout w:type="fixed"/>
        <w:tblCellMar>
          <w:top w:w="28" w:type="dxa"/>
          <w:left w:w="28" w:type="dxa"/>
          <w:bottom w:w="28" w:type="dxa"/>
          <w:right w:w="28" w:type="dxa"/>
        </w:tblCellMar>
      </w:tblPr>
      <w:tblGrid>
        <w:gridCol w:w="750"/>
        <w:gridCol w:w="537"/>
        <w:gridCol w:w="274"/>
        <w:gridCol w:w="109"/>
        <w:gridCol w:w="109"/>
        <w:gridCol w:w="109"/>
        <w:gridCol w:w="211"/>
        <w:gridCol w:w="826"/>
        <w:gridCol w:w="109"/>
        <w:gridCol w:w="109"/>
        <w:gridCol w:w="109"/>
        <w:gridCol w:w="109"/>
        <w:gridCol w:w="211"/>
        <w:gridCol w:w="761"/>
        <w:gridCol w:w="109"/>
        <w:gridCol w:w="109"/>
        <w:gridCol w:w="109"/>
        <w:gridCol w:w="109"/>
        <w:gridCol w:w="211"/>
        <w:gridCol w:w="721"/>
        <w:gridCol w:w="109"/>
        <w:gridCol w:w="109"/>
        <w:gridCol w:w="109"/>
        <w:gridCol w:w="109"/>
        <w:gridCol w:w="211"/>
        <w:gridCol w:w="826"/>
        <w:gridCol w:w="109"/>
        <w:gridCol w:w="109"/>
        <w:gridCol w:w="109"/>
        <w:gridCol w:w="109"/>
        <w:gridCol w:w="211"/>
        <w:gridCol w:w="761"/>
        <w:gridCol w:w="109"/>
        <w:gridCol w:w="109"/>
        <w:gridCol w:w="109"/>
        <w:gridCol w:w="109"/>
        <w:gridCol w:w="211"/>
        <w:gridCol w:w="721"/>
        <w:gridCol w:w="109"/>
        <w:gridCol w:w="109"/>
        <w:gridCol w:w="109"/>
        <w:gridCol w:w="109"/>
        <w:gridCol w:w="154"/>
      </w:tblGrid>
      <w:tr>
        <w:tc>
          <w:tcPr>
            <w:tcW w:w="75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future amortization expense of intangible assets is estimated to be as follows (in thousands): </w:t>
      </w:r>
    </w:p>
    <w:tbl>
      <w:tblPr>
        <w:tblW w:w="3865" w:type="dxa"/>
        <w:jc w:val="center"/>
        <w:tblInd w:w="0" w:type="dxa"/>
        <w:tblLayout w:type="fixed"/>
        <w:tblCellMar>
          <w:top w:w="28" w:type="dxa"/>
          <w:left w:w="28" w:type="dxa"/>
          <w:bottom w:w="28" w:type="dxa"/>
          <w:right w:w="28" w:type="dxa"/>
        </w:tblCellMar>
      </w:tblPr>
      <w:tblGrid>
        <w:gridCol w:w="967"/>
        <w:gridCol w:w="850"/>
        <w:gridCol w:w="853"/>
        <w:gridCol w:w="109"/>
        <w:gridCol w:w="211"/>
        <w:gridCol w:w="721"/>
        <w:gridCol w:w="154"/>
      </w:tblGrid>
      <w:t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fiscal 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p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8. RESTRUCTURING</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20, 2025, the Company announced a cost-reduction plan (“2025 Restructuring Plan”) aimed at further streamlining operations and enhancing its focus on AI data centers, EV, and mobile applications. The plan included a 19% reduction in workforce, with most associated costs related to severance and stock-based compensation. No restructuring-related liabilities under the 2025 Restructuring Plan remain as of September 30, 2026. The Company incurred no restructuring costs under this plan during the three months ended September 30, 2026 and $1.5 million during the nine months ended September 30, 2025. </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announced the Navitas 2.0 Restructuring Plan (“Restructuring Plan”) to further streamline its organization and enhance operational efficiency in support of its long-term growth strategy across high-priority markets, AI data centers, energy and grid infrastructure, performance computing and industrial electrification. The plan primarily consists of a 19% targeted workforce reduction and organizational realignments, with associated costs largely related to employee severance and benefits, contract termination costs, and fixed asset impairments. These actions are intended to sharpen the Company’s focus on higher-value opportunities, strengthen its technology leadership, and improve financial discipline. As of September 30, 2026, the actions under the Restructuring Plan were substantially complete, with remaining costs expected to be recognized by the end of fiscal year 2026.</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Company recognized an additional noncash impairment charge of $2.9 million related to an epitaxial reactor associated with the Navitas 2.0 Restructuring Plan, reducing its carrying amount to zero. Restructuring expense for the three and nine months ended September 30, 2026 also includes a $0.3 million foreign currency remeasurement loss on the euro-denominated liability for the reactor. The impairment followed the cancellation of the planned equipment trade-in and management’s evaluation of updated market information, including indications of limited demand for production use and potential recovery through parts-only disposition. The charge is included in restructuring expense in the condensed consolidated statements of operations.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summary of the balance sheet activity related to the Restructuring Plan is as follows (in thousands):</w:t>
      </w:r>
    </w:p>
    <w:tbl>
      <w:tblPr>
        <w:tblW w:w="10205" w:type="dxa"/>
        <w:jc w:val="left"/>
        <w:tblInd w:w="0" w:type="dxa"/>
        <w:tblLayout w:type="fixed"/>
        <w:tblCellMar>
          <w:top w:w="28" w:type="dxa"/>
          <w:left w:w="28" w:type="dxa"/>
          <w:bottom w:w="28" w:type="dxa"/>
          <w:right w:w="28" w:type="dxa"/>
        </w:tblCellMar>
      </w:tblPr>
      <w:tblGrid>
        <w:gridCol w:w="809"/>
        <w:gridCol w:w="555"/>
        <w:gridCol w:w="558"/>
        <w:gridCol w:w="405"/>
        <w:gridCol w:w="1184"/>
        <w:gridCol w:w="209"/>
        <w:gridCol w:w="109"/>
        <w:gridCol w:w="109"/>
        <w:gridCol w:w="109"/>
        <w:gridCol w:w="225"/>
        <w:gridCol w:w="659"/>
        <w:gridCol w:w="116"/>
        <w:gridCol w:w="109"/>
        <w:gridCol w:w="109"/>
        <w:gridCol w:w="109"/>
        <w:gridCol w:w="227"/>
        <w:gridCol w:w="707"/>
        <w:gridCol w:w="117"/>
        <w:gridCol w:w="109"/>
        <w:gridCol w:w="109"/>
        <w:gridCol w:w="109"/>
        <w:gridCol w:w="271"/>
        <w:gridCol w:w="886"/>
        <w:gridCol w:w="139"/>
        <w:gridCol w:w="109"/>
        <w:gridCol w:w="109"/>
        <w:gridCol w:w="109"/>
        <w:gridCol w:w="496"/>
        <w:gridCol w:w="958"/>
        <w:gridCol w:w="376"/>
      </w:tblGrid>
      <w:tr>
        <w:tc>
          <w:tcPr>
            <w:tcW w:w="8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accrued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accrued as of September 30, 2026</w:t>
            </w:r>
          </w:p>
        </w:tc>
      </w:tr>
      <w:t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Employee Severance and Benefits</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Terminations</w:t>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Asset Impairments</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 LEASES</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The Company has entered into operating leases primarily for corporate offices, sales offices, research and development facilities, and a finance lease for equipment</w:t>
      </w:r>
      <w:r>
        <w:rPr>
          <w:rFonts w:ascii="Times New Roman;serif" w:hAnsi="Times New Roman;serif"/>
          <w:b w:val="false"/>
          <w:color w:val="000000"/>
          <w:sz w:val="20"/>
        </w:rPr>
        <w:t>.</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related to the Company’s right-of-use assets and related operating and finance lease liabilities was as follows (in thousands):</w:t>
      </w:r>
    </w:p>
    <w:tbl>
      <w:tblPr>
        <w:tblW w:w="9115" w:type="dxa"/>
        <w:jc w:val="left"/>
        <w:tblInd w:w="0" w:type="dxa"/>
        <w:tblLayout w:type="fixed"/>
        <w:tblCellMar>
          <w:top w:w="28" w:type="dxa"/>
          <w:left w:w="28" w:type="dxa"/>
          <w:bottom w:w="28" w:type="dxa"/>
          <w:right w:w="28" w:type="dxa"/>
        </w:tblCellMar>
      </w:tblPr>
      <w:tblGrid>
        <w:gridCol w:w="2244"/>
        <w:gridCol w:w="1970"/>
        <w:gridCol w:w="1981"/>
        <w:gridCol w:w="489"/>
        <w:gridCol w:w="285"/>
        <w:gridCol w:w="286"/>
        <w:gridCol w:w="252"/>
        <w:gridCol w:w="252"/>
        <w:gridCol w:w="252"/>
        <w:gridCol w:w="489"/>
        <w:gridCol w:w="255"/>
        <w:gridCol w:w="360"/>
      </w:tblGrid>
      <w:t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2025</w:t>
            </w:r>
          </w:p>
        </w:tc>
      </w:tr>
      <w:t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1,624</w:t>
            </w:r>
          </w:p>
        </w:tc>
      </w:tr>
      <w:t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bl>
    <w:p>
      <w:pPr>
        <w:pStyle w:val="TextBody"/>
        <w:bidi w:val="0"/>
        <w:spacing w:before="0" w:after="0"/>
        <w:jc w:val="left"/>
      </w:pPr>
      <w:r/>
    </w:p>
    <w:tbl>
      <w:tblPr>
        <w:tblW w:w="8891" w:type="dxa"/>
        <w:jc w:val="left"/>
        <w:tblInd w:w="0" w:type="dxa"/>
        <w:tblLayout w:type="fixed"/>
        <w:tblCellMar>
          <w:top w:w="28" w:type="dxa"/>
          <w:left w:w="28" w:type="dxa"/>
          <w:bottom w:w="28" w:type="dxa"/>
          <w:right w:w="28" w:type="dxa"/>
        </w:tblCellMar>
      </w:tblPr>
      <w:tblGrid>
        <w:gridCol w:w="2178"/>
        <w:gridCol w:w="1911"/>
        <w:gridCol w:w="1925"/>
        <w:gridCol w:w="379"/>
        <w:gridCol w:w="210"/>
        <w:gridCol w:w="211"/>
        <w:gridCol w:w="195"/>
        <w:gridCol w:w="195"/>
        <w:gridCol w:w="195"/>
        <w:gridCol w:w="379"/>
        <w:gridCol w:w="837"/>
        <w:gridCol w:w="276"/>
      </w:tblGrid>
      <w:tr>
        <w:tc>
          <w:tcPr>
            <w:tcW w:w="217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principal portion of finance lease</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6999" w:type="dxa"/>
        <w:jc w:val="left"/>
        <w:tblInd w:w="0" w:type="dxa"/>
        <w:tblLayout w:type="fixed"/>
        <w:tblCellMar>
          <w:top w:w="28" w:type="dxa"/>
          <w:left w:w="28" w:type="dxa"/>
          <w:bottom w:w="28" w:type="dxa"/>
          <w:right w:w="28" w:type="dxa"/>
        </w:tblCellMar>
      </w:tblPr>
      <w:tblGrid>
        <w:gridCol w:w="1451"/>
        <w:gridCol w:w="1274"/>
        <w:gridCol w:w="1279"/>
        <w:gridCol w:w="479"/>
        <w:gridCol w:w="479"/>
        <w:gridCol w:w="481"/>
        <w:gridCol w:w="109"/>
        <w:gridCol w:w="109"/>
        <w:gridCol w:w="109"/>
        <w:gridCol w:w="360"/>
        <w:gridCol w:w="360"/>
        <w:gridCol w:w="509"/>
      </w:tblGrid>
      <w:t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w:t>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jc w:val="left"/>
      </w:pPr>
      <w:r/>
    </w:p>
    <w:tbl>
      <w:tblPr>
        <w:tblW w:w="8631" w:type="dxa"/>
        <w:jc w:val="left"/>
        <w:tblInd w:w="0" w:type="dxa"/>
        <w:tblLayout w:type="fixed"/>
        <w:tblCellMar>
          <w:top w:w="28" w:type="dxa"/>
          <w:left w:w="28" w:type="dxa"/>
          <w:bottom w:w="28" w:type="dxa"/>
          <w:right w:w="28" w:type="dxa"/>
        </w:tblCellMar>
      </w:tblPr>
      <w:tblGrid>
        <w:gridCol w:w="929"/>
        <w:gridCol w:w="816"/>
        <w:gridCol w:w="820"/>
        <w:gridCol w:w="321"/>
        <w:gridCol w:w="710"/>
        <w:gridCol w:w="166"/>
        <w:gridCol w:w="166"/>
        <w:gridCol w:w="166"/>
        <w:gridCol w:w="166"/>
        <w:gridCol w:w="321"/>
        <w:gridCol w:w="710"/>
        <w:gridCol w:w="166"/>
        <w:gridCol w:w="109"/>
        <w:gridCol w:w="109"/>
        <w:gridCol w:w="109"/>
        <w:gridCol w:w="268"/>
        <w:gridCol w:w="782"/>
        <w:gridCol w:w="138"/>
        <w:gridCol w:w="138"/>
        <w:gridCol w:w="138"/>
        <w:gridCol w:w="138"/>
        <w:gridCol w:w="268"/>
        <w:gridCol w:w="782"/>
        <w:gridCol w:w="195"/>
      </w:tblGrid>
      <w:t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amortization</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interest expense</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operating and finance lease liabilities were as follows (in thousands):</w:t>
      </w:r>
    </w:p>
    <w:p>
      <w:pPr>
        <w:pStyle w:val="TextBody"/>
        <w:bidi w:val="0"/>
        <w:spacing w:before="0" w:after="0"/>
        <w:jc w:val="left"/>
      </w:pPr>
      <w:r/>
    </w:p>
    <w:tbl>
      <w:tblPr>
        <w:tblW w:w="6168" w:type="dxa"/>
        <w:jc w:val="left"/>
        <w:tblInd w:w="0" w:type="dxa"/>
        <w:tblLayout w:type="fixed"/>
        <w:tblCellMar>
          <w:top w:w="28" w:type="dxa"/>
          <w:left w:w="28" w:type="dxa"/>
          <w:bottom w:w="28" w:type="dxa"/>
          <w:right w:w="28" w:type="dxa"/>
        </w:tblCellMar>
      </w:tblPr>
      <w:tblGrid>
        <w:gridCol w:w="1069"/>
        <w:gridCol w:w="941"/>
        <w:gridCol w:w="944"/>
        <w:gridCol w:w="324"/>
        <w:gridCol w:w="948"/>
        <w:gridCol w:w="167"/>
        <w:gridCol w:w="109"/>
        <w:gridCol w:w="109"/>
        <w:gridCol w:w="109"/>
        <w:gridCol w:w="318"/>
        <w:gridCol w:w="703"/>
        <w:gridCol w:w="164"/>
        <w:gridCol w:w="109"/>
        <w:gridCol w:w="154"/>
      </w:tblGrid>
      <w:t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 Ending December 31,</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Finance Lease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fiscal 2026)</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STOCK-BASED COMPENSATION</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stock-based compensation expense recognized for the three and nine months ended September 30, 2026 and 2025:</w:t>
      </w:r>
    </w:p>
    <w:tbl>
      <w:tblPr>
        <w:tblW w:w="9518" w:type="dxa"/>
        <w:jc w:val="left"/>
        <w:tblInd w:w="0" w:type="dxa"/>
        <w:tblLayout w:type="fixed"/>
        <w:tblCellMar>
          <w:top w:w="28" w:type="dxa"/>
          <w:left w:w="28" w:type="dxa"/>
          <w:bottom w:w="28" w:type="dxa"/>
          <w:right w:w="28" w:type="dxa"/>
        </w:tblCellMar>
      </w:tblPr>
      <w:tblGrid>
        <w:gridCol w:w="1249"/>
        <w:gridCol w:w="1096"/>
        <w:gridCol w:w="1104"/>
        <w:gridCol w:w="298"/>
        <w:gridCol w:w="870"/>
        <w:gridCol w:w="154"/>
        <w:gridCol w:w="154"/>
        <w:gridCol w:w="154"/>
        <w:gridCol w:w="154"/>
        <w:gridCol w:w="298"/>
        <w:gridCol w:w="658"/>
        <w:gridCol w:w="154"/>
        <w:gridCol w:w="109"/>
        <w:gridCol w:w="109"/>
        <w:gridCol w:w="109"/>
        <w:gridCol w:w="256"/>
        <w:gridCol w:w="875"/>
        <w:gridCol w:w="132"/>
        <w:gridCol w:w="132"/>
        <w:gridCol w:w="132"/>
        <w:gridCol w:w="132"/>
        <w:gridCol w:w="256"/>
        <w:gridCol w:w="747"/>
        <w:gridCol w:w="186"/>
      </w:tblGrid>
      <w:t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Equity Incentive Plans </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Amended and Restated Navitas Semiconductor Limited 2020 Equity Incentive Plan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w:t>
      </w:r>
      <w:r>
        <w:rPr>
          <w:rFonts w:ascii="Times New Roman;serif" w:hAnsi="Times New Roman;serif"/>
          <w:b w:val="false"/>
          <w:color w:val="000000"/>
          <w:sz w:val="20"/>
        </w:rPr>
        <w:t xml:space="preserve">ch amount, if any, as the board of directors may determine. When the Company modifies stock-based awards, the modification may result in incremental compensation costs or a reversal of previously recorded accruals. Incremental compensation costs, or reductions in previously recognized costs, are measured in accordance with FASB Accounting Standards Codification (“ASC”) 718 and are recorded in the consolidated statements of operations over the remaining service period of the awards. As of </w:t>
      </w:r>
      <w:r>
        <w:rPr>
          <w:rFonts w:ascii="Times New Roman;serif" w:hAnsi="Times New Roman;serif"/>
          <w:b w:val="false"/>
          <w:color w:val="000000"/>
          <w:sz w:val="20"/>
          <w:shd w:fill="FFFFFF" w:val="clear"/>
        </w:rPr>
        <w:t>September 30, 2026</w:t>
      </w:r>
      <w:r>
        <w:rPr>
          <w:color w:val="000000"/>
        </w:rPr>
        <w:t xml:space="preserve"> </w:t>
      </w:r>
      <w:r>
        <w:rPr>
          <w:rFonts w:ascii="Times New Roman;serif" w:hAnsi="Times New Roman;serif"/>
          <w:b w:val="false"/>
          <w:color w:val="000000"/>
          <w:sz w:val="20"/>
        </w:rPr>
        <w:t>the Company has 1,248,859 non-sta</w:t>
      </w:r>
      <w:r>
        <w:rPr>
          <w:rFonts w:ascii="Times New Roman;serif" w:hAnsi="Times New Roman;serif"/>
          <w:b w:val="false"/>
          <w:color w:val="000000"/>
          <w:sz w:val="20"/>
          <w:shd w:fill="FFFFFF" w:val="clear"/>
        </w:rPr>
        <w:t>tutory stock options outstanding under the 2021 Plan and 88,635 stock options under the 2020 Plan.</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Options</w:t>
      </w:r>
    </w:p>
    <w:p>
      <w:pPr>
        <w:pStyle w:val="TextBody"/>
        <w:bidi w:val="0"/>
        <w:spacing w:before="0" w:after="0"/>
        <w:jc w:val="left"/>
      </w:pPr>
      <w:r/>
    </w:p>
    <w:p>
      <w:pPr>
        <w:pStyle w:val="TextBody"/>
        <w:bidi w:val="0"/>
        <w:spacing w:lineRule="auto" w:line="333" w:before="120" w:after="120"/>
        <w:ind w:left="0" w:right="0" w:firstLine="540"/>
        <w:jc w:val="left"/>
      </w:pPr>
      <w:r>
        <w:rPr>
          <w:rFonts w:ascii="Times New Roman;serif" w:hAnsi="Times New Roman;serif"/>
          <w:b w:val="false"/>
          <w:color w:val="000000"/>
          <w:sz w:val="20"/>
        </w:rPr>
        <w:t>Stock options granted under the Plans generally have a contractual term of</w:t>
      </w:r>
      <w:r>
        <w:rPr>
          <w:color w:val="000000"/>
          <w:shd w:fill="FFFFFF" w:val="clear"/>
        </w:rPr>
        <w:t xml:space="preserve"> </w:t>
      </w:r>
      <w:r>
        <w:rPr>
          <w:rFonts w:ascii="Times New Roman;serif" w:hAnsi="Times New Roman;serif"/>
          <w:b w:val="false"/>
          <w:color w:val="000000"/>
          <w:sz w:val="20"/>
          <w:shd w:fill="FFFFFF" w:val="clear"/>
        </w:rPr>
        <w:t>ten years</w:t>
      </w:r>
      <w:r>
        <w:rPr>
          <w:color w:val="000000"/>
        </w:rPr>
        <w:t xml:space="preserve"> </w:t>
      </w:r>
      <w:r>
        <w:rPr>
          <w:rFonts w:ascii="Times New Roman;serif" w:hAnsi="Times New Roman;serif"/>
          <w:b w:val="false"/>
          <w:color w:val="000000"/>
          <w:sz w:val="20"/>
        </w:rPr>
        <w:t xml:space="preserve">and vest over four years, with 25% vesting on the first anniversary of the vesting commencement date and the remaining 75% vesting quarterly thereafter. Compensation expense for service-based awards is recognized over the requisite service period. For awards with performance conditions, compensation expense is recognized when achievement of the applicable performance condition is considered probable. The fair value of </w:t>
      </w:r>
      <w:r>
        <w:rPr>
          <w:rFonts w:ascii="Times New Roman;serif" w:hAnsi="Times New Roman;serif"/>
          <w:b w:val="false"/>
          <w:color w:val="000000"/>
          <w:sz w:val="20"/>
          <w:shd w:fill="FFFFFF" w:val="clear"/>
        </w:rPr>
        <w:t>stock</w:t>
      </w:r>
      <w:r>
        <w:rPr>
          <w:color w:val="000000"/>
        </w:rPr>
        <w:t xml:space="preserve"> </w:t>
      </w:r>
      <w:r>
        <w:rPr>
          <w:rFonts w:ascii="Times New Roman;serif" w:hAnsi="Times New Roman;serif"/>
          <w:b w:val="false"/>
          <w:color w:val="000000"/>
          <w:sz w:val="20"/>
        </w:rPr>
        <w:t>options, including incentive stock options and non-statutory stock options, is estimated on the grant date using the Black-Scholes option pricing model.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left"/>
      </w:pPr>
      <w:r>
        <w:rPr>
          <w:rFonts w:ascii="Times New Roman;serif" w:hAnsi="Times New Roman;serif"/>
          <w:b w:val="false"/>
          <w:color w:val="000000"/>
          <w:sz w:val="20"/>
        </w:rPr>
        <w:t>A summary of stock options</w:t>
      </w:r>
      <w:r>
        <w:rPr>
          <w:color w:val="000000"/>
          <w:shd w:fill="FFFFFF" w:val="clear"/>
        </w:rPr>
        <w:t xml:space="preserve"> </w:t>
      </w:r>
      <w:r>
        <w:rPr>
          <w:rFonts w:ascii="Times New Roman;serif" w:hAnsi="Times New Roman;serif"/>
          <w:b w:val="false"/>
          <w:color w:val="000000"/>
          <w:sz w:val="20"/>
          <w:shd w:fill="FFFFFF" w:val="clear"/>
        </w:rPr>
        <w:t>outstanding, and activity during the three and nine months then ended, is presented below:</w:t>
      </w:r>
    </w:p>
    <w:tbl>
      <w:tblPr>
        <w:tblW w:w="8259" w:type="dxa"/>
        <w:jc w:val="left"/>
        <w:tblInd w:w="0" w:type="dxa"/>
        <w:tblLayout w:type="fixed"/>
        <w:tblCellMar>
          <w:top w:w="28" w:type="dxa"/>
          <w:left w:w="28" w:type="dxa"/>
          <w:bottom w:w="28" w:type="dxa"/>
          <w:right w:w="28" w:type="dxa"/>
        </w:tblCellMar>
      </w:tblPr>
      <w:tblGrid>
        <w:gridCol w:w="1402"/>
        <w:gridCol w:w="1228"/>
        <w:gridCol w:w="1240"/>
        <w:gridCol w:w="419"/>
        <w:gridCol w:w="419"/>
        <w:gridCol w:w="421"/>
        <w:gridCol w:w="109"/>
        <w:gridCol w:w="109"/>
        <w:gridCol w:w="109"/>
        <w:gridCol w:w="228"/>
        <w:gridCol w:w="554"/>
        <w:gridCol w:w="119"/>
        <w:gridCol w:w="109"/>
        <w:gridCol w:w="109"/>
        <w:gridCol w:w="109"/>
        <w:gridCol w:w="461"/>
        <w:gridCol w:w="461"/>
        <w:gridCol w:w="653"/>
      </w:tblGrid>
      <w:tr>
        <w:tc>
          <w:tcPr>
            <w:tcW w:w="140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Weighted-Average</w:t>
              <w:br/>
              <w:t>Remaining</w:t>
              <w:br/>
              <w:t>Contractual Term</w:t>
              <w:br/>
              <w:t>(In years)</w:t>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38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September 30, 2026</w:t>
            </w:r>
          </w:p>
        </w:tc>
        <w:tc>
          <w:tcPr>
            <w:tcW w:w="8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c>
          <w:tcPr>
            <w:tcW w:w="38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p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Restricted Stock Units</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The Company regularly grants restricted stock units (“RSUs”) to employees as a component of their compensation. A summary of RSUs outstanding as of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and activity during the nine months then ended, is presented below:</w:t>
      </w:r>
    </w:p>
    <w:tbl>
      <w:tblPr>
        <w:tblW w:w="8709" w:type="dxa"/>
        <w:jc w:val="left"/>
        <w:tblInd w:w="0" w:type="dxa"/>
        <w:tblLayout w:type="fixed"/>
        <w:tblCellMar>
          <w:top w:w="28" w:type="dxa"/>
          <w:left w:w="28" w:type="dxa"/>
          <w:bottom w:w="28" w:type="dxa"/>
          <w:right w:w="28" w:type="dxa"/>
        </w:tblCellMar>
      </w:tblPr>
      <w:tblGrid>
        <w:gridCol w:w="1079"/>
        <w:gridCol w:w="950"/>
        <w:gridCol w:w="955"/>
        <w:gridCol w:w="419"/>
        <w:gridCol w:w="419"/>
        <w:gridCol w:w="421"/>
        <w:gridCol w:w="109"/>
        <w:gridCol w:w="109"/>
        <w:gridCol w:w="109"/>
        <w:gridCol w:w="994"/>
        <w:gridCol w:w="2414"/>
        <w:gridCol w:w="731"/>
      </w:tblGrid>
      <w:t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 Awards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0"/>
              </w:rPr>
              <w:t>Granted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r>
              <w:rPr>
                <w:rFonts w:ascii="Times New Roman;serif" w:hAnsi="Times New Roman;serif"/>
                <w:b w:val="false"/>
                <w:color w:val="000000"/>
                <w:sz w:val="20"/>
              </w:rPr>
              <w:t>Forfeited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731"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p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unrecognized compensation cost related to unvested RSU awards expected to be recognized totaled $49.5 million. The weighted-average period over which this remaining compensation cost is expected to be recognized is 2.8 years. As of September 30, 2026, unrecognized compensation cost related to unvested stock options totaled $7.7 million, which is expected to be recognized over a weighted-average period of 1.9 years.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left"/>
      </w:pPr>
      <w:r>
        <w:rPr>
          <w:rFonts w:ascii="Times New Roman;serif" w:hAnsi="Times New Roman;serif"/>
          <w:b w:val="false"/>
          <w:color w:val="000000"/>
          <w:sz w:val="20"/>
        </w:rPr>
        <w:t>The Company implemented a yearly stock-based bonus plan in 2021 and plans to settle accrued bonus liabilities related to fiscal year 2026 (included in “Accrued compensation expenses” on the c</w:t>
      </w:r>
      <w:r>
        <w:rPr>
          <w:rFonts w:ascii="Times New Roman;serif" w:hAnsi="Times New Roman;serif"/>
          <w:b w:val="false"/>
          <w:color w:val="000000"/>
          <w:sz w:val="20"/>
          <w:shd w:fill="FFFFFF" w:val="clear"/>
        </w:rPr>
        <w:t>ondensed c</w:t>
      </w:r>
      <w:r>
        <w:rPr>
          <w:rFonts w:ascii="Times New Roman;serif" w:hAnsi="Times New Roman;serif"/>
          <w:b w:val="false"/>
          <w:color w:val="000000"/>
          <w:sz w:val="20"/>
        </w:rPr>
        <w:t>onsolidated balance sheets), by issuing a variable number of fully-vested restricted stock units to its employees in 2027. As of September 30, 2026, the Company accrued $5.6 million for its 2026 annual bonus, which is expected to be settled in the first quarter of 2027 through the issuance of shares. The actual number of shares will be based on the share price at the date of settlement.</w:t>
      </w:r>
    </w:p>
    <w:p>
      <w:pPr>
        <w:pStyle w:val="TextBody"/>
        <w:bidi w:val="0"/>
        <w:spacing w:before="120" w:after="120"/>
        <w:ind w:left="0" w:right="0" w:firstLine="54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2022 Employee Stock Purchase Plan</w:t>
      </w:r>
    </w:p>
    <w:p>
      <w:pPr>
        <w:pStyle w:val="TextBody"/>
        <w:bidi w:val="0"/>
        <w:spacing w:lineRule="auto" w:line="333" w:before="120" w:after="120"/>
        <w:ind w:left="0" w:right="0" w:firstLine="540"/>
        <w:jc w:val="left"/>
      </w:pPr>
      <w:r>
        <w:rPr>
          <w:rFonts w:ascii="Times New Roman;serif" w:hAnsi="Times New Roman;serif"/>
          <w:b w:val="false"/>
          <w:color w:val="000000"/>
          <w:sz w:val="20"/>
        </w:rPr>
        <w:t>Under the Company’s 2022 Employee Stock Purchase Plan (the “2022 ESPP”), eligible employees are granted the right to purchase shares of common stock at the lower of 85% of the fair value at the time of offering or 85% of the fair value at the time of purchase, generally over a six-month period. For the three and nine months ended September 30, 2026, employees who elected to participate in the 2022 ESPP purchased 79,843 and 248,206 shares of common stock under the 2022 ESPP, resulting in cash proceeds to the Company of $0.6 million and $1.4 million. The purchase prices were $4.71 and $7.62 in March 2026 and September 2026, respectively, representing a 15% discount to the lower of the fair market value at the beginning or end of the applicable offering period. For the three and nine months ended September 30, 2025, employees who elected to participate in the 2022 ESPP purchased 297,674</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698,105 shares of common stock under the 2022 ESPP, resulting in cash proceeds to the Company of $0.7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$1.5 million. The purchase price was $2.07 and $2.24, representing a 15% discount to the fair market value in March 2025 and September 2025, respectively. As of September 30, 2026, the Company had 994,261 remaining authorized shares available for purchase. During the three and nine months ended September 30, 2026 the Company recognized $0.2 million and $0.6 million of stock-based compensation expense for the 2022 ESPP, respectively.</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EARNOUT LIABILITY</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former stockholders of Legacy Navitas (as defined below) and certain other persons were entitled to receive an aggregate of up to 10.0 million "earnout shares" of the Company's Class A common stock upon the achievement of certain earnout milestones as specifically described in the Business Combination Agreement and Plan of Reorganization (the “Business Combination Agreement”), dated as of May 6, 2021, by and among the Company’s predecessor entity (then named Live Oak Acquisition Corp. II), Live Oak Merger Sub Inc. and Navitas Semiconductor Limited, including as domesticated in the State of Delaware as Navitas Semiconductor Ireland, LLC (“Legacy Navitas”). The earnout milestones represented three independent criteria, each of which entitled the eligible stockholders to up to approximately 3.3 million aggregate earnout shares upon achievement of the applicable milestone, respectively. For additional information regarding the earnout arrangement and the earnout milestones, see Note 11, "Earnout Liability," to the consolidated financial statements included in the Company's annual report on Form 10-K for the year ended December 31, 2025.</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earnout obligation was primarily liability-classified. The earnout liability was initially recognized at fair value at the closing of the series of related transactions pursuant to which the predecessor entity of the Company acquired all of the equity interests of Legacy Navitas (the “Business Combination”) in October 2021 and was remeasured at fair value at the end of each subsequent reporting period, with changes in fair value recorded in other income (expense), net, in the condensed consolidated statements of operations. A portion of the earnout shares associated with holders subject to continuing service requirements was equity-classified and accounted for as stock-based compensation (see Note 10, "Stock-based Compensation," to the consolidated financial statements included in the Company's annual report on Form 10-K for the year ended December 31, 2025).</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All three earnout triggering events were achieved prior to the start of the quarter. The Company remeasured the earnout liability through each applicable trigger date and recognized the resulting changes in fair value in other income (expense), net. The change in fair value of the earnout liability was recorded as a loss of approximately $211.0 million for the nine months ended September 30, 2026. There was no change in fair value during the three months ended September 30,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earnout obligations were settled primarily through the issuance of an aggregate of 9.8 million shares of Class A common stock across Triggering Event I, Triggering Event II, and Triggering Event III. As of June 30, 2026, all earnout obligations had been settled and no earnout liability remained outstanding.</w:t>
      </w:r>
    </w:p>
    <w:tbl>
      <w:tblPr>
        <w:tblW w:w="6809" w:type="dxa"/>
        <w:jc w:val="left"/>
        <w:tblInd w:w="0" w:type="dxa"/>
        <w:tblLayout w:type="fixed"/>
        <w:tblCellMar>
          <w:top w:w="28" w:type="dxa"/>
          <w:left w:w="28" w:type="dxa"/>
          <w:bottom w:w="28" w:type="dxa"/>
          <w:right w:w="28" w:type="dxa"/>
        </w:tblCellMar>
      </w:tblPr>
      <w:tblGrid>
        <w:gridCol w:w="1287"/>
        <w:gridCol w:w="1130"/>
        <w:gridCol w:w="1138"/>
        <w:gridCol w:w="632"/>
        <w:gridCol w:w="2161"/>
        <w:gridCol w:w="461"/>
      </w:tblGrid>
      <w:t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as of December 31, 2025</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2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earnout liability</w:t>
            </w:r>
          </w:p>
        </w:tc>
        <w:tc>
          <w:tcPr>
            <w:tcW w:w="2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(233,613)</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as of September 30, 2026</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Sponsor Earnout Shares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May 18, 2026, the Company entered into a Settlement, Release and Amendment Agreement with Live Oak Sponsor Partners II, LLC (“Live Oak Sponsor”) to resolve disputes related to the calculation and vesting of certain sponsor earnout shares issued under the Sponsor Letter Agreement entered into in 2021 in connection with the Business Combination.</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agreement, the Company released approximately 0.7 million sponsor earnout shares from vesting, forfeiture and transfer restrictions, approximately 0.4 million sponsor earnout shares were acknowledged as previously earned, and approximately 0.1 million sponsor earnout shares were forfeited by Live Oak Sponsor and cancelled. The sponsor earnout shares were issued at the time of the Business Combination and were subject to vesting restrictions based on certain triggering events described in the Sponsor Letter Agreement. </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sponsor earnout shares subject to the settlement were issued under the Sponsor Letter Agreement and are separate from the Business Combination earnout arrangement described above. The Company accounted for the sponsor earnout share settlement within stockholders’ equity, with no gain, loss, or other impact on the condensed consolidated statements of operations.</w:t>
      </w:r>
    </w:p>
    <w:p>
      <w:pPr>
        <w:pStyle w:val="TextBody"/>
        <w:bidi w:val="0"/>
        <w:spacing w:before="120" w:after="120"/>
        <w:ind w:left="0" w:right="0" w:firstLine="54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12. PROVISION FOR INCOME TAXES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income tax provision for interim periods using an estimate of the Company’s annual effective tax rate, adjusted for discrete items arising during the quarter. The Company’s effective tax rates for the three and nine months ended September 30, 2026 were 0.06% and (0.04)%, respectively. The Company’s effective tax rates for the three and nine months ended September 30, 2025 were 0.10% and (0.13)%, respectively.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loss before provision for income taxes in multiple jurisdictions, the tax effects of the Company’s stock-based compensation, and the effects of its foreign entities.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no unrecognized tax benefits, and no related interest or penalties were recognized, during the three and nine months ended September 30, 2026 and 2025.</w:t>
      </w:r>
    </w:p>
    <w:p>
      <w:pPr>
        <w:pStyle w:val="TextBody"/>
        <w:bidi w:val="0"/>
        <w:spacing w:before="120" w:after="120"/>
        <w:ind w:left="0" w:right="0" w:firstLine="54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68" w:before="0" w:after="0"/>
        <w:ind w:left="0" w:right="0" w:firstLine="540"/>
        <w:jc w:val="left"/>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2026</w:t>
      </w:r>
      <w:r>
        <w:rPr>
          <w:rFonts w:ascii="Times New Roman;serif" w:hAnsi="Times New Roman;serif"/>
          <w:b w:val="false"/>
          <w:color w:val="000000"/>
          <w:sz w:val="20"/>
        </w:rPr>
        <w:t>, the Company operates in a single operating and reportable segment. The Company’s chief operating decision maker is the Chief Executive Officer. The chief operating decision maker assesses performance for the single segment and decides how to allocate resources based on the factors set forth below. The following table sets forth the Company’s net revenue, cost of revenue (exclusive of amortization of intangibles), total operating expenses (inclusive of amortization of intangibles), other income (expense), income tax provision, equity method investment gain (loss), and net loss by its single operating and reportable segment:</w:t>
      </w:r>
    </w:p>
    <w:tbl>
      <w:tblPr>
        <w:tblW w:w="10205" w:type="dxa"/>
        <w:jc w:val="left"/>
        <w:tblInd w:w="0" w:type="dxa"/>
        <w:tblLayout w:type="fixed"/>
        <w:tblCellMar>
          <w:top w:w="28" w:type="dxa"/>
          <w:left w:w="28" w:type="dxa"/>
          <w:bottom w:w="28" w:type="dxa"/>
          <w:right w:w="28" w:type="dxa"/>
        </w:tblCellMar>
      </w:tblPr>
      <w:tblGrid>
        <w:gridCol w:w="1567"/>
        <w:gridCol w:w="1379"/>
        <w:gridCol w:w="1386"/>
        <w:gridCol w:w="230"/>
        <w:gridCol w:w="855"/>
        <w:gridCol w:w="119"/>
        <w:gridCol w:w="119"/>
        <w:gridCol w:w="119"/>
        <w:gridCol w:w="119"/>
        <w:gridCol w:w="230"/>
        <w:gridCol w:w="855"/>
        <w:gridCol w:w="119"/>
        <w:gridCol w:w="109"/>
        <w:gridCol w:w="109"/>
        <w:gridCol w:w="109"/>
        <w:gridCol w:w="218"/>
        <w:gridCol w:w="918"/>
        <w:gridCol w:w="112"/>
        <w:gridCol w:w="112"/>
        <w:gridCol w:w="112"/>
        <w:gridCol w:w="112"/>
        <w:gridCol w:w="218"/>
        <w:gridCol w:w="809"/>
        <w:gridCol w:w="170"/>
      </w:tblGrid>
      <w:t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amortization of intangibles)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(inclusive of amortization of intangibles)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gain (loss)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(299,111)</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(85,138)</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14. COMMITMENTS AND CONTINGENCIES</w:t>
      </w:r>
    </w:p>
    <w:p>
      <w:pPr>
        <w:pStyle w:val="TextBody"/>
        <w:bidi w:val="0"/>
        <w:spacing w:lineRule="auto" w:line="333"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Purchase Obligations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September 30, 2026, the Company had non-cancellable contractual agreements that were due beyond one year related to the Company’s lease obligations, see Note 9 - “Leases”. </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In December 2024, the Company entered into an agreement with a vendor for the purchase of equipment wherein the Company will make quarterly installment payment</w:t>
      </w:r>
      <w:r>
        <w:rPr>
          <w:rFonts w:ascii="Times New Roman;serif" w:hAnsi="Times New Roman;serif"/>
          <w:b w:val="false"/>
          <w:color w:val="000000"/>
          <w:sz w:val="20"/>
        </w:rPr>
        <w:t xml:space="preserve">s of $0.9 million during 2026. As of </w:t>
      </w:r>
      <w:r>
        <w:rPr>
          <w:rFonts w:ascii="Times New Roman;serif" w:hAnsi="Times New Roman;serif"/>
          <w:b w:val="false"/>
          <w:color w:val="000000"/>
          <w:sz w:val="20"/>
          <w:shd w:fill="FFFFFF" w:val="clear"/>
        </w:rPr>
        <w:t>September 30, 2026</w:t>
      </w:r>
      <w:r>
        <w:rPr>
          <w:color w:val="000000"/>
        </w:rPr>
        <w:t xml:space="preserve"> </w:t>
      </w:r>
      <w:r>
        <w:rPr>
          <w:rFonts w:ascii="Times New Roman;serif" w:hAnsi="Times New Roman;serif"/>
          <w:b w:val="false"/>
          <w:color w:val="000000"/>
          <w:sz w:val="20"/>
        </w:rPr>
        <w:t>and December 31, 2025, $0.9 million and $</w:t>
      </w:r>
      <w:r>
        <w:rPr>
          <w:rFonts w:ascii="Times New Roman;serif" w:hAnsi="Times New Roman;serif"/>
          <w:b w:val="false"/>
          <w:color w:val="000000"/>
          <w:sz w:val="20"/>
          <w:shd w:fill="FFFFFF" w:val="clear"/>
        </w:rPr>
        <w:t>3.2</w:t>
      </w:r>
      <w:r>
        <w:rPr>
          <w:color w:val="000000"/>
        </w:rPr>
        <w:t> </w:t>
      </w:r>
      <w:r>
        <w:rPr>
          <w:rFonts w:ascii="Times New Roman;serif" w:hAnsi="Times New Roman;serif"/>
          <w:b w:val="false"/>
          <w:color w:val="000000"/>
          <w:sz w:val="20"/>
        </w:rPr>
        <w:t xml:space="preserve">million were </w:t>
      </w:r>
      <w:r>
        <w:rPr>
          <w:rFonts w:ascii="Times New Roman;serif" w:hAnsi="Times New Roman;serif"/>
          <w:b w:val="false"/>
          <w:color w:val="000000"/>
          <w:sz w:val="20"/>
          <w:shd w:fill="FFFFFF" w:val="clear"/>
        </w:rPr>
        <w:t xml:space="preserve">recorded within accounts payable and other accrued expenses, respectively. </w:t>
      </w:r>
    </w:p>
    <w:p>
      <w:pPr>
        <w:pStyle w:val="TextBody"/>
        <w:bidi w:val="0"/>
        <w:spacing w:before="120" w:after="120"/>
        <w:jc w:val="both"/>
      </w:pPr>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Legal Proceedings and Contingencies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the Company may become involved in lawsuits, or end customers, distributors, suppliers or other third parties may make claims against the Company. The Company records a provision when it is both probable that a liability has been incurred and the amount of the loss can be reasonably estimated. Except as described below, the Company is not currently subject to any pending actions or regulatory proceedings that either individually or in the aggregate are expected to have a material impact on its condensed consolidated financial statements.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or about July 7, 2026, Wolfspeed filed a patent infringement lawsuit in the United States District Court for the District of Delaware against the Company and several of its affiliates. The lawsuit alleges that certain Navitas GaN and SiC products infringe multiple Wolfspeed patents, including U.S. Patent Nos. 8,169,005, 10,998,418, 10,886,396, 10,749,443, and 11,888,392 and seeks monetary damages, injunctive relief and other relief. The products against which Wolfspeed is asserting one or more of its patents include the Company’s GaNFast® products (e.g., models NV6115 and NV6512C), GaNSlim™ products, GaNSafe® products, and GaN field-effect transistor (“FET”) products, as well as its GeneSiC™ Metal Oxide Semiconductor Field Effect Transistor (“MOSFET”) products and SiCPAK™ Module products. The Company will vigorously defend itself against this lawsuit, but patent litigation is costly and outcomes are uncertain. An adverse result could have a material adverse effect on the Company’s business and even if the Company prevails in the litigation, doing so may be costly and time consuming and may divert management’s attention from its business.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Company has not recorded a liability for this matter. Given the preliminary stage of the proceeding, the Company is unable to estimate the reasonably possible loss or range of loss, if any.</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or about July 22, 2026, Renesas Electronics Corporation and Renesas Electronics America Inc. (together, “Renesas”) filed a lawsuit against the Company and two of the Company’s employees who are former employees of Renesas, including the Company’s chief executive officer, alleging misappropriation of trade secrets, breach of contract and other claims. The litigation was filed in the United States District Court for the Northern District of California. On or about September 23, 2026, Renesas filed an amended complaint that added a third employee who is a former employee of Renesas as a defendant and asserted additional similar claims. The Company is evaluating this complaint and intends to vigorously defend itself against these allegations, but a negative result could have a material adverse impact on the Company’s business. The Company has not recorded a liability for this matter. Given the preliminary stage of the proceeding, the Company is unable to estimate reasonably the possible loss or range of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RELATED PARTY TRANSACTIONS AND EQUITY INVESTMENTS</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2022, 2023 and 2024, the Company invested an aggregate of $5.0 million in preferred interests of an entity under common control with the Company’s joint venture partner. In October 2024, the Company began accounting for this investment under the equity method in accordance with FASB ASC 323 and recorded the Company’s share of losses of approximately $0.3 million and $0.8 million during the three and nine months ended September 30, 2025, respectively, which were included in “Equity method investment gain (loss)” in the condensed consolidated statements of operations. Effective January 1, 2026, the Company determined this investee is no longer a related party and it no longer had significant influence over the investee due to the loss of board representation and, accordingly, discontinued application of the equity method and now accounts for the investment under FASB ASC 321, Investments—Equity Securities at cost, less impairment, adjusted for observable price changes. During the three and nine months ended September 30, 2026, the Company recognized an impairment loss of $7.2 million included in other income (expense), net, reducing its carrying amount to its estimated fair value of $0.5 million (a nonrecurring Level 3 measurement; see Note 6). No upward or downward adjustments resulting from observable price changes were recognized during the three and nine months ended September 30, 2026. During the nine months ended September 30, 2026 the Company invested $1.4 million in preferred equity interests of AlpSemi SAS (“AlpSemi”) and $5.0 million in common stock of Magnachip Semiconductor Corporation (“Magnachip”). The preferred equity investments are accounted for under FASB ASC 321, using the measurement alternative, while the Magnachip investment is measured at fair value through earnings. As of September 30, 2026, the aggregate carrying value of the Company’s equity investments was $7.5 million, comprising $2.0 million measured using the measurement alternative and $5.5 million of Magnachip common stock measured at fair value through earnings. These investments are included in Other assets in the condensed consolidated balance sheets.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Partnership and Share Purchase Agreement with Magnachip</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or about July 23, 2026, the Company announced that it had entered into a strategic partnership with Magnachip to license the Company's GeneSiC™ Trench-Assisted Planar™ ("TAP") technology to enter the high-voltage and ultra-high-voltage SiC markets. The agreement also contemplates making the Company's SiC supply chain and materials ecosystem available to Magnachip and porting, qualifying and internalizing this technology at Magnachip's fab in South Korea in the future on commercial terms to be finalized. The financial aspect of this transaction is not readily determinable as of the date hereof, but exceeds $120,000.</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NAVITAS SEMICONDUCTOR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18, 2026, the Company entered into a share purchase agreement with Magnachip under which it purchased 1,461,988 shares of Magnachip common stock for $5.0 million. The investment is measured at fair value through earnings and is included in noncurrent other assets. At September 30, 2026, its fair value was $5.5 million. During the three and nine months ended September 30, 2026, the Company recognized a net unrealized gain of $0.5 million in other income (expense), net, attributable to the investment held at period end. The shares were subject to resale restrictions as of September 30, 2026. The registration statement covering their resale became effective on October 13, 2026. See Note 6, “Fair Value of Financial Assets and Liabilities.”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transactions are related party transactions because the Company's director, Mr. Cristiano Amoruso, is also a member of Magnachip's board of directors and has an indirect financial interest in both companies. Mr. Amoruso was not involved in the negotiation of these transactions, and the Company's audit committee has reviewed and approved these transactions, with Mr. Amoruso abstaining.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16. SUBSEQUENT EVENTS</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Acquisition of Claros, Inc.</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6, 2026, the Company acquired all of the outstanding equity interests of Claros, Inc. (“Claros”), a developer of power management solutions for artificial intelligence data-center applications, pursuant to an Agreement and Plan of Merger dated August 24, 2026. The acquisition is expected to expand the Company’s power semiconductor product portfolio and capabilities for artificial intelligence infrastructure.</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Consideration transferred consisted of approximately $126 million in cash, net of approximately $9.4 million of cash acquired, subject to customary post-closing adjustments, and 6,912,669 shares of Class A common stock with an acquisition-date fair value of approximately $82.7 million, based on the closing price of $11.97 per share on October 6, 2026. The merger agreement fixed the number of shares at signing. At the closing price of $12.97 per share on August 21, 2026, the last trading day before signing, those shares had a value of approximately $89.7 million. The difference reflects the change in the Company's share price between signing and the acquisition date. Consideration transferred also included contingent consideration of up to 1,289,869 additional shares of Class A common stock, the acquisition-date fair value of which has not yet been determined and which are payable to eligible former Claros security holders upon achievement of specified business milestones during the period from closing through the day immediately preceding the second anniversary of closing.</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Company incurred acquisition-related costs of approximately $2.1 million in each period, which are included in selling, general and administrative expenses.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limited time between the acquisition date and the issuance of these condensed consolidated financial statements, the Company has not completed the valuation and other analyses necessary to finalize the initial accounting for the business combination. The Company is determining the acquisition-date fair values of the contingent consideration, the portion of the replacement awards attributable to pre-combination service, and the identifiable assets acquired and liabilities assumed. Accordingly, the Company cannot yet disclose the total acquisition-date fair value of consideration transferred, the amounts recognized for each major class of assets acquired and liabilities assumed, or goodwill, or the supplemental pro forma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33" w:before="120" w:after="12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pStyle w:val="TextBody"/>
        <w:bidi w:val="0"/>
        <w:spacing w:lineRule="auto" w:line="333" w:before="120" w:after="12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This quarterly report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quarterly report. All such statements are based on current expectations of the management of the Company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the Company, and forward-looking statements are subject to a number of uncertainties.</w:t>
      </w:r>
    </w:p>
    <w:p>
      <w:pPr>
        <w:pStyle w:val="TextBody"/>
        <w:bidi w:val="0"/>
        <w:spacing w:lineRule="auto" w:line="333" w:before="120" w:after="12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Our business is subject to certain risks that could materially and adversely affect our business, financial condition, results of operations, or the value of our securities. These and other risk factors are discussed in the Risk Factors section beginning on p. 13 of our annual report on Form 10-K for the year ended December 31, 2025, as updated in the Risk Factors section in this quarterly report on Form 10-Q, and in other documents we file. If any of these risks materialize or if our assumptions underlying forward-looking statements prove to be incorrect, actual results could differ materially from the results implied by these forward-looking statements.</w:t>
      </w:r>
    </w:p>
    <w:p>
      <w:pPr>
        <w:pStyle w:val="TextBody"/>
        <w:bidi w:val="0"/>
        <w:spacing w:lineRule="auto" w:line="333" w:before="120" w:after="12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Overview</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Navitas Semiconductor Corporation designs, develops and markets next-generation power semiconductors, including gallium nitride (“GaN”) power integrated circuits (“ICs”), high-voltage silicon carbide (“SiC”) devices, associated high-speed silicon system controllers, and digital isolators used in power conversion and charging applications. We focus primarily on high-power markets, including AI data centers, energy and grid infrastructure, performance computing, and industrial electrification. Our products are designed to improve system efficiency, increase power density, enhance thermal performance, and reduce overall system size and cost compared to traditional silicon-based technologies. By leveraging the electrical properties of wide-bandgap (“WBG”) materials such as GaN and SiC, our solutions enable higher switching frequencies, higher voltage operation, and improved energy efficiency. These capabilities are increasingly important in applications such as hyperscale data centers, renewable energy systems, grid modernization infrastructure, and industrial automation. </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We operate as a fabless semiconductor design company and outsource wafer fabrication, assembly, and testing to qualified third-party manufacturing partners. This business model allows us to operate with relatively low capital expenditure requirements; however, our results depend on the capacity, cost structure, yield performance, and operational execution of our manufacturing partners. We maintain operations around the world, including the </w:t>
      </w:r>
      <w:r>
        <w:rPr>
          <w:rFonts w:ascii="Times New Roman;serif" w:hAnsi="Times New Roman;serif"/>
          <w:b w:val="false"/>
          <w:color w:val="000000"/>
          <w:sz w:val="20"/>
        </w:rPr>
        <w:t>United States, Philippines, China, Taiwan, and South Korea</w:t>
      </w:r>
      <w:r>
        <w:rPr>
          <w:rFonts w:ascii="Times New Roman;serif" w:hAnsi="Times New Roman;serif"/>
          <w:b w:val="false"/>
          <w:color w:val="000000"/>
          <w:sz w:val="20"/>
          <w:shd w:fill="FFFFFF" w:val="clear"/>
        </w:rPr>
        <w:t>, with principal executive offices in Torrance, California.</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Navitas 2.0 Restructuring Plan</w:t>
      </w:r>
    </w:p>
    <w:p>
      <w:pPr>
        <w:pStyle w:val="TextBody"/>
        <w:bidi w:val="0"/>
        <w:spacing w:lineRule="auto" w:line="333"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execute the Navitas 2.0 Restructuring Plan, which was initiated in the fourth quarter of 2025 to reposition the Company as a focused high-power semiconductor provider serving large, durable, higher-margin markets. The plan remains centered on portfolio and organizational realignment, technology roadmap execution, go-to-market optimization, and disciplined investment in strategic end markets. As of September 30, 2026, the actions under the Restructuring Plan were substantially complete, with remaining costs expected to be recognized by the end of fiscal year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6, 2026, we acquired Claros, Inc., a power management solutions company developing integrated voltage regulator (IVR) technology for next-generation AI data centers, providing the last step to powering the xPU. Navitas 2.0 now brings together GaN, high-voltage and ultra-high-voltage SiC, and now IVR technologies to break the power wall and address power conversion across the complete grid-to-xPU architecture.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Results of Operations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and discussion below present our results for the three and nine months ended September 30, 2026 and 2025 (in thousands):</w:t>
      </w:r>
    </w:p>
    <w:tbl>
      <w:tblPr>
        <w:tblW w:w="10205" w:type="dxa"/>
        <w:jc w:val="left"/>
        <w:tblInd w:w="0" w:type="dxa"/>
        <w:tblLayout w:type="fixed"/>
        <w:tblCellMar>
          <w:top w:w="28" w:type="dxa"/>
          <w:left w:w="28" w:type="dxa"/>
          <w:bottom w:w="28" w:type="dxa"/>
          <w:right w:w="28" w:type="dxa"/>
        </w:tblCellMar>
      </w:tblPr>
      <w:tblGrid>
        <w:gridCol w:w="1452"/>
        <w:gridCol w:w="1109"/>
        <w:gridCol w:w="1103"/>
        <w:gridCol w:w="109"/>
        <w:gridCol w:w="109"/>
        <w:gridCol w:w="109"/>
        <w:gridCol w:w="219"/>
        <w:gridCol w:w="793"/>
        <w:gridCol w:w="113"/>
        <w:gridCol w:w="113"/>
        <w:gridCol w:w="113"/>
        <w:gridCol w:w="113"/>
        <w:gridCol w:w="113"/>
        <w:gridCol w:w="219"/>
        <w:gridCol w:w="793"/>
        <w:gridCol w:w="113"/>
        <w:gridCol w:w="109"/>
        <w:gridCol w:w="109"/>
        <w:gridCol w:w="109"/>
        <w:gridCol w:w="661"/>
        <w:gridCol w:w="109"/>
        <w:gridCol w:w="109"/>
        <w:gridCol w:w="109"/>
        <w:gridCol w:w="211"/>
        <w:gridCol w:w="763"/>
        <w:gridCol w:w="109"/>
        <w:gridCol w:w="109"/>
        <w:gridCol w:w="109"/>
        <w:gridCol w:w="109"/>
        <w:gridCol w:w="232"/>
        <w:gridCol w:w="234"/>
        <w:gridCol w:w="321"/>
      </w:tblGrid>
      <w:tr>
        <w:tc>
          <w:tcPr>
            <w:tcW w:w="145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10"/>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1114" w:type="dxa"/>
            <w:gridSpan w:val="6"/>
            <w:tcBorders/>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38"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1114" w:type="dxa"/>
            <w:gridSpan w:val="6"/>
            <w:tcBorders/>
          </w:tcPr>
          <w:p>
            <w:pPr>
              <w:pStyle w:val="TableContents"/>
              <w:bidi w:val="0"/>
              <w:spacing w:before="0" w:after="283"/>
              <w:jc w:val="left"/>
              <w:rPr>
                <w:sz w:val="4"/>
                <w:szCs w:val="4"/>
              </w:rPr>
            </w:pPr>
            <w:r>
              <w:rPr>
                <w:sz w:val="4"/>
                <w:szCs w:val="4"/>
              </w:rPr>
            </w:r>
          </w:p>
        </w:tc>
      </w:tr>
      <w:tr>
        <w:tc>
          <w:tcPr>
            <w:tcW w:w="3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(19,414)</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691"/>
        <w:gridCol w:w="1446"/>
        <w:gridCol w:w="1445"/>
        <w:gridCol w:w="109"/>
        <w:gridCol w:w="109"/>
        <w:gridCol w:w="109"/>
        <w:gridCol w:w="223"/>
        <w:gridCol w:w="820"/>
        <w:gridCol w:w="115"/>
        <w:gridCol w:w="115"/>
        <w:gridCol w:w="115"/>
        <w:gridCol w:w="115"/>
        <w:gridCol w:w="223"/>
        <w:gridCol w:w="820"/>
        <w:gridCol w:w="115"/>
        <w:gridCol w:w="109"/>
        <w:gridCol w:w="109"/>
        <w:gridCol w:w="109"/>
        <w:gridCol w:w="211"/>
        <w:gridCol w:w="773"/>
        <w:gridCol w:w="109"/>
        <w:gridCol w:w="109"/>
        <w:gridCol w:w="109"/>
        <w:gridCol w:w="109"/>
        <w:gridCol w:w="233"/>
        <w:gridCol w:w="233"/>
        <w:gridCol w:w="422"/>
      </w:tblGrid>
      <w:tr>
        <w:tc>
          <w:tcPr>
            <w:tcW w:w="169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c>
          <w:tcPr>
            <w:tcW w:w="4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r>
      <w:tr>
        <w:tc>
          <w:tcPr>
            <w:tcW w:w="4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4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77,837 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(89,335)</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(66,371)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c>
          <w:tcPr>
            <w:tcW w:w="4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Revenue</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design, develop and manufacture GaN FETs, GaN ICs, SiC MOSFETs and modules, and Schottky diodes that deliver best-in-class performance, ruggedness, and quality. Our revenue represents the sale of semiconductors through specialized distributors to original equipment manufacturers, their suppliers, and other end customers. We consider the domicile of our end customers, rather than the distributors we sell to directly, to be the basis of attributing revenues from external customers to individual countries. Revenues for the three and nine months ended September 30, 2026 and 2025 (in thousands) were attributable to end customers in the following countries: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tbl>
      <w:tblPr>
        <w:tblW w:w="8732" w:type="dxa"/>
        <w:jc w:val="left"/>
        <w:tblInd w:w="0" w:type="dxa"/>
        <w:tblLayout w:type="fixed"/>
        <w:tblCellMar>
          <w:top w:w="28" w:type="dxa"/>
          <w:left w:w="28" w:type="dxa"/>
          <w:bottom w:w="28" w:type="dxa"/>
          <w:right w:w="28" w:type="dxa"/>
        </w:tblCellMar>
      </w:tblPr>
      <w:tblGrid>
        <w:gridCol w:w="685"/>
        <w:gridCol w:w="600"/>
        <w:gridCol w:w="605"/>
        <w:gridCol w:w="329"/>
        <w:gridCol w:w="1124"/>
        <w:gridCol w:w="169"/>
        <w:gridCol w:w="169"/>
        <w:gridCol w:w="169"/>
        <w:gridCol w:w="169"/>
        <w:gridCol w:w="232"/>
        <w:gridCol w:w="234"/>
        <w:gridCol w:w="422"/>
        <w:gridCol w:w="109"/>
        <w:gridCol w:w="109"/>
        <w:gridCol w:w="109"/>
        <w:gridCol w:w="329"/>
        <w:gridCol w:w="1124"/>
        <w:gridCol w:w="169"/>
        <w:gridCol w:w="169"/>
        <w:gridCol w:w="169"/>
        <w:gridCol w:w="169"/>
        <w:gridCol w:w="232"/>
        <w:gridCol w:w="234"/>
        <w:gridCol w:w="422"/>
        <w:gridCol w:w="109"/>
        <w:gridCol w:w="109"/>
        <w:gridCol w:w="109"/>
        <w:gridCol w:w="154"/>
      </w:tblGrid>
      <w:t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Country</w:t>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China</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pPr>
      <w:r/>
    </w:p>
    <w:tbl>
      <w:tblPr>
        <w:tblW w:w="8142" w:type="dxa"/>
        <w:jc w:val="left"/>
        <w:tblInd w:w="0" w:type="dxa"/>
        <w:tblLayout w:type="fixed"/>
        <w:tblCellMar>
          <w:top w:w="28" w:type="dxa"/>
          <w:left w:w="28" w:type="dxa"/>
          <w:bottom w:w="28" w:type="dxa"/>
          <w:right w:w="28" w:type="dxa"/>
        </w:tblCellMar>
      </w:tblPr>
      <w:tblGrid>
        <w:gridCol w:w="685"/>
        <w:gridCol w:w="600"/>
        <w:gridCol w:w="605"/>
        <w:gridCol w:w="318"/>
        <w:gridCol w:w="1089"/>
        <w:gridCol w:w="164"/>
        <w:gridCol w:w="164"/>
        <w:gridCol w:w="164"/>
        <w:gridCol w:w="164"/>
        <w:gridCol w:w="232"/>
        <w:gridCol w:w="234"/>
        <w:gridCol w:w="409"/>
        <w:gridCol w:w="109"/>
        <w:gridCol w:w="109"/>
        <w:gridCol w:w="109"/>
        <w:gridCol w:w="316"/>
        <w:gridCol w:w="1080"/>
        <w:gridCol w:w="163"/>
        <w:gridCol w:w="163"/>
        <w:gridCol w:w="163"/>
        <w:gridCol w:w="163"/>
        <w:gridCol w:w="232"/>
        <w:gridCol w:w="234"/>
        <w:gridCol w:w="473"/>
      </w:tblGrid>
      <w:t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Country</w:t>
            </w:r>
          </w:p>
        </w:tc>
        <w:tc>
          <w:tcPr>
            <w:tcW w:w="2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China</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sales of $3.9 million, or 38%, for the three months ended September 30, 2026, was primarily due to growth in U.S. data center related revenue. For the nine months ended September 30, 2026, there was a decrease of $5.5 million, or 14%, primarily due to a decline in sales of mobile products in the Asia region, primarily China, and consumer markets, partially offset by an increase in U.S. data center related revenue.</w:t>
      </w:r>
    </w:p>
    <w:p>
      <w:pPr>
        <w:pStyle w:val="TextBody"/>
        <w:bidi w:val="0"/>
        <w:spacing w:before="120" w:after="120"/>
        <w:jc w:val="both"/>
      </w:p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Cost of Revenues</w:t>
      </w:r>
    </w:p>
    <w:tbl>
      <w:tblPr>
        <w:tblW w:w="10205" w:type="dxa"/>
        <w:jc w:val="center"/>
        <w:tblInd w:w="0" w:type="dxa"/>
        <w:tblLayout w:type="fixed"/>
        <w:tblCellMar>
          <w:top w:w="28" w:type="dxa"/>
          <w:left w:w="28" w:type="dxa"/>
          <w:bottom w:w="28" w:type="dxa"/>
          <w:right w:w="28" w:type="dxa"/>
        </w:tblCellMar>
      </w:tblPr>
      <w:tblGrid>
        <w:gridCol w:w="832"/>
        <w:gridCol w:w="702"/>
        <w:gridCol w:w="705"/>
        <w:gridCol w:w="109"/>
        <w:gridCol w:w="109"/>
        <w:gridCol w:w="109"/>
        <w:gridCol w:w="308"/>
        <w:gridCol w:w="308"/>
        <w:gridCol w:w="365"/>
        <w:gridCol w:w="146"/>
        <w:gridCol w:w="146"/>
        <w:gridCol w:w="146"/>
        <w:gridCol w:w="308"/>
        <w:gridCol w:w="308"/>
        <w:gridCol w:w="365"/>
        <w:gridCol w:w="109"/>
        <w:gridCol w:w="109"/>
        <w:gridCol w:w="109"/>
        <w:gridCol w:w="109"/>
        <w:gridCol w:w="109"/>
        <w:gridCol w:w="109"/>
        <w:gridCol w:w="109"/>
        <w:gridCol w:w="466"/>
        <w:gridCol w:w="171"/>
        <w:gridCol w:w="360"/>
        <w:gridCol w:w="361"/>
        <w:gridCol w:w="428"/>
        <w:gridCol w:w="171"/>
        <w:gridCol w:w="171"/>
        <w:gridCol w:w="179"/>
        <w:gridCol w:w="360"/>
        <w:gridCol w:w="361"/>
        <w:gridCol w:w="517"/>
        <w:gridCol w:w="109"/>
        <w:gridCol w:w="109"/>
        <w:gridCol w:w="109"/>
        <w:gridCol w:w="196"/>
        <w:gridCol w:w="196"/>
        <w:gridCol w:w="212"/>
      </w:tblGrid>
      <w:tr>
        <w:tc>
          <w:tcPr>
            <w:tcW w:w="83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41"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Pr>
          <w:p>
            <w:pPr>
              <w:pStyle w:val="TableContents"/>
              <w:bidi w:val="0"/>
              <w:spacing w:before="0" w:after="283"/>
              <w:jc w:val="left"/>
              <w:rPr>
                <w:sz w:val="4"/>
                <w:szCs w:val="4"/>
              </w:rPr>
            </w:pPr>
            <w:r>
              <w:rPr>
                <w:sz w:val="4"/>
                <w:szCs w:val="4"/>
              </w:rPr>
            </w:r>
          </w:p>
        </w:tc>
      </w:tr>
      <w:tr>
        <w:tc>
          <w:tcPr>
            <w:tcW w:w="2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7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931" w:type="dxa"/>
            <w:gridSpan w:val="6"/>
            <w:tcBorders/>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20,299 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cost of revenues increased by $2.2 million, or 35% and decreased $6.9 million, or 25%, respectively. The increase for the three-month period was primarily driven by higher sales. The decrease for the nine-month period was primarily driven by lower sales and a favorable year-over-year change in inventory reserves, partially offset by a shift in sales mix toward high-power products.</w:t>
      </w:r>
    </w:p>
    <w:p>
      <w:pPr>
        <w:pStyle w:val="TextBody"/>
        <w:bidi w:val="0"/>
        <w:spacing w:before="120" w:after="1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left"/>
        <w:rPr>
          <w:rFonts w:ascii="Times New Roman;serif" w:hAnsi="Times New Roman;serif"/>
          <w:b/>
          <w:i/>
          <w:color w:val="000000"/>
          <w:sz w:val="20"/>
          <w:u w:val="single"/>
        </w:rPr>
      </w:pPr>
      <w:r>
        <w:rPr>
          <w:rFonts w:ascii="Times New Roman;serif" w:hAnsi="Times New Roman;serif"/>
          <w:b/>
          <w:i/>
          <w:color w:val="000000"/>
          <w:sz w:val="20"/>
          <w:u w:val="single"/>
        </w:rPr>
        <w:t>Research and Development Expense</w:t>
      </w:r>
    </w:p>
    <w:tbl>
      <w:tblPr>
        <w:tblW w:w="10205" w:type="dxa"/>
        <w:jc w:val="center"/>
        <w:tblInd w:w="0" w:type="dxa"/>
        <w:tblLayout w:type="fixed"/>
        <w:tblCellMar>
          <w:top w:w="28" w:type="dxa"/>
          <w:left w:w="28" w:type="dxa"/>
          <w:bottom w:w="28" w:type="dxa"/>
          <w:right w:w="28" w:type="dxa"/>
        </w:tblCellMar>
      </w:tblPr>
      <w:tblGrid>
        <w:gridCol w:w="624"/>
        <w:gridCol w:w="537"/>
        <w:gridCol w:w="483"/>
        <w:gridCol w:w="109"/>
        <w:gridCol w:w="109"/>
        <w:gridCol w:w="109"/>
        <w:gridCol w:w="360"/>
        <w:gridCol w:w="361"/>
        <w:gridCol w:w="405"/>
        <w:gridCol w:w="162"/>
        <w:gridCol w:w="162"/>
        <w:gridCol w:w="162"/>
        <w:gridCol w:w="360"/>
        <w:gridCol w:w="361"/>
        <w:gridCol w:w="405"/>
        <w:gridCol w:w="109"/>
        <w:gridCol w:w="109"/>
        <w:gridCol w:w="109"/>
        <w:gridCol w:w="109"/>
        <w:gridCol w:w="109"/>
        <w:gridCol w:w="109"/>
        <w:gridCol w:w="109"/>
        <w:gridCol w:w="466"/>
        <w:gridCol w:w="260"/>
        <w:gridCol w:w="430"/>
        <w:gridCol w:w="347"/>
        <w:gridCol w:w="654"/>
        <w:gridCol w:w="109"/>
        <w:gridCol w:w="109"/>
        <w:gridCol w:w="109"/>
        <w:gridCol w:w="360"/>
        <w:gridCol w:w="361"/>
        <w:gridCol w:w="517"/>
        <w:gridCol w:w="109"/>
        <w:gridCol w:w="109"/>
        <w:gridCol w:w="109"/>
        <w:gridCol w:w="180"/>
        <w:gridCol w:w="181"/>
        <w:gridCol w:w="323"/>
      </w:tblGrid>
      <w:tr>
        <w:tc>
          <w:tcPr>
            <w:tcW w:w="62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6"/>
            <w:tcBorders/>
          </w:tcPr>
          <w:p>
            <w:pPr>
              <w:pStyle w:val="TableContents"/>
              <w:bidi w:val="0"/>
              <w:spacing w:before="0" w:after="283"/>
              <w:jc w:val="left"/>
              <w:rPr>
                <w:sz w:val="4"/>
                <w:szCs w:val="4"/>
              </w:rPr>
            </w:pPr>
            <w:r>
              <w:rPr>
                <w:sz w:val="4"/>
                <w:szCs w:val="4"/>
              </w:rPr>
            </w:r>
          </w:p>
        </w:tc>
      </w:tr>
      <w:tr>
        <w:tc>
          <w:tcPr>
            <w:tcW w:w="1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6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11" w:type="dxa"/>
            <w:gridSpan w:val="6"/>
            <w:tcBorders/>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42,809 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37,444 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$1.8 million, or 14%, for the three months ended September 30, 2026 compared to the same period in 2025. The increase was primarily due to higher wafer, mask and other foundry costs for new product development, higher personnel costs, and non-recurring engineering costs under our joint development agreement with AlpSemi. These increases were partially offset by lower usage of engineering inventory and a decrease in stock-based compensation.</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$5.4 million, or 14%, for the nine months ended September 30, 2026 compared to the same period in 2025, primarily due to higher stock-based compensation and higher wafer, mask and other foundry costs for new product development. These increases were partially offset by lower usage of engineering inventory, the advanced research and development non-recurring engineering impairment recognized in the 2025 period, and lower headcount-related costs resulting from our reductions in force.</w:t>
      </w:r>
    </w:p>
    <w:p>
      <w:pPr>
        <w:pStyle w:val="TextBody"/>
        <w:bidi w:val="0"/>
        <w:spacing w:lineRule="auto" w:line="333" w:before="120" w:after="120"/>
        <w:jc w:val="left"/>
        <w:rPr>
          <w:rFonts w:ascii="Times New Roman;serif" w:hAnsi="Times New Roman;serif"/>
          <w:b/>
          <w:i/>
          <w:color w:val="000000"/>
          <w:sz w:val="20"/>
          <w:u w:val="single"/>
        </w:rPr>
      </w:pPr>
      <w:r>
        <w:rPr>
          <w:rFonts w:ascii="Times New Roman;serif" w:hAnsi="Times New Roman;serif"/>
          <w:b/>
          <w:i/>
          <w:color w:val="000000"/>
          <w:sz w:val="20"/>
          <w:u w:val="single"/>
        </w:rPr>
        <w:t>Selling, General and Administrative Expense</w:t>
      </w:r>
    </w:p>
    <w:tbl>
      <w:tblPr>
        <w:tblW w:w="10205" w:type="dxa"/>
        <w:jc w:val="center"/>
        <w:tblInd w:w="0" w:type="dxa"/>
        <w:tblLayout w:type="fixed"/>
        <w:tblCellMar>
          <w:top w:w="28" w:type="dxa"/>
          <w:left w:w="28" w:type="dxa"/>
          <w:bottom w:w="28" w:type="dxa"/>
          <w:right w:w="28" w:type="dxa"/>
        </w:tblCellMar>
      </w:tblPr>
      <w:tblGrid>
        <w:gridCol w:w="701"/>
        <w:gridCol w:w="558"/>
        <w:gridCol w:w="548"/>
        <w:gridCol w:w="109"/>
        <w:gridCol w:w="109"/>
        <w:gridCol w:w="109"/>
        <w:gridCol w:w="360"/>
        <w:gridCol w:w="361"/>
        <w:gridCol w:w="395"/>
        <w:gridCol w:w="158"/>
        <w:gridCol w:w="158"/>
        <w:gridCol w:w="158"/>
        <w:gridCol w:w="308"/>
        <w:gridCol w:w="308"/>
        <w:gridCol w:w="395"/>
        <w:gridCol w:w="109"/>
        <w:gridCol w:w="109"/>
        <w:gridCol w:w="109"/>
        <w:gridCol w:w="109"/>
        <w:gridCol w:w="109"/>
        <w:gridCol w:w="109"/>
        <w:gridCol w:w="109"/>
        <w:gridCol w:w="109"/>
        <w:gridCol w:w="466"/>
        <w:gridCol w:w="251"/>
        <w:gridCol w:w="430"/>
        <w:gridCol w:w="343"/>
        <w:gridCol w:w="632"/>
        <w:gridCol w:w="109"/>
        <w:gridCol w:w="109"/>
        <w:gridCol w:w="109"/>
        <w:gridCol w:w="360"/>
        <w:gridCol w:w="361"/>
        <w:gridCol w:w="517"/>
        <w:gridCol w:w="109"/>
        <w:gridCol w:w="109"/>
        <w:gridCol w:w="109"/>
        <w:gridCol w:w="180"/>
        <w:gridCol w:w="181"/>
        <w:gridCol w:w="223"/>
      </w:tblGrid>
      <w:tr>
        <w:tc>
          <w:tcPr>
            <w:tcW w:w="70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Pr>
          <w:p>
            <w:pPr>
              <w:pStyle w:val="TableContents"/>
              <w:bidi w:val="0"/>
              <w:spacing w:before="0" w:after="283"/>
              <w:jc w:val="left"/>
              <w:rPr>
                <w:sz w:val="4"/>
                <w:szCs w:val="4"/>
              </w:rPr>
            </w:pPr>
            <w:r>
              <w:rPr>
                <w:sz w:val="4"/>
                <w:szCs w:val="4"/>
              </w:rPr>
            </w:r>
          </w:p>
        </w:tc>
      </w:tr>
      <w:t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5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911" w:type="dxa"/>
            <w:gridSpan w:val="6"/>
            <w:tcBorders/>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increase of $13.2 million, or 252%, and $18.0 million, or 73%, respectively, was primarily driven by increases in stock-based compensation, including the impact of prior-year reversals associated with forfeited awards of departing executives and stock-based compensation for our 2026 annual bonus, which we expect to settle in shares, and for equity awards granted in 2026 to our executive officers, as well as higher legal and professional fees and acquisition-related costs, partially offset by lower sales commissions and bad debt expense.</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Amortization of Intangible Assets</w:t>
      </w:r>
    </w:p>
    <w:tbl>
      <w:tblPr>
        <w:tblW w:w="10205" w:type="dxa"/>
        <w:jc w:val="left"/>
        <w:tblInd w:w="0" w:type="dxa"/>
        <w:tblLayout w:type="fixed"/>
        <w:tblCellMar>
          <w:top w:w="28" w:type="dxa"/>
          <w:left w:w="28" w:type="dxa"/>
          <w:bottom w:w="28" w:type="dxa"/>
          <w:right w:w="28" w:type="dxa"/>
        </w:tblCellMar>
      </w:tblPr>
      <w:tblGrid>
        <w:gridCol w:w="878"/>
        <w:gridCol w:w="772"/>
        <w:gridCol w:w="773"/>
        <w:gridCol w:w="109"/>
        <w:gridCol w:w="109"/>
        <w:gridCol w:w="109"/>
        <w:gridCol w:w="308"/>
        <w:gridCol w:w="308"/>
        <w:gridCol w:w="497"/>
        <w:gridCol w:w="199"/>
        <w:gridCol w:w="199"/>
        <w:gridCol w:w="199"/>
        <w:gridCol w:w="308"/>
        <w:gridCol w:w="308"/>
        <w:gridCol w:w="497"/>
        <w:gridCol w:w="109"/>
        <w:gridCol w:w="109"/>
        <w:gridCol w:w="109"/>
        <w:gridCol w:w="360"/>
        <w:gridCol w:w="361"/>
        <w:gridCol w:w="484"/>
        <w:gridCol w:w="194"/>
        <w:gridCol w:w="194"/>
        <w:gridCol w:w="194"/>
        <w:gridCol w:w="360"/>
        <w:gridCol w:w="361"/>
        <w:gridCol w:w="484"/>
        <w:gridCol w:w="109"/>
        <w:gridCol w:w="109"/>
        <w:gridCol w:w="109"/>
        <w:gridCol w:w="285"/>
        <w:gridCol w:w="285"/>
        <w:gridCol w:w="416"/>
      </w:tblGrid>
      <w:t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63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amortization of intangible assets decreased compared to the corresponding prior periods, primarily because certain developed technology intangible assets became fully amortized during the third quarter.</w:t>
      </w:r>
    </w:p>
    <w:p>
      <w:pPr>
        <w:pStyle w:val="TextBody"/>
        <w:bidi w:val="0"/>
        <w:spacing w:before="120" w:after="120"/>
        <w:jc w:val="left"/>
      </w:pPr>
      <w:r/>
    </w:p>
    <w:p>
      <w:pPr>
        <w:pStyle w:val="TextBody"/>
        <w:bidi w:val="0"/>
        <w:spacing w:before="120" w:after="1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jc w:val="left"/>
        <w:rPr>
          <w:rFonts w:ascii="Times New Roman;serif" w:hAnsi="Times New Roman;serif"/>
          <w:b/>
          <w:i/>
          <w:color w:val="000000"/>
          <w:sz w:val="20"/>
          <w:u w:val="single"/>
        </w:rPr>
      </w:pPr>
      <w:r>
        <w:rPr>
          <w:rFonts w:ascii="Times New Roman;serif" w:hAnsi="Times New Roman;serif"/>
          <w:b/>
          <w:i/>
          <w:color w:val="000000"/>
          <w:sz w:val="20"/>
          <w:u w:val="single"/>
        </w:rPr>
        <w:t>Restructuring Expense</w:t>
      </w:r>
    </w:p>
    <w:tbl>
      <w:tblPr>
        <w:tblW w:w="10013" w:type="dxa"/>
        <w:jc w:val="center"/>
        <w:tblInd w:w="0" w:type="dxa"/>
        <w:tblLayout w:type="fixed"/>
        <w:tblCellMar>
          <w:top w:w="28" w:type="dxa"/>
          <w:left w:w="28" w:type="dxa"/>
          <w:bottom w:w="28" w:type="dxa"/>
          <w:right w:w="28" w:type="dxa"/>
        </w:tblCellMar>
      </w:tblPr>
      <w:tblGrid>
        <w:gridCol w:w="701"/>
        <w:gridCol w:w="616"/>
        <w:gridCol w:w="618"/>
        <w:gridCol w:w="109"/>
        <w:gridCol w:w="109"/>
        <w:gridCol w:w="109"/>
        <w:gridCol w:w="308"/>
        <w:gridCol w:w="308"/>
        <w:gridCol w:w="601"/>
        <w:gridCol w:w="241"/>
        <w:gridCol w:w="241"/>
        <w:gridCol w:w="241"/>
        <w:gridCol w:w="241"/>
        <w:gridCol w:w="241"/>
        <w:gridCol w:w="601"/>
        <w:gridCol w:w="109"/>
        <w:gridCol w:w="109"/>
        <w:gridCol w:w="109"/>
        <w:gridCol w:w="308"/>
        <w:gridCol w:w="308"/>
        <w:gridCol w:w="582"/>
        <w:gridCol w:w="234"/>
        <w:gridCol w:w="234"/>
        <w:gridCol w:w="234"/>
        <w:gridCol w:w="308"/>
        <w:gridCol w:w="308"/>
        <w:gridCol w:w="582"/>
        <w:gridCol w:w="109"/>
        <w:gridCol w:w="109"/>
        <w:gridCol w:w="109"/>
        <w:gridCol w:w="284"/>
        <w:gridCol w:w="284"/>
        <w:gridCol w:w="408"/>
      </w:tblGrid>
      <w:t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 increased $3.2 million for the three months ended September 30, 2026 and increased $2.5 million, or 172%, for the nine months ended September 30, 2026, primarily due to an additional noncash impairment charge of $2.9 million related to an epitaxial reactor under the Navitas 2.0 Restructuring Plan. </w:t>
      </w:r>
    </w:p>
    <w:p>
      <w:pPr>
        <w:pStyle w:val="TextBody"/>
        <w:bidi w:val="0"/>
        <w:spacing w:before="120" w:after="120"/>
        <w:jc w:val="left"/>
      </w:pPr>
      <w:r/>
    </w:p>
    <w:p>
      <w:pPr>
        <w:pStyle w:val="TextBody"/>
        <w:bidi w:val="0"/>
        <w:spacing w:lineRule="auto" w:line="333" w:before="120" w:after="120"/>
        <w:jc w:val="left"/>
        <w:rPr>
          <w:rFonts w:ascii="Times New Roman;serif" w:hAnsi="Times New Roman;serif"/>
          <w:b/>
          <w:i/>
          <w:color w:val="000000"/>
          <w:sz w:val="20"/>
          <w:u w:val="single"/>
        </w:rPr>
      </w:pPr>
      <w:r>
        <w:rPr>
          <w:rFonts w:ascii="Times New Roman;serif" w:hAnsi="Times New Roman;serif"/>
          <w:b/>
          <w:i/>
          <w:color w:val="000000"/>
          <w:sz w:val="20"/>
          <w:u w:val="single"/>
        </w:rPr>
        <w:t>Other Income (Expense), net</w:t>
      </w:r>
    </w:p>
    <w:tbl>
      <w:tblPr>
        <w:tblW w:w="10205" w:type="dxa"/>
        <w:jc w:val="center"/>
        <w:tblInd w:w="0" w:type="dxa"/>
        <w:tblLayout w:type="fixed"/>
        <w:tblCellMar>
          <w:top w:w="28" w:type="dxa"/>
          <w:left w:w="28" w:type="dxa"/>
          <w:bottom w:w="28" w:type="dxa"/>
          <w:right w:w="28" w:type="dxa"/>
        </w:tblCellMar>
      </w:tblPr>
      <w:tblGrid>
        <w:gridCol w:w="760"/>
        <w:gridCol w:w="659"/>
        <w:gridCol w:w="662"/>
        <w:gridCol w:w="109"/>
        <w:gridCol w:w="109"/>
        <w:gridCol w:w="109"/>
        <w:gridCol w:w="337"/>
        <w:gridCol w:w="339"/>
        <w:gridCol w:w="528"/>
        <w:gridCol w:w="212"/>
        <w:gridCol w:w="212"/>
        <w:gridCol w:w="212"/>
        <w:gridCol w:w="241"/>
        <w:gridCol w:w="237"/>
        <w:gridCol w:w="528"/>
        <w:gridCol w:w="109"/>
        <w:gridCol w:w="109"/>
        <w:gridCol w:w="109"/>
        <w:gridCol w:w="442"/>
        <w:gridCol w:w="444"/>
        <w:gridCol w:w="513"/>
        <w:gridCol w:w="206"/>
        <w:gridCol w:w="206"/>
        <w:gridCol w:w="206"/>
        <w:gridCol w:w="391"/>
        <w:gridCol w:w="391"/>
        <w:gridCol w:w="513"/>
        <w:gridCol w:w="109"/>
        <w:gridCol w:w="109"/>
        <w:gridCol w:w="109"/>
        <w:gridCol w:w="285"/>
        <w:gridCol w:w="285"/>
        <w:gridCol w:w="415"/>
      </w:tblGrid>
      <w:tr>
        <w:tc>
          <w:tcPr>
            <w:tcW w:w="7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(209,659)</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c>
          <w:tcPr>
            <w:tcW w:w="2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c>
          <w:tcPr>
            <w:tcW w:w="2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(expense), net of approximately $3.2 million and $191.8 million for the three and nine months ended September 30, 2026, respectively, primarily reflects a $7.2 million impairment loss on an equity investment and, for the nine-month period, earnout remeasurement losses of $211.0 million compared to $20.7 million in the corresponding 2025 period, partially offset by higher interest and dividend income.</w:t>
      </w:r>
    </w:p>
    <w:p>
      <w:pPr>
        <w:pStyle w:val="TextBody"/>
        <w:bidi w:val="0"/>
        <w:spacing w:before="120" w:after="120"/>
        <w:ind w:left="0" w:right="0" w:firstLine="540"/>
        <w:jc w:val="both"/>
      </w:pPr>
      <w:r/>
    </w:p>
    <w:p>
      <w:pPr>
        <w:pStyle w:val="TextBody"/>
        <w:bidi w:val="0"/>
        <w:spacing w:lineRule="auto" w:line="333" w:before="120" w:after="120"/>
        <w:jc w:val="left"/>
        <w:rPr>
          <w:rFonts w:ascii="Times New Roman;serif" w:hAnsi="Times New Roman;serif"/>
          <w:b/>
          <w:i/>
          <w:color w:val="000000"/>
          <w:sz w:val="20"/>
          <w:u w:val="single"/>
        </w:rPr>
      </w:pPr>
      <w:r>
        <w:rPr>
          <w:rFonts w:ascii="Times New Roman;serif" w:hAnsi="Times New Roman;serif"/>
          <w:b/>
          <w:i/>
          <w:color w:val="000000"/>
          <w:sz w:val="20"/>
          <w:u w:val="single"/>
        </w:rPr>
        <w:t>Income Tax Provision</w:t>
      </w:r>
    </w:p>
    <w:tbl>
      <w:tblPr>
        <w:tblW w:w="10205" w:type="dxa"/>
        <w:jc w:val="center"/>
        <w:tblInd w:w="0" w:type="dxa"/>
        <w:tblLayout w:type="fixed"/>
        <w:tblCellMar>
          <w:top w:w="28" w:type="dxa"/>
          <w:left w:w="28" w:type="dxa"/>
          <w:bottom w:w="28" w:type="dxa"/>
          <w:right w:w="28" w:type="dxa"/>
        </w:tblCellMar>
      </w:tblPr>
      <w:tblGrid>
        <w:gridCol w:w="914"/>
        <w:gridCol w:w="802"/>
        <w:gridCol w:w="806"/>
        <w:gridCol w:w="109"/>
        <w:gridCol w:w="109"/>
        <w:gridCol w:w="109"/>
        <w:gridCol w:w="241"/>
        <w:gridCol w:w="238"/>
        <w:gridCol w:w="589"/>
        <w:gridCol w:w="236"/>
        <w:gridCol w:w="236"/>
        <w:gridCol w:w="236"/>
        <w:gridCol w:w="241"/>
        <w:gridCol w:w="238"/>
        <w:gridCol w:w="589"/>
        <w:gridCol w:w="109"/>
        <w:gridCol w:w="109"/>
        <w:gridCol w:w="109"/>
        <w:gridCol w:w="109"/>
        <w:gridCol w:w="234"/>
        <w:gridCol w:w="233"/>
        <w:gridCol w:w="571"/>
        <w:gridCol w:w="229"/>
        <w:gridCol w:w="229"/>
        <w:gridCol w:w="229"/>
        <w:gridCol w:w="234"/>
        <w:gridCol w:w="233"/>
        <w:gridCol w:w="571"/>
        <w:gridCol w:w="109"/>
        <w:gridCol w:w="109"/>
        <w:gridCol w:w="109"/>
        <w:gridCol w:w="285"/>
        <w:gridCol w:w="285"/>
        <w:gridCol w:w="416"/>
      </w:tblGrid>
      <w:t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2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 provision was flat primarily due to our large loss from operations. We expect our tax rate to remain close to zero in the near term due to full valuation allowances against deferred tax assets.</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Equity Method Investment Loss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discontinued application of the equity method of accounting following the loss of significant influence. No further equity method investment losses were recognized during the three and nine months ended September 30, 2026.</w:t>
      </w:r>
    </w:p>
    <w:p>
      <w:pPr>
        <w:pStyle w:val="TextBody"/>
        <w:bidi w:val="0"/>
        <w:spacing w:before="120" w:after="120"/>
        <w:ind w:left="0" w:right="0" w:firstLine="540"/>
        <w:jc w:val="left"/>
      </w:pPr>
      <w:r/>
    </w:p>
    <w:p>
      <w:pPr>
        <w:pStyle w:val="TextBody"/>
        <w:bidi w:val="0"/>
        <w:spacing w:lineRule="auto" w:line="288"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 and Capital Resources</w:t>
      </w:r>
    </w:p>
    <w:p>
      <w:pPr>
        <w:pStyle w:val="TextBody"/>
        <w:bidi w:val="0"/>
        <w:spacing w:lineRule="auto" w:line="333" w:before="6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use of cash is to fund operating expenses, working capital requirements, research and development, and capital expenditures. In addition, we use cash for strategic investments and acquisitions.</w:t>
      </w:r>
    </w:p>
    <w:p>
      <w:pPr>
        <w:pStyle w:val="TextBody"/>
        <w:bidi w:val="0"/>
        <w:spacing w:lineRule="auto" w:line="333" w:before="6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continue to incur net operating losses and negative cash flows from operations, and we expect our research and development expenses, general and administrative expenses, and capital expenditures will increase for the foreseeable future.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6, 2026, we completed the acquisition of Claros. In connection with the acquisition, we paid approximately $126 million in cash, net of approximately $9.4 million of cash acquired, subject to customary post-closing adjustments, and issued approximately 6.9 million shares of our Class A common stock. The cash consideration was funded with cash on hand.</w:t>
      </w:r>
    </w:p>
    <w:p>
      <w:pPr>
        <w:pStyle w:val="TextBody"/>
        <w:bidi w:val="0"/>
        <w:spacing w:lineRule="auto" w:line="333" w:before="60" w:after="180"/>
        <w:ind w:left="0" w:right="0" w:firstLine="540"/>
        <w:jc w:val="left"/>
      </w:pPr>
      <w:r>
        <w:rPr>
          <w:rFonts w:ascii="Times New Roman;serif" w:hAnsi="Times New Roman;serif"/>
          <w:b w:val="false"/>
          <w:color w:val="000000"/>
          <w:sz w:val="20"/>
        </w:rPr>
        <w:t xml:space="preserve">We currently expect to fund our cash requirements through the use of cash and cash equivalents on hand. </w:t>
      </w:r>
      <w:r>
        <w:rPr>
          <w:rFonts w:ascii="Times New Roman;serif" w:hAnsi="Times New Roman;serif"/>
          <w:b w:val="false"/>
          <w:color w:val="000000"/>
          <w:sz w:val="20"/>
          <w:shd w:fill="FFFFFF" w:val="clear"/>
        </w:rPr>
        <w:t xml:space="preserve">We believe that our current levels of cash and cash equivalents, even after giving effect to the Claros acquisition, are sufficient to finance our operations, working capital requirements, and capital expenditures for the foreseeable future.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consolidated cash flows for the nine months ended September 30, 2026 and 2025 (in thousands):</w:t>
      </w:r>
    </w:p>
    <w:tbl>
      <w:tblPr>
        <w:tblW w:w="10205" w:type="dxa"/>
        <w:jc w:val="left"/>
        <w:tblInd w:w="0" w:type="dxa"/>
        <w:tblLayout w:type="fixed"/>
        <w:tblCellMar>
          <w:top w:w="28" w:type="dxa"/>
          <w:left w:w="28" w:type="dxa"/>
          <w:bottom w:w="28" w:type="dxa"/>
          <w:right w:w="28" w:type="dxa"/>
        </w:tblCellMar>
      </w:tblPr>
      <w:tblGrid>
        <w:gridCol w:w="1617"/>
        <w:gridCol w:w="1421"/>
        <w:gridCol w:w="1425"/>
        <w:gridCol w:w="494"/>
        <w:gridCol w:w="1937"/>
        <w:gridCol w:w="254"/>
        <w:gridCol w:w="109"/>
        <w:gridCol w:w="109"/>
        <w:gridCol w:w="109"/>
        <w:gridCol w:w="496"/>
        <w:gridCol w:w="1868"/>
        <w:gridCol w:w="366"/>
      </w:tblGrid>
      <w:t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4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4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 Data:</w:t>
            </w:r>
          </w:p>
        </w:tc>
        <w:tc>
          <w:tcPr>
            <w:tcW w:w="26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367,926 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47" w:type="dxa"/>
        <w:jc w:val="left"/>
        <w:tblInd w:w="0" w:type="dxa"/>
        <w:tblLayout w:type="fixed"/>
        <w:tblCellMar>
          <w:top w:w="28" w:type="dxa"/>
          <w:left w:w="28" w:type="dxa"/>
          <w:bottom w:w="28" w:type="dxa"/>
          <w:right w:w="28" w:type="dxa"/>
        </w:tblCellMar>
      </w:tblPr>
      <w:tblGrid>
        <w:gridCol w:w="1287"/>
        <w:gridCol w:w="1130"/>
        <w:gridCol w:w="1137"/>
        <w:gridCol w:w="295"/>
        <w:gridCol w:w="1157"/>
        <w:gridCol w:w="152"/>
        <w:gridCol w:w="109"/>
        <w:gridCol w:w="109"/>
        <w:gridCol w:w="109"/>
        <w:gridCol w:w="284"/>
        <w:gridCol w:w="1114"/>
        <w:gridCol w:w="147"/>
        <w:gridCol w:w="109"/>
        <w:gridCol w:w="109"/>
        <w:gridCol w:w="109"/>
        <w:gridCol w:w="211"/>
        <w:gridCol w:w="826"/>
        <w:gridCol w:w="109"/>
        <w:gridCol w:w="233"/>
        <w:gridCol w:w="233"/>
        <w:gridCol w:w="578"/>
      </w:tblGrid>
      <w:t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We derive liquidity primarily from cash on hand and equity financing activities. The changes in our cash flows for the </w:t>
      </w:r>
      <w:r>
        <w:rPr>
          <w:rFonts w:ascii="Times New Roman;serif" w:hAnsi="Times New Roman;serif"/>
          <w:b w:val="false"/>
          <w:color w:val="000000"/>
          <w:sz w:val="20"/>
        </w:rPr>
        <w:t>nine months ended September 30, 2026</w:t>
      </w:r>
      <w:r>
        <w:rPr>
          <w:rFonts w:ascii="Times New Roman;serif" w:hAnsi="Times New Roman;serif"/>
          <w:b w:val="false"/>
          <w:color w:val="000000"/>
          <w:sz w:val="20"/>
          <w:shd w:fill="FFFFFF" w:val="clear"/>
        </w:rPr>
        <w:t>, compared to the same period in 2025, were primarily driven by the following:</w:t>
      </w:r>
    </w:p>
    <w:p>
      <w:pPr>
        <w:pStyle w:val="TextBody"/>
        <w:bidi w:val="0"/>
        <w:spacing w:lineRule="auto" w:line="333" w:before="120" w:after="1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333"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nine months ended September 30, 2026 was $66.9 million compared to $34.8 million for the nine months ended September 30, 2025. The increase was primarily attributable to changes in working capital, which used $32.7 million of cash during the nine months ended September 30, 2026, compared to providing $3.3 million of cash during the nine months ended September 30, 2025. The working capital outflow in 2026 primarily reflected a $19.1 million increase in inventories, a $12.1 million increase in prepaid expenses and other current assets, primarily related to wafer supply prepayments to a foundry partner, and payments of restructuring liabilities accrued as of December 31, 2025. Our net loss of $299.1 million for the nine months ended September 30, 2026 included non-cash expenses, primarily consisting of a $211.0 million loss from the change in fair value of the earnout liability, $27.8 million of stock-based compensation expense and $12.7 million of amortization of intangible assets.</w:t>
      </w:r>
    </w:p>
    <w:p>
      <w:pPr>
        <w:pStyle w:val="TextBody"/>
        <w:bidi w:val="0"/>
        <w:spacing w:lineRule="auto" w:line="333" w:before="120" w:after="1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33" w:before="120" w:after="120"/>
        <w:ind w:left="0" w:right="0" w:firstLine="540"/>
        <w:jc w:val="left"/>
      </w:pPr>
      <w:r>
        <w:rPr>
          <w:rFonts w:ascii="Times New Roman;serif" w:hAnsi="Times New Roman;serif"/>
          <w:b w:val="false"/>
          <w:color w:val="000000"/>
          <w:sz w:val="20"/>
        </w:rPr>
        <w:t>Net cash used in investing activities increased during the</w:t>
      </w:r>
      <w:r>
        <w:rPr>
          <w:color w:val="000000"/>
          <w:shd w:fill="FFFFFF" w:val="clear"/>
        </w:rPr>
        <w:t xml:space="preserve"> </w:t>
      </w:r>
      <w:r>
        <w:rPr>
          <w:rFonts w:ascii="Times New Roman;serif" w:hAnsi="Times New Roman;serif"/>
          <w:b w:val="false"/>
          <w:color w:val="000000"/>
          <w:sz w:val="20"/>
        </w:rPr>
        <w:t>nine months ended September 30, 2026, compared to the same period in 2025, primarily due to the $5.0 million purchase of Magnachip common stock and investments in preferred shares.</w:t>
      </w:r>
    </w:p>
    <w:p>
      <w:pPr>
        <w:pStyle w:val="TextBody"/>
        <w:bidi w:val="0"/>
        <w:spacing w:lineRule="auto" w:line="333" w:before="120" w:after="1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2026 increased $268.8 million, primarily driven by $373.1 million of net proceeds from our at-the-market offerings (compared to $96.8 million of net proceeds in 2025), partially offset by the $3.8 million cash settlement of earnout shares, $2.6 million of payments on our equipment financing obligation, and lower proceeds from stock option exercises.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Contractual Obligations, Commitments and Contingencies</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In the ordinary course of business, we enter into contractual arrangements that may require future cash payments. As of September 30, 2026, our material cash requirements consisted primarily of lease obligations, milestone-based payments through April 2028 under our joint development agreement with AlpSemi, which may be terminated upon 90 days’ notice, and a final equipment installment of approximately </w:t>
      </w:r>
      <w:r>
        <w:rPr>
          <w:rFonts w:ascii="Times New Roman;serif" w:hAnsi="Times New Roman;serif"/>
          <w:b w:val="false"/>
          <w:color w:val="000000"/>
          <w:sz w:val="20"/>
        </w:rPr>
        <w:t>$0.9 million</w:t>
      </w:r>
      <w:r>
        <w:rPr>
          <w:rFonts w:ascii="Times New Roman;serif" w:hAnsi="Times New Roman;serif"/>
          <w:b w:val="false"/>
          <w:color w:val="000000"/>
          <w:sz w:val="20"/>
          <w:shd w:fill="FFFFFF" w:val="clear"/>
        </w:rPr>
        <w:t xml:space="preserve">, including applicable taxes, due in December 2026. Refer to Note 9 - “Leases” for further information on our minimum future payments related to lease obligations.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Off-Balance Sheet Commitments and Arrangements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2026, we did not have any off-balance sheet arrangements as defined under SEC rules.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Critical Accounting Policies and Estimates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pStyle w:val="TextBody"/>
        <w:bidi w:val="0"/>
        <w:spacing w:lineRule="auto" w:line="333" w:before="12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pStyle w:val="TextBody"/>
        <w:bidi w:val="0"/>
        <w:spacing w:lineRule="auto" w:line="333" w:before="120" w:after="120"/>
        <w:ind w:left="0" w:right="0" w:firstLine="540"/>
        <w:jc w:val="left"/>
      </w:pPr>
      <w:r>
        <w:rPr>
          <w:rFonts w:ascii="Times New Roman;serif" w:hAnsi="Times New Roman;serif"/>
          <w:b w:val="false"/>
          <w:color w:val="000000"/>
          <w:sz w:val="20"/>
          <w:shd w:fill="FFFFFF" w:val="clear"/>
        </w:rPr>
        <w:t xml:space="preserve">As a result of the settlement of our earnout liabilities during the second quarter of 2026, the related critical accounting estimate described in our 2025 annual report on Form 10-K is no longer applicable. Other than this change, there have been no material changes to our critical accounting policies and estimates from the information in Item 7, “Management’s Discussion and Analysis of Financial Condition and Results of Operations”, included in our </w:t>
      </w:r>
      <w:r>
        <w:rPr>
          <w:rFonts w:ascii="Times New Roman;serif" w:hAnsi="Times New Roman;serif"/>
          <w:b w:val="false"/>
          <w:color w:val="000000"/>
          <w:sz w:val="20"/>
        </w:rPr>
        <w:t>annual report on Form 10-K for the year ended</w:t>
      </w:r>
      <w:r>
        <w:rPr>
          <w:color w:val="000000"/>
          <w:shd w:fill="FFFFFF" w:val="clear"/>
        </w:rPr>
        <w:t xml:space="preserve"> </w:t>
      </w:r>
      <w:r>
        <w:rPr>
          <w:rFonts w:ascii="Times New Roman;serif" w:hAnsi="Times New Roman;serif"/>
          <w:b w:val="false"/>
          <w:color w:val="000000"/>
          <w:sz w:val="20"/>
          <w:shd w:fill="FFFFFF" w:val="clear"/>
        </w:rPr>
        <w:t>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before="0" w:after="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changes in the global economy may continue to negatively impact demand for our products. This includes shifts in vendor inventory levels and altered customer ordering behaviors, such as unexpected cancellations.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before="0" w:after="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price fluctuations for commodity raw materials used in our end products. Suppliers often pass these cost increases to us through price hikes or surcharges. While we primarily rely on purchase orders rather than long-term contracts, we actively mitigate this risk by securing firm pricing aligned with our planned production volumes.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Exchange and Interest Rate Risk</w:t>
      </w:r>
    </w:p>
    <w:p>
      <w:pPr>
        <w:pStyle w:val="TextBody"/>
        <w:bidi w:val="0"/>
        <w:spacing w:before="0" w:after="0"/>
        <w:jc w:val="left"/>
      </w:p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from fluctuations in foreign currency exchange rates and interest rates, which may adversely impact our financial position. We regularly assess these risks and utilize established policies to protect against potential adverse financial effects.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supervision and involvement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this evaluation, our Chief Executive Officer and Chief Financial Officer have concluded that, as of September 30, 2026, our disclosure controls and procedures were effective.</w:t>
      </w:r>
    </w:p>
    <w:p>
      <w:pPr>
        <w:pStyle w:val="TextBody"/>
        <w:bidi w:val="0"/>
        <w:spacing w:lineRule="auto" w:line="333" w:before="120" w:after="120"/>
        <w:jc w:val="left"/>
        <w:rPr>
          <w:rFonts w:ascii="Times New Roman;serif" w:hAnsi="Times New Roman;serif"/>
          <w:b/>
          <w:color w:val="232323"/>
          <w:sz w:val="20"/>
        </w:rPr>
      </w:pPr>
      <w:r>
        <w:rPr>
          <w:rFonts w:ascii="Times New Roman;serif" w:hAnsi="Times New Roman;serif"/>
          <w:b/>
          <w:color w:val="232323"/>
          <w:sz w:val="20"/>
        </w:rPr>
        <w:t>Changes in Internal Control Over Financial Reporting</w:t>
      </w:r>
    </w:p>
    <w:p>
      <w:pPr>
        <w:pStyle w:val="TextBody"/>
        <w:bidi w:val="0"/>
        <w:spacing w:lineRule="auto" w:line="333" w:before="120" w:after="120"/>
        <w:ind w:left="0" w:right="0" w:firstLine="540"/>
        <w:jc w:val="left"/>
      </w:pPr>
      <w:r>
        <w:rPr>
          <w:rFonts w:ascii="Times New Roman;serif" w:hAnsi="Times New Roman;serif"/>
          <w:b w:val="false"/>
          <w:color w:val="000000"/>
          <w:sz w:val="20"/>
        </w:rPr>
        <w:t xml:space="preserve">There were no changes in our internal control over financial reporting (as defined in Rules 13a-15(f) and 15d-15(f) under the Exchange Act) that occurred during the quarter ended </w:t>
      </w:r>
      <w:r>
        <w:rPr>
          <w:rFonts w:ascii="Times New Roman;serif" w:hAnsi="Times New Roman;serif"/>
          <w:b w:val="false"/>
          <w:color w:val="000000"/>
          <w:sz w:val="20"/>
          <w:shd w:fill="FFFFFF" w:val="clear"/>
        </w:rPr>
        <w:t>September 30, 2026</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56" w:before="360" w:after="283"/>
        <w:jc w:val="center"/>
      </w:pPr>
      <w:r>
        <w:rPr>
          <w:rFonts w:ascii="Times New Roman;serif" w:hAnsi="Times New Roman;serif"/>
          <w:b/>
          <w:color w:val="000000"/>
          <w:sz w:val="20"/>
          <w:shd w:fill="FFFFFF" w:val="clear"/>
        </w:rPr>
        <w:t>PART II</w:t>
      </w:r>
      <w:r>
        <w:rPr>
          <w:color w:val="000000"/>
        </w:rPr>
        <w:t>—</w:t>
      </w: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 involved in various disputes and litigation matters that arise in the ordinary course of business, including material litigation with Wolfspeed and Renesas. For information regarding our material litigation matters, see Note 14 - “Commitments and Contingencies” to our Condensed Consolidated Financial Statements included in Part I, Item 1 of this report.</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risk factors described under Item 1A of our annual report on Form 10-K for the fiscal year ended December 31, 2025. All of these risk factors should be carefully considered in conjunction with the other information included in this quarterly report on Form 10-Q. The risk factors we disclose, as well as other risks not currently known to us or that we currently view as immaterial, could materially and adversely affect our business, financial condition, results of operations, or the value of our securities. We update these disclosures as required to reflect significant developments and evolving business conditions facing the Company and its businesses.</w:t>
      </w:r>
    </w:p>
    <w:p>
      <w:pPr>
        <w:pStyle w:val="TextBody"/>
        <w:bidi w:val="0"/>
        <w:spacing w:lineRule="auto" w:line="240" w:before="120" w:after="120"/>
        <w:jc w:val="left"/>
        <w:rPr>
          <w:rFonts w:ascii="Times New Roman;serif" w:hAnsi="Times New Roman;serif"/>
          <w:b/>
          <w:i/>
          <w:color w:val="000000"/>
          <w:sz w:val="20"/>
        </w:rPr>
      </w:pPr>
      <w:r>
        <w:rPr>
          <w:rFonts w:ascii="Times New Roman;serif" w:hAnsi="Times New Roman;serif"/>
          <w:b/>
          <w:i/>
          <w:color w:val="000000"/>
          <w:sz w:val="20"/>
        </w:rPr>
        <w:t>We may experience difficulties integrating Claros, Inc. (“Claros”) and other future acquired businesses into our existing operations, and we may not realize the anticipated benefits of our acquisitions, which could adversely affect our business, financial condition and results of operations.</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6, 2026, we closed our acquisition of Claros. The successful integration of acquired businesses including Claros may involve significant challenges, such as integrating personnel, operations, technologies, products, information technology systems, financial reporting processes, internal controls, and sales and distribution channels. We may also face challenges retaining customers, suppliers and strategic partners or meeting revenue and other operational milestones. These challenges may be particularly significant in cases where an acquired business operates in different geographic markets, utilizes different manufacturing processes or supply chain arrangements, or serves different customers or end markets. For example, Claros' integrated voltage regulator business represents a new market and technology for us and we may have difficulty integrating it into our overall operations. The integration process may be complex, costly and time-consuming and could result in unanticipated expenses, operational disruptions, delays in product development or commercialization, difficulties coordinating manufacturing and supply chain activities, the loss of key employees, customers or strategic partners, or the diversion of management’s attention from our existing business. In addition, we may discover liabilities, contractual obligations, operational deficiencies or other issues that were not identified or fully evaluated prior to completing such acquisition.</w:t>
      </w:r>
    </w:p>
    <w:p>
      <w:pPr>
        <w:pStyle w:val="TextBody"/>
        <w:bidi w:val="0"/>
        <w:spacing w:lineRule="auto" w:line="333"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assure you that we will successfully integrate Claros or any other future acquired business within our anticipated timeframe or budget, or that we will achieve the expected operational efficiencies, revenue growth, cost savings, milestones or other strategic benefits of an acquisition. We may also incur restructuring charges, integration expenses, impairment charges or other costs that adversely affect our financial performance. Any failure to successfully integrate Claros or any other acquired business, or any delay or unexpected difficulty in doing so, could disrupt our operations, impair our ability to execute our business strategy and have a material adverse effect on our business, financial condition and results of operations.</w:t>
      </w:r>
    </w:p>
    <w:p>
      <w:pPr>
        <w:pStyle w:val="TextBody"/>
        <w:bidi w:val="0"/>
        <w:spacing w:before="0" w:after="0"/>
        <w:jc w:val="left"/>
      </w:pPr>
      <w:r/>
    </w:p>
    <w:p>
      <w:pPr>
        <w:pStyle w:val="TextBody"/>
        <w:bidi w:val="0"/>
        <w:spacing w:lineRule="auto" w:line="240" w:before="120" w:after="120"/>
        <w:jc w:val="left"/>
        <w:rPr>
          <w:rFonts w:ascii="Times New Roman;serif" w:hAnsi="Times New Roman;serif"/>
          <w:b/>
          <w:i/>
          <w:color w:val="000000"/>
          <w:sz w:val="20"/>
        </w:rPr>
      </w:pPr>
      <w:r>
        <w:rPr>
          <w:rFonts w:ascii="Times New Roman;serif" w:hAnsi="Times New Roman;serif"/>
          <w:b/>
          <w:i/>
          <w:color w:val="000000"/>
          <w:sz w:val="20"/>
        </w:rPr>
        <w:t>Intellectual property infringement or misappropriation assertions by third parties could result in significant costs and adversely affect our business, financial condition, operating results and reputation.</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we infringe or misappropriate, or are accused of infringing or misappropriating, the intellectual property rights of third parties, we may incur substantial costs or be unable to commercialize new products. The semiconductor industry is characterized by frequent litigation regarding patent and other intellectual property rights, including by both competitors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so-called “non-practicing entities.” We have received communications, and we expect to receive additional communications from time to time, that allege or imply that our products or technologies infringe the patent or other intellectual property rights of third parties or that invite us to take a license to certain allegedly infringed patents. Lawsuits or other proceedings resulting from allegations of infringement could subject us to significant liability for damages, invalidate our proprietary rights, force us to make changes to our products, and adversely affect our business. In some cases, the allegation of patent infringement is made against our end-customer who may seek indemnification from us. In the event that any third-party succeeds in asserting a valid claim against us or any of our end customers, we could be forced to do one or more of the following:</w:t>
      </w:r>
    </w:p>
    <w:p>
      <w:pPr>
        <w:pStyle w:val="TextBody"/>
        <w:bidi w:val="0"/>
        <w:spacing w:before="0" w:after="0"/>
        <w:jc w:val="left"/>
      </w:pPr>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Discontinue selling, importing or using certain technologies that contain the allegedly infringing intellectual property, which could cause us to stop manufacturing certain products;</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Seek to develop non-infringing technologies, which may not be feasible;</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Incur significant legal expenses, including defense costs under indemnification obligations;</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Pay substantial monetary damages to the party whose intellectual property rights we may be found to be infringing; and/or</w:t>
      </w:r>
    </w:p>
    <w:p>
      <w:pPr>
        <w:pStyle w:val="TextBody"/>
        <w:bidi w:val="0"/>
        <w:spacing w:lineRule="auto" w:line="288" w:before="0" w:after="16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We or our end customers could be required to seek licenses to the infringed technology that may not be available on commercially reasonable terms, if at all.</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not prevail in such matters or be able to license any valid and infringed patents from third parties on commercially reasonable terms. This could result in the loss of our ability to make, import and sell our products or require us to pay costly royalties to third parties in connection with sales of our products. In addition, if a third-party causes us to discontinue the use of any patented technologies, we could be required to design around those technologies. This could be 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when we believe we do not infringe the intellectual property rights of a third party, we may decide to enter into a settlement agreement with the third party in order to avoid the risks and costs resulting from protracted litigation. Such settlement agreements may require us to make fixed or recurring payments to the third party, which could materially and adversely impact our business, financial condition and results of operations.</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example, Wolfspeed has filed a lawsuit in the U.S. District Court for the District of Delaware, alleging that certain of our GaN and SiC products infringe certain of Wolfspeed's GaN and SiC patents. We will defend ourselves vigorously against this lawsuit, but patent litigation is costly and outcomes are uncertain. Wolfspeed is seeking monetary damages and injunctive relief, among other remedies. An adverse result could have a material adverse effect on our business and even if we prevail in the litigation, doing so may be costly and time consuming and may divert management’s attention from our business.</w:t>
      </w:r>
    </w:p>
    <w:p>
      <w:pPr>
        <w:pStyle w:val="TextBody"/>
        <w:bidi w:val="0"/>
        <w:spacing w:lineRule="auto" w:line="333"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on or about July 22, 2026, Renesas Electronics Corporation and Renesas Electronics America Inc. (together, "Renesas") filed a lawsuit against us and two of our employees who are former employees of Renesas, including our chief executive officer, alleging misappropriation of trade secrets, breach of contract and other claims. The litigation was filed in the United States District Court for the Northern District of California. On or about September 23,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333"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Renesas filed an amended complaint that added a third employee who is a former employee of Renesas as a defendant and asserted additional claims. We are evaluating this complaint and intend to vigorously defend ourselves against these allegations, but a negative result could have a material adverse impact on our business.</w:t>
      </w:r>
    </w:p>
    <w:p>
      <w:pPr>
        <w:pStyle w:val="TextBody"/>
        <w:bidi w:val="0"/>
        <w:spacing w:before="0" w:after="0"/>
        <w:jc w:val="left"/>
      </w:pPr>
      <w:r/>
    </w:p>
    <w:p>
      <w:pPr>
        <w:pStyle w:val="TextBody"/>
        <w:bidi w:val="0"/>
        <w:spacing w:lineRule="auto" w:line="333" w:before="0" w:after="0"/>
        <w:jc w:val="left"/>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before="0" w:after="0"/>
        <w:jc w:val="left"/>
      </w:p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pPr>
      <w:r/>
    </w:p>
    <w:p>
      <w:pPr>
        <w:pStyle w:val="TextBody"/>
        <w:bidi w:val="0"/>
        <w:spacing w:lineRule="auto" w:line="333" w:before="0" w:after="0"/>
        <w:jc w:val="left"/>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before="0" w:after="0"/>
        <w:jc w:val="left"/>
      </w:p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p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p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p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p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00" w:before="0" w:after="0"/>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before="360" w:after="283"/>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7"/>
        <w:gridCol w:w="235"/>
        <w:gridCol w:w="237"/>
        <w:gridCol w:w="116"/>
        <w:gridCol w:w="116"/>
        <w:gridCol w:w="116"/>
        <w:gridCol w:w="2879"/>
        <w:gridCol w:w="2743"/>
        <w:gridCol w:w="2771"/>
        <w:gridCol w:w="116"/>
        <w:gridCol w:w="116"/>
        <w:gridCol w:w="116"/>
        <w:gridCol w:w="109"/>
        <w:gridCol w:w="109"/>
        <w:gridCol w:w="159"/>
      </w:tblGrid>
      <w:t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9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Times New Roman;serif" w:hAnsi="Times New Roman;serif"/>
                  <w:b w:val="false"/>
                  <w:color w:val="0000FF"/>
                  <w:sz w:val="18"/>
                  <w:u w:val="single"/>
                </w:rPr>
                <w:t>Agreement and Plan of Merger, dated August 24, 2026, by and among Navitas Semiconductor Corporation, Claros, Inc., Compass Merger Sub 1 Inc., Compass Merger Sub 2 LLC, and Shareholder Representative Services LLC (incorporated by reference to Exhibit 2.1 of our current report on Form 8-K, filed with the SEC on August 25,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4">
              <w:r>
                <w:rPr>
                  <w:rStyle w:val="InternetLink"/>
                  <w:rFonts w:ascii="Times New Roman;serif" w:hAnsi="Times New Roman;serif"/>
                  <w:b w:val="false"/>
                  <w:color w:val="0000FF"/>
                  <w:sz w:val="18"/>
                  <w:u w:val="single"/>
                </w:rPr>
                <w:t>Second Amended and Restated Certificate of Incorporation of Navitas Semiconductor Corporation (incorporated by reference to Exhibit 3.1 of our current report on Form 8-K, filed with the SEC on October 25, 2021).</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5">
              <w:r>
                <w:rPr>
                  <w:rStyle w:val="InternetLink"/>
                  <w:rFonts w:ascii="Times New Roman;serif" w:hAnsi="Times New Roman;serif"/>
                  <w:b w:val="false"/>
                  <w:color w:val="0000FF"/>
                  <w:sz w:val="18"/>
                  <w:u w:val="single"/>
                </w:rPr>
                <w:t>Amended and Restated Bylaws of Navitas Semiconductor Corporation (incorporated by reference to Exhibit 3.1 of our current report on Form 8-K, filed with the SEC on April 10, 2025)</w:t>
              </w:r>
            </w:hyperlink>
            <w:r>
              <w:rPr>
                <w:rFonts w:ascii="Times New Roman;serif" w:hAnsi="Times New Roman;serif"/>
                <w:b w:val="false"/>
                <w:color w:val="000000"/>
                <w:sz w:val="18"/>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6">
              <w:r>
                <w:rPr>
                  <w:rStyle w:val="InternetLink"/>
                  <w:rFonts w:ascii="Times New Roman;serif" w:hAnsi="Times New Roman;serif"/>
                  <w:b w:val="false"/>
                  <w:color w:val="0000FF"/>
                  <w:sz w:val="18"/>
                  <w:u w:val="single"/>
                </w:rPr>
                <w:t>Share Purchase Agreement, dated September 18, 2026, by and between Magnachip Semiconductor Corporation and Navitas Semiconductor Corporation (incorporated by reference to Exhibit 10.1 of our current report on Form 8-K, filed with the SEC on September 21,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7">
              <w:r>
                <w:rPr>
                  <w:rStyle w:val="InternetLink"/>
                  <w:rFonts w:ascii="Times New Roman;serif" w:hAnsi="Times New Roman;serif"/>
                  <w:b w:val="false"/>
                  <w:color w:val="0000FF"/>
                  <w:sz w:val="18"/>
                  <w:u w:val="single"/>
                </w:rPr>
                <w:t>Claros, Inc. 2024 Equity Incentive Plan (incorporated by reference to Exhibit 99.1 of our registration statement on Form S-8 (File No. 333-299329), filed with the SEC on October 6,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8">
              <w:r>
                <w:rPr>
                  <w:rStyle w:val="InternetLink"/>
                  <w:rFonts w:ascii="Times New Roman;serif" w:hAnsi="Times New Roman;serif"/>
                  <w:b w:val="false"/>
                  <w:color w:val="0000FF"/>
                  <w:sz w:val="18"/>
                  <w:u w:val="single"/>
                </w:rPr>
                <w:t>Amendment to Claros, Inc. 2024 Equity Incentive Plan (incorporated by reference to Exhibit 99.2 of our registration statement on Form S-8 (File No. 333-299329), filed with the SEC on October 6,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9">
              <w:r>
                <w:rPr>
                  <w:rStyle w:val="InternetLink"/>
                  <w:rFonts w:ascii="Times New Roman;serif" w:hAnsi="Times New Roman;serif"/>
                  <w:b w:val="false"/>
                  <w:color w:val="0000FF"/>
                  <w:sz w:val="18"/>
                  <w:u w:val="single"/>
                </w:rPr>
                <w:t>Form of Claros, Inc. Stock Option Agreement (incorporated by reference to Exhibit 99.3 of our registration statement on Form S-8 (File No. 333-299329), filed with the SEC on October 6, 2026).</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105-formofrestricte.htm">
              <w:r>
                <w:rPr>
                  <w:rStyle w:val="InternetLink"/>
                  <w:rFonts w:ascii="Times New Roman;serif" w:hAnsi="Times New Roman;serif"/>
                  <w:b w:val="false"/>
                  <w:color w:val="0000FF"/>
                  <w:sz w:val="18"/>
                  <w:u w:val="single"/>
                </w:rPr>
                <w:t>Form of Notice of Grant of Restricted Stock and Restricted Stock Agreement under the Navitas Semiconductor Corporation 2021 Equity Incentive Plan for former Claros, Inc. employees</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106-formofperforman.htm">
              <w:r>
                <w:rPr>
                  <w:rStyle w:val="InternetLink"/>
                  <w:rFonts w:ascii="Times New Roman;serif" w:hAnsi="Times New Roman;serif"/>
                  <w:b w:val="false"/>
                  <w:color w:val="0000FF"/>
                  <w:sz w:val="18"/>
                  <w:u w:val="single"/>
                </w:rPr>
                <w:t>Form of Performance Share Award Grant Notice and Performance Shares Agreement under the Navitas Semiconductor Corporation 2021 Equity Incentive Plan for former Claros, Inc. employees</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11-ceo302cert3q2026.htm">
              <w:r>
                <w:rPr>
                  <w:rStyle w:val="InternetLink"/>
                  <w:rFonts w:ascii="Times New Roman;serif" w:hAnsi="Times New Roman;serif"/>
                  <w:b w:val="false"/>
                  <w:color w:val="0000FF"/>
                  <w:sz w:val="18"/>
                  <w:u w:val="single"/>
                </w:rPr>
                <w:t>Certification of the Chief Executive Officer pursuant to Rule 13a-14(a) of the Exchange Act</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12-cfo302cert3q2026.htm">
              <w:r>
                <w:rPr>
                  <w:rStyle w:val="InternetLink"/>
                  <w:rFonts w:ascii="Times New Roman;serif" w:hAnsi="Times New Roman;serif"/>
                  <w:b w:val="false"/>
                  <w:color w:val="0000FF"/>
                  <w:sz w:val="18"/>
                  <w:u w:val="single"/>
                </w:rPr>
                <w:t>Certification of the Chief Financial Officer pursuant to Rule 13a-14(a) of the Exchange Act</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hibit321-combined906cert.htm">
              <w:r>
                <w:rPr>
                  <w:rStyle w:val="InternetLink"/>
                  <w:rFonts w:ascii="Times New Roman;serif" w:hAnsi="Times New Roman;serif"/>
                  <w:b w:val="false"/>
                  <w:color w:val="0000FF"/>
                  <w:sz w:val="18"/>
                  <w:u w:val="single"/>
                </w:rPr>
                <w:t>Certification of the Chief Executive Officer and the Chief Financial Officer pursuant to Rule 13a-14(b) of the Exchange Act and 18 U.S.C. § 1350</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 The exhibits and schedules have been omitted pursuant to Item 601(a)(5) of Regulation S-K under the Securities Act of 1933, as amended. The Company agrees to furnish supplementally a copy of all omitted exhibits and schedules to the SEC upon request; provided, that the Company may request confidential treatment for any exhibits or schedules so furnished</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Furnished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Management contract or compensatory arrangement.</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00" w:before="360" w:after="283"/>
        <w:jc w:val="left"/>
      </w:pPr>
      <w:hyperlink w:anchor="i3c1cfedc56bc4cf2b0e702331222fb8b_7">
        <w:r>
          <w:rPr>
            <w:rStyle w:val="InternetLink"/>
            <w:rFonts w:ascii="Adelle Sans Light;sans-serif" w:hAnsi="Adelle Sans Light;sans-serif"/>
            <w:b w:val="false"/>
            <w:color w:val="929292"/>
            <w:sz w:val="16"/>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pPr>
      <w:r/>
    </w:p>
    <w:tbl>
      <w:tblPr>
        <w:tblW w:w="5839"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931"/>
        <w:gridCol w:w="931"/>
        <w:gridCol w:w="1348"/>
      </w:tblGrid>
      <w:t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c>
          <w:tcPr>
            <w:tcW w:w="5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NAVITAS SEMICONDUCTOR CORPORATION</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 Allexandre</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Allexandre</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r>
    </w:tbl>
    <w:p>
      <w:pPr>
        <w:pStyle w:val="TextBody"/>
        <w:bidi w:val="0"/>
        <w:spacing w:before="240" w:after="283"/>
        <w:ind w:left="0" w:right="0" w:firstLine="540"/>
        <w:jc w:val="left"/>
      </w:pPr>
      <w:r/>
    </w:p>
    <w:tbl>
      <w:tblPr>
        <w:tblW w:w="6273"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1057"/>
        <w:gridCol w:w="1057"/>
        <w:gridCol w:w="1530"/>
      </w:tblGrid>
      <w:t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c>
          <w:tcPr>
            <w:tcW w:w="62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NAVITAS SEMICONDUCTOR CORPORATION</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Tonya Stevens</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Tonya Stevens</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2026</w:t>
            </w:r>
          </w:p>
        </w:tc>
      </w:tr>
    </w:tbl>
    <w:p>
      <w:pPr>
        <w:pStyle w:val="TextBody"/>
        <w:bidi w:val="0"/>
        <w:spacing w:before="0" w:after="0"/>
        <w:jc w:val="left"/>
      </w:pPr>
      <w:r/>
    </w:p>
    <w:p>
      <w:pPr>
        <w:pStyle w:val="TextBody"/>
        <w:bidi w:val="0"/>
        <w:spacing w:before="240" w:after="283"/>
        <w:jc w:val="left"/>
      </w:pPr>
      <w:r/>
    </w:p>
    <w:p>
      <w:pPr>
        <w:pStyle w:val="TextBody"/>
        <w:bidi w:val="0"/>
        <w:spacing w:before="40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NAVITAS SEMICONDUCTOR CORPORATION</w:t>
        <w:br/>
        <w:t>2021 EQUITY INCENTIVE PLAN</w:t>
        <w:br/>
        <w:t>NOTICE OF GRANT OF RESTRICTED STOCK</w:t>
      </w:r>
    </w:p>
    <w:p>
      <w:pPr>
        <w:pStyle w:val="TextBody"/>
        <w:bidi w:val="0"/>
        <w:spacing w:lineRule="auto" w:line="288" w:before="0" w:after="160"/>
        <w:jc w:val="both"/>
      </w:pPr>
      <w:r>
        <w:rPr>
          <w:rFonts w:ascii="Times New Roman;serif" w:hAnsi="Times New Roman;serif"/>
          <w:b w:val="false"/>
          <w:color w:val="000000"/>
          <w:sz w:val="22"/>
        </w:rPr>
        <w:t>Navitas Semiconductor Corporation,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pursuant to its 2021 Equity Incentive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hereby grants to the holder listed below (the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an award of restricted shares of Stock (the “</w:t>
      </w:r>
      <w:r>
        <w:rPr>
          <w:rFonts w:ascii="Times New Roman;serif" w:hAnsi="Times New Roman;serif"/>
          <w:b/>
          <w:i/>
          <w:color w:val="000000"/>
          <w:sz w:val="22"/>
        </w:rPr>
        <w:t>Award</w:t>
      </w:r>
      <w:r>
        <w:rPr>
          <w:color w:val="000000"/>
        </w:rPr>
        <w:t>”</w:t>
      </w:r>
      <w:r>
        <w:rPr>
          <w:rFonts w:ascii="Times New Roman;serif" w:hAnsi="Times New Roman;serif"/>
          <w:b w:val="false"/>
          <w:color w:val="000000"/>
          <w:sz w:val="22"/>
        </w:rPr>
        <w:t>). The Award is subject to all of the terms and conditions set forth in this Grant Notice, the Restricted Stock Agreement attached hereto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and the Plan, each of which is incorporated herein by reference. Unless otherwise defined in this Grant Notice or the Agreement, capitalized terms used herein or therein shall have the meanings ascribed to them in the Plan.</w:t>
      </w:r>
    </w:p>
    <w:p>
      <w:pPr>
        <w:pStyle w:val="TextBody"/>
        <w:bidi w:val="0"/>
        <w:spacing w:before="240" w:after="283"/>
        <w:jc w:val="both"/>
      </w:pPr>
      <w:r/>
    </w:p>
    <w:tbl>
      <w:tblPr>
        <w:tblW w:w="10205" w:type="dxa"/>
        <w:jc w:val="left"/>
        <w:tblInd w:w="0" w:type="dxa"/>
        <w:tblLayout w:type="fixed"/>
        <w:tblCellMar>
          <w:top w:w="28" w:type="dxa"/>
          <w:left w:w="28" w:type="dxa"/>
          <w:bottom w:w="28" w:type="dxa"/>
          <w:right w:w="28" w:type="dxa"/>
        </w:tblCellMar>
      </w:tblPr>
      <w:tblGrid>
        <w:gridCol w:w="938"/>
        <w:gridCol w:w="481"/>
        <w:gridCol w:w="483"/>
        <w:gridCol w:w="2476"/>
        <w:gridCol w:w="2476"/>
        <w:gridCol w:w="3351"/>
      </w:tblGrid>
      <w:tr>
        <w:tc>
          <w:tcPr>
            <w:tcW w:w="93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Participant:</w:t>
            </w:r>
          </w:p>
        </w:tc>
        <w:tc>
          <w:tcPr>
            <w:tcW w:w="8303"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[_____________]</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Date of Grant:</w:t>
            </w:r>
          </w:p>
        </w:tc>
        <w:tc>
          <w:tcPr>
            <w:tcW w:w="8303"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[_____________]</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Type of Award:</w:t>
            </w:r>
          </w:p>
        </w:tc>
        <w:tc>
          <w:tcPr>
            <w:tcW w:w="830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Restricted Stock</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Total Number of Shares:</w:t>
            </w:r>
          </w:p>
        </w:tc>
        <w:tc>
          <w:tcPr>
            <w:tcW w:w="8303"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[_____________]</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8303" w:type="dxa"/>
            <w:gridSpan w:val="3"/>
            <w:tcBorders/>
            <w:tcMar>
              <w:top w:w="0" w:type="dxa"/>
              <w:left w:w="0" w:type="dxa"/>
              <w:bottom w:w="0" w:type="dxa"/>
              <w:right w:w="0" w:type="dxa"/>
            </w:tcMar>
            <w:vAlign w:val="center"/>
          </w:tcPr>
          <w:p>
            <w:pPr>
              <w:pStyle w:val="TableContents"/>
              <w:bidi w:val="0"/>
              <w:spacing w:before="0" w:after="160"/>
              <w:jc w:val="both"/>
            </w:pPr>
            <w:r/>
          </w:p>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October 6, 2026 </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Vesting Schedule:</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Subject to the Participant’s continuous Service through each applicable vesting date and the terms of the Agreement, twenty-five percent (25%) of the Total Number of Shares shall vest on the first anniversary of the Vesting Commencement Date, and the remaining seventy-five percent (75%) shall vest in twelve substantially equal quarterly installments thereafter, with the final installment vesting on the fourth anniversary of the Vesting Commencement Date.</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Issuance:</w:t>
            </w:r>
          </w:p>
        </w:tc>
        <w:tc>
          <w:tcPr>
            <w:tcW w:w="8303"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The Shares shall be issued in accordance with Section 6.1 of the Agreement.</w:t>
            </w:r>
          </w:p>
        </w:tc>
      </w:tr>
      <w:tr>
        <w:tc>
          <w:tcPr>
            <w:tcW w:w="1902"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Termination:</w:t>
            </w:r>
          </w:p>
        </w:tc>
        <w:tc>
          <w:tcPr>
            <w:tcW w:w="8303"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otherwise provided by a Superseding Agreement, if any, upon termination of the Participant’s Service for any reason, all then-unvested Shares shall be automatically forfeited without payment of any consideration to Participant. </w:t>
            </w:r>
          </w:p>
        </w:tc>
      </w:tr>
    </w:tbl>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By the Participant’s signature and the Company’s signature below, the Participant agrees to be bound by the terms and conditions of the Plan, the Agreement and this Grant Notice. The Participant acknowledges receipt of, and represents that the Participant has read and is familiar with, the Plan, the Agreement and this Grant Notice, has had an opportunity to obtain the advice of counsel before executing this Grant Notice and accepts the Award subject to all of their terms. The Participant agrees to accept as binding, </w:t>
      </w:r>
    </w:p>
    <w:p>
      <w:pPr>
        <w:pStyle w:val="TextBody"/>
        <w:bidi w:val="0"/>
        <w:spacing w:before="0" w:after="160"/>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conclusive and final all decisions or interpretations of the Committee upon any questions arising under the Plan, the Agreement or this Grant Notice.</w:t>
      </w:r>
    </w:p>
    <w:p>
      <w:pPr>
        <w:pStyle w:val="TextBody"/>
        <w:bidi w:val="0"/>
        <w:spacing w:before="0" w:after="160"/>
        <w:jc w:val="left"/>
      </w:pPr>
      <w:r/>
    </w:p>
    <w:tbl>
      <w:tblPr>
        <w:tblW w:w="8596" w:type="dxa"/>
        <w:jc w:val="center"/>
        <w:tblInd w:w="0" w:type="dxa"/>
        <w:tblLayout w:type="fixed"/>
        <w:tblCellMar>
          <w:top w:w="28" w:type="dxa"/>
          <w:left w:w="28" w:type="dxa"/>
          <w:bottom w:w="28" w:type="dxa"/>
          <w:right w:w="28" w:type="dxa"/>
        </w:tblCellMar>
      </w:tblPr>
      <w:tblGrid>
        <w:gridCol w:w="939"/>
        <w:gridCol w:w="823"/>
        <w:gridCol w:w="823"/>
        <w:gridCol w:w="1209"/>
        <w:gridCol w:w="1209"/>
        <w:gridCol w:w="1227"/>
        <w:gridCol w:w="425"/>
        <w:gridCol w:w="425"/>
        <w:gridCol w:w="425"/>
        <w:gridCol w:w="319"/>
        <w:gridCol w:w="319"/>
        <w:gridCol w:w="453"/>
      </w:tblGrid>
      <w:t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c>
          <w:tcPr>
            <w:tcW w:w="6230" w:type="dxa"/>
            <w:gridSpan w:val="6"/>
            <w:tcBorders/>
            <w:tcMar>
              <w:top w:w="0" w:type="dxa"/>
              <w:left w:w="0" w:type="dxa"/>
              <w:bottom w:w="0" w:type="dxa"/>
              <w:right w:w="0" w:type="dxa"/>
            </w:tcMar>
            <w:vAlign w:val="center"/>
          </w:tcPr>
          <w:p>
            <w:pPr>
              <w:pStyle w:val="TableContents"/>
              <w:bidi w:val="0"/>
              <w:spacing w:lineRule="auto" w:line="417" w:before="0" w:after="120"/>
              <w:jc w:val="left"/>
              <w:rPr>
                <w:rFonts w:ascii="Times New Roman;serif" w:hAnsi="Times New Roman;serif"/>
                <w:b/>
                <w:color w:val="000000"/>
                <w:sz w:val="22"/>
              </w:rPr>
            </w:pPr>
            <w:r>
              <w:rPr>
                <w:rFonts w:ascii="Times New Roman;serif" w:hAnsi="Times New Roman;serif"/>
                <w:b/>
                <w:color w:val="000000"/>
                <w:sz w:val="22"/>
              </w:rPr>
              <w:t>NAVITAS SEMICONDUCTOR CORPORATION</w:t>
            </w:r>
          </w:p>
        </w:tc>
        <w:tc>
          <w:tcPr>
            <w:tcW w:w="2366" w:type="dxa"/>
            <w:gridSpan w:val="6"/>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PARTICIPANT:</w:t>
            </w:r>
          </w:p>
        </w:tc>
      </w:tr>
      <w:tr>
        <w:tc>
          <w:tcPr>
            <w:tcW w:w="258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3645" w:type="dxa"/>
            <w:gridSpan w:val="3"/>
            <w:tcBorders/>
            <w:tcMar>
              <w:top w:w="0" w:type="dxa"/>
              <w:left w:w="0" w:type="dxa"/>
              <w:bottom w:w="0" w:type="dxa"/>
              <w:right w:w="0" w:type="dxa"/>
            </w:tcMar>
            <w:vAlign w:val="center"/>
          </w:tcPr>
          <w:p>
            <w:pPr>
              <w:pStyle w:val="TableContents"/>
              <w:bidi w:val="0"/>
              <w:spacing w:lineRule="auto" w:line="417" w:before="0" w:after="0"/>
              <w:jc w:val="both"/>
            </w:pPr>
            <w:r>
              <w:rPr>
                <w:color w:val="000000"/>
                <w:u w:val="single"/>
              </w:rPr>
              <w:t>                </w:t>
            </w:r>
            <w:r>
              <w:rPr>
                <w:rFonts w:ascii="Times New Roman;serif" w:hAnsi="Times New Roman;serif"/>
                <w:b w:val="false"/>
                <w:color w:val="000000"/>
                <w:sz w:val="22"/>
              </w:rPr>
              <w:t>_____</w:t>
            </w:r>
          </w:p>
        </w:tc>
        <w:tc>
          <w:tcPr>
            <w:tcW w:w="127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091" w:type="dxa"/>
            <w:gridSpan w:val="3"/>
            <w:tcBorders/>
            <w:tcMar>
              <w:top w:w="0" w:type="dxa"/>
              <w:left w:w="0" w:type="dxa"/>
              <w:bottom w:w="0" w:type="dxa"/>
              <w:right w:w="0" w:type="dxa"/>
            </w:tcMar>
            <w:vAlign w:val="center"/>
          </w:tcPr>
          <w:p>
            <w:pPr>
              <w:pStyle w:val="TableContents"/>
              <w:bidi w:val="0"/>
              <w:spacing w:lineRule="auto" w:line="417" w:before="0" w:after="0"/>
              <w:jc w:val="both"/>
              <w:rPr>
                <w:color w:val="000000"/>
                <w:u w:val="single"/>
              </w:rPr>
            </w:pPr>
            <w:r>
              <w:rPr>
                <w:color w:val="000000"/>
                <w:u w:val="single"/>
              </w:rPr>
              <w:t>                </w:t>
            </w:r>
          </w:p>
        </w:tc>
      </w:tr>
      <w:tr>
        <w:tc>
          <w:tcPr>
            <w:tcW w:w="258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64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Chris Allexandre</w:t>
            </w:r>
          </w:p>
        </w:tc>
        <w:tc>
          <w:tcPr>
            <w:tcW w:w="127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1091" w:type="dxa"/>
            <w:gridSpan w:val="3"/>
            <w:tcBorders/>
            <w:tcMar>
              <w:top w:w="0" w:type="dxa"/>
              <w:left w:w="0" w:type="dxa"/>
              <w:bottom w:w="0" w:type="dxa"/>
              <w:right w:w="0" w:type="dxa"/>
            </w:tcMar>
            <w:vAlign w:val="center"/>
          </w:tcPr>
          <w:p>
            <w:pPr>
              <w:pStyle w:val="TableContents"/>
              <w:bidi w:val="0"/>
              <w:spacing w:lineRule="auto" w:line="417" w:before="0" w:after="0"/>
              <w:jc w:val="both"/>
              <w:rPr>
                <w:color w:val="000000"/>
                <w:u w:val="single"/>
              </w:rPr>
            </w:pPr>
            <w:r>
              <w:rPr>
                <w:color w:val="000000"/>
                <w:u w:val="single"/>
              </w:rPr>
              <w:t>                </w:t>
            </w:r>
          </w:p>
        </w:tc>
      </w:tr>
      <w:tr>
        <w:tc>
          <w:tcPr>
            <w:tcW w:w="258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3645"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c>
          <w:tcPr>
            <w:tcW w:w="1275" w:type="dxa"/>
            <w:gridSpan w:val="3"/>
            <w:tcBorders/>
            <w:tcMar>
              <w:top w:w="0" w:type="dxa"/>
              <w:left w:w="0" w:type="dxa"/>
              <w:bottom w:w="0" w:type="dxa"/>
              <w:right w:w="0" w:type="dxa"/>
            </w:tcMar>
            <w:vAlign w:val="center"/>
          </w:tcPr>
          <w:p>
            <w:pPr>
              <w:pStyle w:val="TableContents"/>
              <w:bidi w:val="0"/>
              <w:spacing w:lineRule="auto" w:line="417" w:before="0" w:after="0"/>
              <w:jc w:val="both"/>
              <w:rPr>
                <w:color w:val="000000"/>
              </w:rPr>
            </w:pPr>
            <w:r>
              <w:rPr>
                <w:color w:val="000000"/>
              </w:rPr>
              <w:t>  </w:t>
            </w:r>
          </w:p>
        </w:tc>
        <w:tc>
          <w:tcPr>
            <w:tcW w:w="1091" w:type="dxa"/>
            <w:gridSpan w:val="3"/>
            <w:tcBorders/>
            <w:tcMar>
              <w:top w:w="0" w:type="dxa"/>
              <w:left w:w="0" w:type="dxa"/>
              <w:bottom w:w="0" w:type="dxa"/>
              <w:right w:w="0" w:type="dxa"/>
            </w:tcMar>
            <w:vAlign w:val="center"/>
          </w:tcPr>
          <w:p>
            <w:pPr>
              <w:pStyle w:val="TableContents"/>
              <w:bidi w:val="0"/>
              <w:spacing w:before="0" w:after="0"/>
              <w:jc w:val="both"/>
            </w:pPr>
            <w:r/>
          </w:p>
        </w:tc>
      </w:tr>
      <w:t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NAVITAS SEMICONDUCTOR CORPORATION</w: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RESTRICTED STOCK AGREEMENT</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(U.S. Participants)</w:t>
      </w:r>
    </w:p>
    <w:p>
      <w:pPr>
        <w:pStyle w:val="TextBody"/>
        <w:bidi w:val="0"/>
        <w:spacing w:lineRule="auto" w:line="288" w:before="240" w:after="283"/>
        <w:jc w:val="both"/>
      </w:pPr>
      <w:r>
        <w:rPr>
          <w:rFonts w:ascii="Times New Roman;serif" w:hAnsi="Times New Roman;serif"/>
          <w:b w:val="false"/>
          <w:color w:val="000000"/>
          <w:sz w:val="22"/>
          <w:shd w:fill="FFFFFF" w:val="clear"/>
        </w:rPr>
        <w:t>Navitas Semiconductor Corporation, a Delaware corporation (the “</w:t>
      </w:r>
      <w:r>
        <w:rPr>
          <w:rFonts w:ascii="Times New Roman;serif" w:hAnsi="Times New Roman;serif"/>
          <w:b/>
          <w:i/>
          <w:color w:val="000000"/>
          <w:sz w:val="22"/>
          <w:shd w:fill="FFFFFF" w:val="clear"/>
        </w:rPr>
        <w:t>Company</w:t>
      </w:r>
      <w:r>
        <w:rPr>
          <w:color w:val="000000"/>
          <w:shd w:fill="FFFFFF" w:val="clear"/>
        </w:rPr>
        <w:t>”</w:t>
      </w:r>
      <w:r>
        <w:rPr>
          <w:rFonts w:ascii="Times New Roman;serif" w:hAnsi="Times New Roman;serif"/>
          <w:b w:val="false"/>
          <w:color w:val="000000"/>
          <w:sz w:val="22"/>
          <w:shd w:fill="FFFFFF" w:val="clear"/>
        </w:rPr>
        <w:t>), has granted to the Participant named in the Notice of Grant of Restricted Stock (the “</w:t>
      </w:r>
      <w:r>
        <w:rPr>
          <w:rFonts w:ascii="Times New Roman;serif" w:hAnsi="Times New Roman;serif"/>
          <w:b/>
          <w:i/>
          <w:color w:val="000000"/>
          <w:sz w:val="22"/>
          <w:shd w:fill="FFFFFF" w:val="clear"/>
        </w:rPr>
        <w:t>Grant Notice</w:t>
      </w:r>
      <w:r>
        <w:rPr>
          <w:color w:val="000000"/>
          <w:shd w:fill="FFFFFF" w:val="clear"/>
        </w:rPr>
        <w:t>”</w:t>
      </w:r>
      <w:r>
        <w:rPr>
          <w:rFonts w:ascii="Times New Roman;serif" w:hAnsi="Times New Roman;serif"/>
          <w:b w:val="false"/>
          <w:color w:val="000000"/>
          <w:sz w:val="22"/>
          <w:shd w:fill="FFFFFF" w:val="clear"/>
        </w:rPr>
        <w:t>) to which this Restricted Stock Agreement (this “</w:t>
      </w:r>
      <w:r>
        <w:rPr>
          <w:rFonts w:ascii="Times New Roman;serif" w:hAnsi="Times New Roman;serif"/>
          <w:b/>
          <w:i/>
          <w:color w:val="000000"/>
          <w:sz w:val="22"/>
          <w:shd w:fill="FFFFFF" w:val="clear"/>
        </w:rPr>
        <w:t>Agreement</w:t>
      </w:r>
      <w:r>
        <w:rPr>
          <w:color w:val="000000"/>
          <w:shd w:fill="FFFFFF" w:val="clear"/>
        </w:rPr>
        <w:t>”</w:t>
      </w:r>
      <w:r>
        <w:rPr>
          <w:rFonts w:ascii="Times New Roman;serif" w:hAnsi="Times New Roman;serif"/>
          <w:b w:val="false"/>
          <w:color w:val="000000"/>
          <w:sz w:val="22"/>
          <w:shd w:fill="FFFFFF" w:val="clear"/>
        </w:rPr>
        <w:t>) is attached an Award consisting of restricted shares of Stock (the “</w:t>
      </w:r>
      <w:r>
        <w:rPr>
          <w:rFonts w:ascii="Times New Roman;serif" w:hAnsi="Times New Roman;serif"/>
          <w:b/>
          <w:i/>
          <w:color w:val="000000"/>
          <w:sz w:val="22"/>
          <w:shd w:fill="FFFFFF" w:val="clear"/>
        </w:rPr>
        <w:t>Shares</w:t>
      </w:r>
      <w:r>
        <w:rPr>
          <w:color w:val="000000"/>
          <w:shd w:fill="FFFFFF" w:val="clear"/>
        </w:rPr>
        <w:t>”</w:t>
      </w:r>
      <w:r>
        <w:rPr>
          <w:rFonts w:ascii="Times New Roman;serif" w:hAnsi="Times New Roman;serif"/>
          <w:b w:val="false"/>
          <w:color w:val="000000"/>
          <w:sz w:val="22"/>
          <w:shd w:fill="FFFFFF" w:val="clear"/>
        </w:rPr>
        <w:t>), subject to the terms and conditions set forth in the Grant Notice and this Agreement. The Award has been granted pursuant to and shall in all respects be subject to the terms and conditions of the Navitas Semiconductor Corporation 2021 Equity Incentive Plan (the “</w:t>
      </w:r>
      <w:r>
        <w:rPr>
          <w:rFonts w:ascii="Times New Roman;serif" w:hAnsi="Times New Roman;serif"/>
          <w:b/>
          <w:i/>
          <w:color w:val="000000"/>
          <w:sz w:val="22"/>
          <w:shd w:fill="FFFFFF" w:val="clear"/>
        </w:rPr>
        <w:t>Plan</w:t>
      </w:r>
      <w:r>
        <w:rPr>
          <w:color w:val="000000"/>
          <w:shd w:fill="FFFFFF" w:val="clear"/>
        </w:rPr>
        <w:t>”</w:t>
      </w:r>
      <w:r>
        <w:rPr>
          <w:rFonts w:ascii="Times New Roman;serif" w:hAnsi="Times New Roman;serif"/>
          <w:b w:val="false"/>
          <w:color w:val="000000"/>
          <w:sz w:val="22"/>
          <w:shd w:fill="FFFFFF" w:val="clear"/>
        </w:rPr>
        <w:t>), as amended,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serif" w:hAnsi="Times New Roman;serif"/>
          <w:b/>
          <w:i/>
          <w:color w:val="000000"/>
          <w:sz w:val="22"/>
          <w:shd w:fill="FFFFFF" w:val="clear"/>
        </w:rPr>
        <w:t>Plan Prospectus</w:t>
      </w:r>
      <w:r>
        <w:rPr>
          <w:color w:val="000000"/>
          <w:shd w:fill="FFFFFF" w:val="clear"/>
        </w:rPr>
        <w:t>”</w:t>
      </w:r>
      <w:r>
        <w:rPr>
          <w:rFonts w:ascii="Times New Roman;serif" w:hAnsi="Times New Roman;serif"/>
          <w:b w:val="false"/>
          <w:color w:val="000000"/>
          <w:sz w:val="22"/>
          <w:shd w:fill="FFFFFF" w:val="clear"/>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88" w:before="240" w:after="283"/>
        <w:jc w:val="both"/>
      </w:pPr>
      <w:r>
        <w:rPr>
          <w:rFonts w:ascii="Times New Roman;serif" w:hAnsi="Times New Roman;serif"/>
          <w:b w:val="false"/>
          <w:color w:val="000000"/>
          <w:sz w:val="22"/>
          <w:shd w:fill="FFFFFF" w:val="clear"/>
        </w:rPr>
        <w:t>1. </w:t>
      </w:r>
      <w:r>
        <w:rPr>
          <w:rFonts w:ascii="Times New Roman;serif" w:hAnsi="Times New Roman;serif"/>
          <w:b/>
          <w:color w:val="000000"/>
          <w:sz w:val="22"/>
          <w:u w:val="single"/>
          <w:shd w:fill="FFFFFF" w:val="clear"/>
        </w:rPr>
        <w:t>DEFINITIONS AND CONSTRUCTION</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1.1 </w:t>
      </w:r>
      <w:r>
        <w:rPr>
          <w:rFonts w:ascii="Times New Roman;serif" w:hAnsi="Times New Roman;serif"/>
          <w:b/>
          <w:color w:val="000000"/>
          <w:sz w:val="22"/>
          <w:shd w:fill="FFFFFF" w:val="clear"/>
        </w:rPr>
        <w:t>Definitions</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Unless otherwise defined herein, capitalized terms shall have the meanings assigned to such terms in the Grant Notice or the Plan.</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1.2 </w:t>
      </w:r>
      <w:r>
        <w:rPr>
          <w:rFonts w:ascii="Times New Roman;serif" w:hAnsi="Times New Roman;serif"/>
          <w:b/>
          <w:color w:val="000000"/>
          <w:sz w:val="22"/>
          <w:shd w:fill="FFFFFF" w:val="clear"/>
        </w:rPr>
        <w:t>Construction</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88" w:before="240" w:after="283"/>
        <w:jc w:val="both"/>
      </w:pPr>
      <w:r>
        <w:rPr>
          <w:rFonts w:ascii="Times New Roman;serif" w:hAnsi="Times New Roman;serif"/>
          <w:b w:val="false"/>
          <w:color w:val="000000"/>
          <w:sz w:val="22"/>
          <w:shd w:fill="FFFFFF" w:val="clear"/>
        </w:rPr>
        <w:t>2. </w:t>
      </w:r>
      <w:r>
        <w:rPr>
          <w:rFonts w:ascii="Times New Roman;serif" w:hAnsi="Times New Roman;serif"/>
          <w:b/>
          <w:color w:val="000000"/>
          <w:sz w:val="22"/>
          <w:u w:val="single"/>
          <w:shd w:fill="FFFFFF" w:val="clear"/>
        </w:rPr>
        <w:t>ADMINISTRATION</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w:t>
      </w:r>
    </w:p>
    <w:p>
      <w:pPr>
        <w:pStyle w:val="TextBody"/>
        <w:bidi w:val="0"/>
        <w:spacing w:before="0" w:after="160"/>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2"/>
          <w:shd w:fill="FFFFFF" w:val="clear"/>
        </w:rPr>
        <w:t>3. </w:t>
      </w:r>
      <w:r>
        <w:rPr>
          <w:rFonts w:ascii="Times New Roman;serif" w:hAnsi="Times New Roman;serif"/>
          <w:b/>
          <w:color w:val="000000"/>
          <w:sz w:val="22"/>
          <w:u w:val="single"/>
          <w:shd w:fill="FFFFFF" w:val="clear"/>
        </w:rPr>
        <w:t>THE AWARD</w:t>
      </w:r>
      <w:r>
        <w:rPr>
          <w:rFonts w:ascii="Times New Roman;serif" w:hAnsi="Times New Roman;serif"/>
          <w:b/>
          <w:color w:val="000000"/>
          <w:sz w:val="22"/>
          <w:shd w:fill="FFFFFF" w:val="clear"/>
        </w:rPr>
        <w:t>.</w:t>
      </w:r>
    </w:p>
    <w:p>
      <w:pPr>
        <w:pStyle w:val="TextBody"/>
        <w:bidi w:val="0"/>
        <w:spacing w:before="0" w:after="0"/>
        <w:ind w:left="0" w:right="0" w:firstLine="490"/>
        <w:jc w:val="both"/>
      </w:pPr>
      <w:r/>
    </w:p>
    <w:p>
      <w:pPr>
        <w:pStyle w:val="TextBody"/>
        <w:bidi w:val="0"/>
        <w:spacing w:lineRule="auto" w:line="288" w:before="0" w:after="160"/>
        <w:ind w:left="0" w:right="0" w:firstLine="1080"/>
        <w:jc w:val="both"/>
      </w:pPr>
      <w:r>
        <w:rPr>
          <w:rFonts w:ascii="Times New Roman;serif" w:hAnsi="Times New Roman;serif"/>
          <w:b w:val="false"/>
          <w:color w:val="000000"/>
          <w:sz w:val="22"/>
        </w:rPr>
        <w:t xml:space="preserve">3.1 </w:t>
      </w:r>
      <w:r>
        <w:rPr>
          <w:rFonts w:ascii="Times New Roman;serif" w:hAnsi="Times New Roman;serif"/>
          <w:b/>
          <w:color w:val="000000"/>
          <w:sz w:val="22"/>
        </w:rPr>
        <w:t>Grant of Restricted Stock.</w:t>
      </w:r>
      <w:r>
        <w:rPr>
          <w:color w:val="000000"/>
        </w:rPr>
        <w:t xml:space="preserve"> </w:t>
      </w:r>
      <w:r>
        <w:rPr>
          <w:rFonts w:ascii="Times New Roman;serif" w:hAnsi="Times New Roman;serif"/>
          <w:b w:val="false"/>
          <w:color w:val="000000"/>
          <w:sz w:val="22"/>
        </w:rPr>
        <w:t>On the Date of Grant, the Participant shall acquire, subject to the provisions of this Agreement, the Total Number of Shares set forth in the Grant Notice, subject to adjustment as provided in Section 9.</w:t>
      </w:r>
    </w:p>
    <w:p>
      <w:pPr>
        <w:pStyle w:val="TextBody"/>
        <w:bidi w:val="0"/>
        <w:spacing w:lineRule="auto" w:line="288" w:before="0" w:after="160"/>
        <w:ind w:left="0" w:right="0" w:firstLine="1080"/>
        <w:jc w:val="both"/>
      </w:pPr>
      <w:r>
        <w:rPr>
          <w:rFonts w:ascii="Times New Roman;serif" w:hAnsi="Times New Roman;serif"/>
          <w:b w:val="false"/>
          <w:color w:val="000000"/>
          <w:sz w:val="22"/>
        </w:rPr>
        <w:t xml:space="preserve">3.2 </w:t>
      </w:r>
      <w:r>
        <w:rPr>
          <w:rFonts w:ascii="Times New Roman;serif" w:hAnsi="Times New Roman;serif"/>
          <w:b/>
          <w:color w:val="000000"/>
          <w:sz w:val="22"/>
        </w:rPr>
        <w:t>No Monetary Payment Required.</w:t>
      </w:r>
      <w:r>
        <w:rPr>
          <w:color w:val="000000"/>
        </w:rPr>
        <w:t xml:space="preserve"> </w:t>
      </w:r>
      <w:r>
        <w:rPr>
          <w:rFonts w:ascii="Times New Roman;serif" w:hAnsi="Times New Roman;serif"/>
          <w:b w:val="false"/>
          <w:color w:val="000000"/>
          <w:sz w:val="22"/>
        </w:rPr>
        <w:t>The Participant is not required to make any monetary payment (other than applicable tax withholding, if any) as a condition to receiving the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w:t>
      </w:r>
    </w:p>
    <w:p>
      <w:pPr>
        <w:pStyle w:val="TextBody"/>
        <w:bidi w:val="0"/>
        <w:spacing w:lineRule="auto" w:line="288" w:before="0" w:after="160"/>
        <w:jc w:val="left"/>
      </w:pPr>
      <w:r>
        <w:rPr>
          <w:rFonts w:ascii="Times New Roman;serif" w:hAnsi="Times New Roman;serif"/>
          <w:b w:val="false"/>
          <w:color w:val="000000"/>
          <w:sz w:val="22"/>
        </w:rPr>
        <w:t xml:space="preserve">4. </w:t>
      </w:r>
      <w:r>
        <w:rPr>
          <w:rFonts w:ascii="Times New Roman;serif" w:hAnsi="Times New Roman;serif"/>
          <w:b/>
          <w:color w:val="000000"/>
          <w:sz w:val="22"/>
          <w:u w:val="single"/>
        </w:rPr>
        <w:t>VESTING OF SHARES</w:t>
      </w:r>
      <w:r>
        <w:rPr>
          <w:rFonts w:ascii="Times New Roman;serif" w:hAnsi="Times New Roman;serif"/>
          <w:b/>
          <w:color w:val="000000"/>
          <w:sz w:val="22"/>
        </w:rPr>
        <w:t>.</w:t>
      </w:r>
    </w:p>
    <w:p>
      <w:pPr>
        <w:pStyle w:val="TextBody"/>
        <w:bidi w:val="0"/>
        <w:spacing w:lineRule="auto" w:line="288" w:before="0" w:after="160"/>
        <w:ind w:left="0" w:right="0" w:firstLine="1080"/>
        <w:jc w:val="left"/>
      </w:pPr>
      <w:r>
        <w:rPr>
          <w:rFonts w:ascii="Times New Roman;serif" w:hAnsi="Times New Roman;serif"/>
          <w:b w:val="false"/>
          <w:color w:val="000000"/>
          <w:sz w:val="22"/>
        </w:rPr>
        <w:t>Shares acquired pursuant to this Agreement shall become vested (“</w:t>
      </w:r>
      <w:r>
        <w:rPr>
          <w:rFonts w:ascii="Times New Roman;serif" w:hAnsi="Times New Roman;serif"/>
          <w:b/>
          <w:i/>
          <w:color w:val="000000"/>
          <w:sz w:val="22"/>
        </w:rPr>
        <w:t>Vested Shares</w:t>
      </w:r>
      <w:r>
        <w:rPr>
          <w:color w:val="000000"/>
        </w:rPr>
        <w:t>”</w:t>
      </w:r>
      <w:r>
        <w:rPr>
          <w:rFonts w:ascii="Times New Roman;serif" w:hAnsi="Times New Roman;serif"/>
          <w:b w:val="false"/>
          <w:color w:val="000000"/>
          <w:sz w:val="22"/>
        </w:rPr>
        <w:t>) as provided in the Grant Notice.</w:t>
      </w:r>
    </w:p>
    <w:p>
      <w:pPr>
        <w:pStyle w:val="TextBody"/>
        <w:bidi w:val="0"/>
        <w:spacing w:lineRule="auto" w:line="288" w:before="240" w:after="283"/>
        <w:jc w:val="left"/>
      </w:pPr>
      <w:r>
        <w:rPr>
          <w:rFonts w:ascii="Times New Roman;serif" w:hAnsi="Times New Roman;serif"/>
          <w:b w:val="false"/>
          <w:color w:val="000000"/>
          <w:sz w:val="22"/>
          <w:shd w:fill="FFFFFF" w:val="clear"/>
        </w:rPr>
        <w:t xml:space="preserve">5. </w:t>
      </w:r>
      <w:r>
        <w:rPr>
          <w:rFonts w:ascii="Times New Roman;serif" w:hAnsi="Times New Roman;serif"/>
          <w:b/>
          <w:color w:val="000000"/>
          <w:sz w:val="22"/>
          <w:u w:val="single"/>
          <w:shd w:fill="FFFFFF" w:val="clear"/>
        </w:rPr>
        <w:t>COMPANY REACQUISITION RIGHT</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5.1 </w:t>
      </w:r>
      <w:r>
        <w:rPr>
          <w:rFonts w:ascii="Times New Roman;serif" w:hAnsi="Times New Roman;serif"/>
          <w:b/>
          <w:color w:val="000000"/>
          <w:sz w:val="22"/>
          <w:shd w:fill="FFFFFF" w:val="clear"/>
        </w:rPr>
        <w:t>Grant of Company Reacquisition Right.</w:t>
      </w:r>
      <w:r>
        <w:rPr>
          <w:color w:val="000000"/>
          <w:shd w:fill="FFFFFF" w:val="clear"/>
        </w:rPr>
        <w:t> </w:t>
      </w:r>
      <w:r>
        <w:rPr>
          <w:rFonts w:ascii="Times New Roman;serif" w:hAnsi="Times New Roman;serif"/>
          <w:b w:val="false"/>
          <w:color w:val="000000"/>
          <w:sz w:val="22"/>
          <w:shd w:fill="FFFFFF" w:val="clear"/>
        </w:rPr>
        <w:t>Except to the extent otherwise provided by the Superseding Agreement, if any, in the event that the Participant’s Service terminates for any reason or no reason, with or without cause, the Participant shall forfeit and the Company shall automatically reacquire all Shares which are not, as of the time of such termination, Vested Shares (</w:t>
      </w:r>
      <w:r>
        <w:rPr>
          <w:color w:val="000000"/>
          <w:shd w:fill="FFFFFF" w:val="clear"/>
        </w:rPr>
        <w:t>“</w:t>
      </w:r>
      <w:r>
        <w:rPr>
          <w:rFonts w:ascii="Times New Roman;serif" w:hAnsi="Times New Roman;serif"/>
          <w:b/>
          <w:i/>
          <w:color w:val="000000"/>
          <w:sz w:val="22"/>
          <w:shd w:fill="FFFFFF" w:val="clear"/>
        </w:rPr>
        <w:t>Unvested Shares</w:t>
      </w:r>
      <w:r>
        <w:rPr>
          <w:color w:val="000000"/>
          <w:shd w:fill="FFFFFF" w:val="clear"/>
        </w:rPr>
        <w:t>”</w:t>
      </w:r>
      <w:r>
        <w:rPr>
          <w:rFonts w:ascii="Times New Roman;serif" w:hAnsi="Times New Roman;serif"/>
          <w:b w:val="false"/>
          <w:i/>
          <w:color w:val="000000"/>
          <w:sz w:val="22"/>
          <w:shd w:fill="FFFFFF" w:val="clear"/>
        </w:rPr>
        <w:t>)</w:t>
      </w:r>
      <w:r>
        <w:rPr>
          <w:rFonts w:ascii="Times New Roman;serif" w:hAnsi="Times New Roman;serif"/>
          <w:b w:val="false"/>
          <w:color w:val="000000"/>
          <w:sz w:val="22"/>
          <w:shd w:fill="FFFFFF" w:val="clear"/>
        </w:rPr>
        <w:t>, and the Participant shall not be entitled to any payment therefor (the </w:t>
      </w:r>
      <w:r>
        <w:rPr>
          <w:color w:val="000000"/>
          <w:shd w:fill="FFFFFF" w:val="clear"/>
        </w:rPr>
        <w:t>“</w:t>
      </w:r>
      <w:r>
        <w:rPr>
          <w:rFonts w:ascii="Times New Roman;serif" w:hAnsi="Times New Roman;serif"/>
          <w:b/>
          <w:i/>
          <w:color w:val="000000"/>
          <w:sz w:val="22"/>
          <w:shd w:fill="FFFFFF" w:val="clear"/>
        </w:rPr>
        <w:t>Company Reacquisition Right</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5.2 </w:t>
      </w:r>
      <w:r>
        <w:rPr>
          <w:rFonts w:ascii="Times New Roman;serif" w:hAnsi="Times New Roman;serif"/>
          <w:b/>
          <w:color w:val="000000"/>
          <w:sz w:val="22"/>
          <w:shd w:fill="FFFFFF" w:val="clear"/>
        </w:rPr>
        <w:t>Ownership Change Event, Non-Cash Dividends, Distributions and Adjustments</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to which the Participant is entitled by reason of the Participant’s ownership of Unvested Shares shall be immediately subject to the Company Reacquisition Right and included in the terms “Shares” and “Unvested Shares” for all purposes of the Company Reacquisition Right with the same force and effect as the Unvested Shares immediately prior to the Ownership Change Event, dividend, distribution or adjustment, as the case may 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spacing w:lineRule="auto" w:line="288" w:before="0" w:after="160"/>
        <w:jc w:val="left"/>
        <w:rPr>
          <w:color w:val="000000"/>
        </w:rPr>
      </w:pPr>
      <w:r>
        <w:rPr>
          <w:color w:val="000000"/>
        </w:rPr>
        <w:t>  </w:t>
      </w:r>
    </w:p>
    <w:p>
      <w:pPr>
        <w:pStyle w:val="TextBody"/>
        <w:bidi w:val="0"/>
        <w:spacing w:lineRule="auto" w:line="288" w:before="0" w:after="160"/>
        <w:jc w:val="left"/>
      </w:pPr>
      <w:r>
        <w:rPr>
          <w:rFonts w:ascii="Times New Roman;serif" w:hAnsi="Times New Roman;serif"/>
          <w:b w:val="false"/>
          <w:color w:val="000000"/>
          <w:sz w:val="22"/>
        </w:rPr>
        <w:t xml:space="preserve">6. </w:t>
      </w:r>
      <w:r>
        <w:rPr>
          <w:rFonts w:ascii="Times New Roman;serif" w:hAnsi="Times New Roman;serif"/>
          <w:b/>
          <w:color w:val="000000"/>
          <w:sz w:val="22"/>
          <w:u w:val="single"/>
        </w:rPr>
        <w:t>ISSUANCE AND CUSTODY OF SHARES</w:t>
      </w:r>
      <w:r>
        <w:rPr>
          <w:rFonts w:ascii="Times New Roman;serif" w:hAnsi="Times New Roman;serif"/>
          <w:b/>
          <w:color w:val="000000"/>
          <w:sz w:val="22"/>
        </w:rPr>
        <w:t>.</w:t>
      </w:r>
    </w:p>
    <w:p>
      <w:pPr>
        <w:pStyle w:val="TextBody"/>
        <w:bidi w:val="0"/>
        <w:spacing w:before="0" w:after="160"/>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ind w:left="0" w:right="0" w:firstLine="1109"/>
        <w:jc w:val="both"/>
      </w:pPr>
      <w:r>
        <w:rPr>
          <w:rFonts w:ascii="Times New Roman;serif" w:hAnsi="Times New Roman;serif"/>
          <w:b w:val="false"/>
          <w:color w:val="000000"/>
          <w:sz w:val="22"/>
          <w:shd w:fill="FFFFFF" w:val="clear"/>
        </w:rPr>
        <w:t xml:space="preserve">6.1 </w:t>
      </w:r>
      <w:r>
        <w:rPr>
          <w:rFonts w:ascii="Times New Roman;serif" w:hAnsi="Times New Roman;serif"/>
          <w:b/>
          <w:color w:val="000000"/>
          <w:sz w:val="22"/>
          <w:shd w:fill="FFFFFF" w:val="clear"/>
        </w:rPr>
        <w:t>Issuance of Shares of Stock.</w:t>
      </w:r>
      <w:r>
        <w:rPr>
          <w:color w:val="000000"/>
          <w:shd w:fill="FFFFFF" w:val="clear"/>
        </w:rPr>
        <w:t xml:space="preserve"> </w:t>
      </w:r>
      <w:r>
        <w:rPr>
          <w:rFonts w:ascii="Times New Roman;serif" w:hAnsi="Times New Roman;serif"/>
          <w:b w:val="false"/>
          <w:color w:val="000000"/>
          <w:sz w:val="22"/>
          <w:shd w:fill="FFFFFF" w:val="clear"/>
        </w:rPr>
        <w:t>Subject to the provisions of Section 6.3, the Company shall issue to the Participant on or promptly following the Date of Grant the Total Number of Shares set forth in the Grant Notice. The Shares shall remain subject to the vesting and forfeiture provisions of this Agreement until they become Vested Shares.</w:t>
      </w:r>
    </w:p>
    <w:p>
      <w:pPr>
        <w:pStyle w:val="TextBody"/>
        <w:bidi w:val="0"/>
        <w:spacing w:lineRule="auto" w:line="288" w:before="240" w:after="283"/>
        <w:ind w:left="0" w:right="0" w:firstLine="1109"/>
        <w:jc w:val="both"/>
      </w:pPr>
      <w:r>
        <w:rPr>
          <w:rFonts w:ascii="Times New Roman;serif" w:hAnsi="Times New Roman;serif"/>
          <w:b w:val="false"/>
          <w:color w:val="000000"/>
          <w:sz w:val="22"/>
          <w:shd w:fill="FFFFFF" w:val="clear"/>
        </w:rPr>
        <w:t>6.2</w:t>
      </w:r>
      <w:r>
        <w:rPr>
          <w:color w:val="000000"/>
        </w:rPr>
        <w:t xml:space="preserve"> </w:t>
      </w:r>
      <w:r>
        <w:rPr>
          <w:rFonts w:ascii="Times New Roman;serif" w:hAnsi="Times New Roman;serif"/>
          <w:b/>
          <w:color w:val="000000"/>
          <w:sz w:val="22"/>
          <w:shd w:fill="FFFFFF" w:val="clear"/>
        </w:rPr>
        <w:t>Beneficial Ownership of Shares; Certificate Registration</w:t>
      </w:r>
      <w:r>
        <w:rPr>
          <w:rFonts w:ascii="Times New Roman;serif" w:hAnsi="Times New Roman;serif"/>
          <w:b/>
          <w:i/>
          <w:color w:val="000000"/>
          <w:sz w:val="22"/>
          <w:shd w:fill="FFFFFF" w:val="clear"/>
        </w:rPr>
        <w:t>.</w:t>
      </w:r>
      <w:r>
        <w:rPr>
          <w:color w:val="000000"/>
        </w:rPr>
        <w:t xml:space="preserve"> </w:t>
      </w:r>
      <w:r>
        <w:rPr>
          <w:rFonts w:ascii="Times New Roman;serif" w:hAnsi="Times New Roman;serif"/>
          <w:b w:val="false"/>
          <w:color w:val="000000"/>
          <w:sz w:val="22"/>
          <w:shd w:fill="FFFFFF" w:val="clear"/>
        </w:rPr>
        <w:t>The Participant hereby authorizes the Company, in its sole discretion, to deposit any or all Shares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shall be registered in the name of the Participant, or, if applicable, in the names of the heirs of the Participant. The Company may retain custody of any certificates representing Unvested Shares until such Shares become vested.</w:t>
      </w:r>
    </w:p>
    <w:p>
      <w:pPr>
        <w:pStyle w:val="TextBody"/>
        <w:bidi w:val="0"/>
        <w:spacing w:lineRule="auto" w:line="288" w:before="240" w:after="283"/>
        <w:ind w:left="0" w:right="0" w:firstLine="1109"/>
        <w:jc w:val="both"/>
      </w:pPr>
      <w:r>
        <w:rPr>
          <w:rFonts w:ascii="Times New Roman;serif" w:hAnsi="Times New Roman;serif"/>
          <w:b w:val="false"/>
          <w:color w:val="000000"/>
          <w:sz w:val="22"/>
          <w:shd w:fill="FFFFFF" w:val="clear"/>
        </w:rPr>
        <w:t>6.3</w:t>
      </w:r>
      <w:r>
        <w:rPr>
          <w:color w:val="000000"/>
        </w:rPr>
        <w:t xml:space="preserve"> </w:t>
      </w:r>
      <w:r>
        <w:rPr>
          <w:rFonts w:ascii="Times New Roman;serif" w:hAnsi="Times New Roman;serif"/>
          <w:b/>
          <w:color w:val="000000"/>
          <w:sz w:val="22"/>
          <w:shd w:fill="FFFFFF" w:val="clear"/>
        </w:rPr>
        <w:t>Restrictions on Grant of the Award and Issuance of Shares</w:t>
      </w:r>
      <w:r>
        <w:rPr>
          <w:rFonts w:ascii="Times New Roman;serif" w:hAnsi="Times New Roman;serif"/>
          <w:b/>
          <w:i/>
          <w:color w:val="000000"/>
          <w:sz w:val="22"/>
          <w:shd w:fill="FFFFFF" w:val="clear"/>
        </w:rPr>
        <w:t>.</w:t>
      </w:r>
      <w:r>
        <w:rPr>
          <w:color w:val="000000"/>
        </w:rPr>
        <w:t xml:space="preserve"> </w:t>
      </w:r>
      <w:r>
        <w:rPr>
          <w:rFonts w:ascii="Times New Roman;serif" w:hAnsi="Times New Roman;serif"/>
          <w:b w:val="false"/>
          <w:color w:val="000000"/>
          <w:sz w:val="22"/>
          <w:shd w:fill="FFFFFF" w:val="clear"/>
        </w:rPr>
        <w:t>The grant of the Award and issuance of Shares shall be subject to compliance with all applicable requirements of federal, state or foreign law with respect to such securities. No Shares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88" w:before="240" w:after="283"/>
        <w:ind w:left="0" w:right="0" w:firstLine="1109"/>
        <w:jc w:val="both"/>
      </w:pPr>
      <w:r>
        <w:rPr>
          <w:rFonts w:ascii="Times New Roman;serif" w:hAnsi="Times New Roman;serif"/>
          <w:b w:val="false"/>
          <w:color w:val="000000"/>
          <w:sz w:val="22"/>
          <w:shd w:fill="FFFFFF" w:val="clear"/>
        </w:rPr>
        <w:t>6.4</w:t>
      </w:r>
      <w:r>
        <w:rPr>
          <w:color w:val="000000"/>
        </w:rPr>
        <w:t xml:space="preserve"> </w:t>
      </w:r>
      <w:r>
        <w:rPr>
          <w:rFonts w:ascii="Times New Roman;serif" w:hAnsi="Times New Roman;serif"/>
          <w:b/>
          <w:color w:val="000000"/>
          <w:sz w:val="22"/>
          <w:shd w:fill="FFFFFF" w:val="clear"/>
        </w:rPr>
        <w:t>Fractional Shares</w:t>
      </w:r>
      <w:r>
        <w:rPr>
          <w:rFonts w:ascii="Times New Roman;serif" w:hAnsi="Times New Roman;serif"/>
          <w:b/>
          <w:i/>
          <w:color w:val="000000"/>
          <w:sz w:val="22"/>
          <w:shd w:fill="FFFFFF" w:val="clear"/>
        </w:rPr>
        <w:t>.</w:t>
      </w:r>
      <w:r>
        <w:rPr>
          <w:color w:val="000000"/>
        </w:rPr>
        <w:t xml:space="preserve"> </w:t>
      </w:r>
      <w:r>
        <w:rPr>
          <w:rFonts w:ascii="Times New Roman;serif" w:hAnsi="Times New Roman;serif"/>
          <w:b w:val="false"/>
          <w:color w:val="000000"/>
          <w:sz w:val="22"/>
          <w:shd w:fill="FFFFFF" w:val="clear"/>
        </w:rPr>
        <w:t>The Company shall not be required to issue fractional Shares under the Award.</w:t>
      </w:r>
    </w:p>
    <w:p>
      <w:pPr>
        <w:pStyle w:val="TextBody"/>
        <w:bidi w:val="0"/>
        <w:spacing w:lineRule="auto" w:line="288" w:before="240" w:after="283"/>
        <w:ind w:left="0" w:right="0" w:firstLine="1109"/>
        <w:jc w:val="both"/>
      </w:pPr>
      <w:r>
        <w:rPr>
          <w:rFonts w:ascii="Times New Roman;serif" w:hAnsi="Times New Roman;serif"/>
          <w:b w:val="false"/>
          <w:color w:val="000000"/>
          <w:sz w:val="22"/>
          <w:shd w:fill="FFFFFF" w:val="clear"/>
        </w:rPr>
        <w:t xml:space="preserve">6.5 </w:t>
      </w:r>
      <w:r>
        <w:rPr>
          <w:rFonts w:ascii="Times New Roman;serif" w:hAnsi="Times New Roman;serif"/>
          <w:b/>
          <w:color w:val="000000"/>
          <w:sz w:val="22"/>
          <w:shd w:fill="FFFFFF" w:val="clear"/>
        </w:rPr>
        <w:t>Stock Power.</w:t>
      </w:r>
      <w:r>
        <w:rPr>
          <w:color w:val="000000"/>
          <w:shd w:fill="FFFFFF" w:val="clear"/>
        </w:rPr>
        <w:t xml:space="preserve"> </w:t>
      </w:r>
      <w:r>
        <w:rPr>
          <w:rFonts w:ascii="Times New Roman;serif" w:hAnsi="Times New Roman;serif"/>
          <w:b w:val="false"/>
          <w:color w:val="000000"/>
          <w:sz w:val="22"/>
          <w:shd w:fill="FFFFFF" w:val="clear"/>
        </w:rPr>
        <w:t>The Participant shall execute the stock power attached hereto as Exhibit A, which the Company may hold and use solely to effect the Company Reacquisition Right with respect to Unvested Shares. The stock power shall be ineffective with respect to any Shares upon their becoming Vested Shares.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490"/>
        <w:jc w:val="both"/>
      </w:pPr>
      <w:r>
        <w:rPr>
          <w:rFonts w:ascii="Times New Roman;serif" w:hAnsi="Times New Roman;serif"/>
          <w:b w:val="false"/>
          <w:color w:val="000000"/>
          <w:sz w:val="22"/>
          <w:shd w:fill="FFFFFF" w:val="clear"/>
        </w:rPr>
        <w:t>7. </w:t>
      </w:r>
      <w:r>
        <w:rPr>
          <w:rFonts w:ascii="Times New Roman;serif" w:hAnsi="Times New Roman;serif"/>
          <w:b/>
          <w:color w:val="000000"/>
          <w:sz w:val="22"/>
          <w:u w:val="single"/>
          <w:shd w:fill="FFFFFF" w:val="clear"/>
        </w:rPr>
        <w:t>TAX WITHHOLDING</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7.1</w:t>
      </w:r>
      <w:r>
        <w:rPr>
          <w:color w:val="000000"/>
        </w:rPr>
        <w:t xml:space="preserve"> </w:t>
      </w:r>
      <w:r>
        <w:rPr>
          <w:rFonts w:ascii="Times New Roman;serif" w:hAnsi="Times New Roman;serif"/>
          <w:b/>
          <w:color w:val="000000"/>
          <w:sz w:val="22"/>
          <w:shd w:fill="FFFFFF" w:val="clear"/>
        </w:rPr>
        <w:t>In General.</w:t>
      </w:r>
      <w:r>
        <w:rPr>
          <w:color w:val="000000"/>
        </w:rPr>
        <w:t xml:space="preserve"> </w:t>
      </w:r>
      <w:r>
        <w:rPr>
          <w:rFonts w:ascii="Times New Roman;serif" w:hAnsi="Times New Roman;serif"/>
          <w:b w:val="false"/>
          <w:color w:val="000000"/>
          <w:sz w:val="22"/>
          <w:shd w:fill="FFFFFF" w:val="clear"/>
        </w:rPr>
        <w:t>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or the vesting of Shares. The Company shall have no obligation to release Shares from any escrow or other arrangement established under this Agreement until the tax withholding obligations of the Participating Company have been satisfied by the Participant. With respect to any Participant that is deemed to be an independent contractor rather than an employee, all</w:t>
      </w:r>
      <w:r>
        <w:rPr>
          <w:color w:val="000000"/>
        </w:rPr>
        <w:t xml:space="preserve"> </w:t>
      </w:r>
      <w:r>
        <w:rPr>
          <w:rFonts w:ascii="Times New Roman;serif" w:hAnsi="Times New Roman;serif"/>
          <w:b w:val="false"/>
          <w:color w:val="000000"/>
          <w:sz w:val="22"/>
          <w:shd w:fill="FFFFFF" w:val="clear"/>
        </w:rPr>
        <w:t>tax-related</w:t>
      </w:r>
      <w:r>
        <w:rPr>
          <w:color w:val="000000"/>
        </w:rPr>
        <w:t xml:space="preserve"> </w:t>
      </w:r>
      <w:r>
        <w:rPr>
          <w:rFonts w:ascii="Times New Roman;serif" w:hAnsi="Times New Roman;serif"/>
          <w:b w:val="false"/>
          <w:color w:val="000000"/>
          <w:sz w:val="22"/>
          <w:shd w:fill="FFFFFF" w:val="clear"/>
        </w:rPr>
        <w:t>payments associated with the grant or vesting of Shares shall be the sole responsibility of that Participant.</w:t>
      </w:r>
    </w:p>
    <w:p>
      <w:pPr>
        <w:pStyle w:val="TextBody"/>
        <w:bidi w:val="0"/>
        <w:spacing w:before="0" w:after="16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7.2</w:t>
      </w:r>
      <w:r>
        <w:rPr>
          <w:color w:val="000000"/>
        </w:rPr>
        <w:t xml:space="preserve"> </w:t>
      </w:r>
      <w:r>
        <w:rPr>
          <w:rFonts w:ascii="Times New Roman;serif" w:hAnsi="Times New Roman;serif"/>
          <w:b/>
          <w:color w:val="000000"/>
          <w:sz w:val="22"/>
          <w:shd w:fill="FFFFFF" w:val="clear"/>
        </w:rPr>
        <w:t>Assignment of Sale Proceeds.</w:t>
      </w:r>
      <w:r>
        <w:rPr>
          <w:color w:val="000000"/>
        </w:rPr>
        <w:t xml:space="preserve"> </w:t>
      </w:r>
      <w:r>
        <w:rPr>
          <w:rFonts w:ascii="Times New Roman;serif" w:hAnsi="Times New Roman;serif"/>
          <w:b w:val="false"/>
          <w:color w:val="000000"/>
          <w:sz w:val="22"/>
          <w:shd w:fill="FFFFFF" w:val="clear"/>
        </w:rPr>
        <w:t>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7.3</w:t>
      </w:r>
      <w:r>
        <w:rPr>
          <w:color w:val="000000"/>
        </w:rPr>
        <w:t xml:space="preserve"> </w:t>
      </w:r>
      <w:r>
        <w:rPr>
          <w:rFonts w:ascii="Times New Roman;serif" w:hAnsi="Times New Roman;serif"/>
          <w:b/>
          <w:color w:val="000000"/>
          <w:sz w:val="22"/>
          <w:shd w:fill="FFFFFF" w:val="clear"/>
        </w:rPr>
        <w:t>Withholding in Shares.</w:t>
      </w:r>
      <w:r>
        <w:rPr>
          <w:color w:val="000000"/>
        </w:rPr>
        <w:t xml:space="preserve"> </w:t>
      </w:r>
      <w:r>
        <w:rPr>
          <w:rFonts w:ascii="Times New Roman;serif" w:hAnsi="Times New Roman;serif"/>
          <w:b w:val="false"/>
          <w:color w:val="000000"/>
          <w:sz w:val="22"/>
          <w:shd w:fill="FFFFFF" w:val="clear"/>
        </w:rPr>
        <w:t>The Company shall have the right, but not the obligation, to require the Participant to satisfy all or any portion of a Participating Company’s tax withholding obligations by withholding from the Shares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adverse accounting consequences, or the maximum individual statutory withholding rates for the applicable jurisdiction if use of such rates would not result in adverse accounting consequences or cost. Any determination by the Company with respect to whether to permit the withholding of Shares to satisfy the tax withholding obligation shall be made by the Committee if the Participant is subject to Section</w:t>
      </w:r>
      <w:r>
        <w:rPr>
          <w:color w:val="000000"/>
        </w:rPr>
        <w:t xml:space="preserve"> </w:t>
      </w:r>
      <w:r>
        <w:rPr>
          <w:rFonts w:ascii="Times New Roman;serif" w:hAnsi="Times New Roman;serif"/>
          <w:b w:val="false"/>
          <w:color w:val="000000"/>
          <w:sz w:val="22"/>
          <w:shd w:fill="FFFFFF" w:val="clear"/>
        </w:rPr>
        <w:t>16 of the Exchange Act.</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8. </w:t>
      </w:r>
      <w:r>
        <w:rPr>
          <w:rFonts w:ascii="Times New Roman;serif" w:hAnsi="Times New Roman;serif"/>
          <w:b/>
          <w:color w:val="000000"/>
          <w:sz w:val="22"/>
          <w:u w:val="single"/>
          <w:shd w:fill="FFFFFF" w:val="clear"/>
        </w:rPr>
        <w:t>EFFECT OF CHANGE IN CONTROL</w:t>
      </w:r>
      <w:r>
        <w:rPr>
          <w:rFonts w:ascii="Times New Roman;serif" w:hAnsi="Times New Roman;serif"/>
          <w:b/>
          <w:i/>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the event of a Change in Control, the Award shall be subject to and treated as set forth in Section 13 of the Plan.</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9. </w:t>
      </w:r>
      <w:r>
        <w:rPr>
          <w:rFonts w:ascii="Times New Roman;serif" w:hAnsi="Times New Roman;serif"/>
          <w:b/>
          <w:color w:val="000000"/>
          <w:sz w:val="22"/>
          <w:u w:val="single"/>
          <w:shd w:fill="FFFFFF" w:val="clear"/>
        </w:rPr>
        <w:t>ADJUSTMENTS FOR CHANGES IN CAPITAL STRUCTURE</w:t>
      </w:r>
      <w:r>
        <w:rPr>
          <w:rFonts w:ascii="Times New Roman;serif" w:hAnsi="Times New Roman;serif"/>
          <w:b/>
          <w:color w:val="000000"/>
          <w:sz w:val="22"/>
          <w:shd w:fill="FFFFFF" w:val="clear"/>
        </w:rPr>
        <w:t>.</w: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Award shall be subject to and treated as set forth in Section 4.3 of the Plan.</w:t>
      </w:r>
    </w:p>
    <w:p>
      <w:pPr>
        <w:pStyle w:val="TextBody"/>
        <w:bidi w:val="0"/>
        <w:spacing w:before="0" w:after="0"/>
        <w:jc w:val="both"/>
      </w:pPr>
      <w:r/>
    </w:p>
    <w:p>
      <w:pPr>
        <w:pStyle w:val="TextBody"/>
        <w:bidi w:val="0"/>
        <w:spacing w:lineRule="auto" w:line="288" w:before="0" w:after="0"/>
        <w:ind w:left="0" w:right="0" w:firstLine="490"/>
        <w:jc w:val="both"/>
      </w:pPr>
      <w:r>
        <w:rPr>
          <w:rFonts w:ascii="Times New Roman;serif" w:hAnsi="Times New Roman;serif"/>
          <w:b w:val="false"/>
          <w:color w:val="000000"/>
          <w:sz w:val="22"/>
          <w:shd w:fill="FFFFFF" w:val="clear"/>
        </w:rPr>
        <w:t>10. </w:t>
      </w:r>
      <w:r>
        <w:rPr>
          <w:rFonts w:ascii="Times New Roman;serif" w:hAnsi="Times New Roman;serif"/>
          <w:b/>
          <w:color w:val="000000"/>
          <w:sz w:val="22"/>
          <w:u w:val="single"/>
          <w:shd w:fill="FFFFFF" w:val="clear"/>
        </w:rPr>
        <w:t>RIGHTS AS A STOCKHOLDER, DIRECTOR, EMPLOYEE OR CONSULTANT</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Except as provided in this Agreement, during any period in which the Shares remain subject to vesting conditions, the Participant shall have all of the rights of a stockholder of the Company with respect to the Shares, including the right to vote the Shares and to receive dividends and other distributions paid with respect to the Shares; provided, however, that such dividends and distributions shall be subject to the same vesting conditions as the Shares with respect to which they were paid.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 xml:space="preserve">11. </w:t>
      </w:r>
      <w:r>
        <w:rPr>
          <w:rFonts w:ascii="Times New Roman;serif" w:hAnsi="Times New Roman;serif"/>
          <w:b/>
          <w:color w:val="000000"/>
          <w:sz w:val="22"/>
          <w:u w:val="single"/>
          <w:shd w:fill="FFFFFF" w:val="clear"/>
        </w:rPr>
        <w:t>LEGENDS AND TRANSFER RESTRICTIONS</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may at any time place legends or stop-transfer instructions referencing any applicable vesting conditions or federal, state or foreign securities law restrictions on all certificates or book-entry records representing Shares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before="0" w:after="160"/>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 xml:space="preserve">12. </w:t>
      </w:r>
      <w:r>
        <w:rPr>
          <w:rFonts w:ascii="Times New Roman;serif" w:hAnsi="Times New Roman;serif"/>
          <w:b/>
          <w:color w:val="000000"/>
          <w:sz w:val="22"/>
          <w:u w:val="single"/>
          <w:shd w:fill="FFFFFF" w:val="clear"/>
        </w:rPr>
        <w:t>SECTION 83(b) ELECTION; SECTION 409A</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 xml:space="preserve">12.1 </w:t>
      </w:r>
      <w:r>
        <w:rPr>
          <w:rFonts w:ascii="Times New Roman;serif" w:hAnsi="Times New Roman;serif"/>
          <w:b/>
          <w:color w:val="000000"/>
          <w:sz w:val="22"/>
          <w:shd w:fill="FFFFFF" w:val="clear"/>
        </w:rPr>
        <w:t>Section 83(b) Election.</w:t>
      </w:r>
      <w:r>
        <w:rPr>
          <w:color w:val="000000"/>
          <w:shd w:fill="FFFFFF" w:val="clear"/>
        </w:rPr>
        <w:t xml:space="preserve"> </w:t>
      </w:r>
      <w:r>
        <w:rPr>
          <w:rFonts w:ascii="Times New Roman;serif" w:hAnsi="Times New Roman;serif"/>
          <w:b w:val="false"/>
          <w:color w:val="000000"/>
          <w:sz w:val="22"/>
          <w:shd w:fill="FFFFFF" w:val="clear"/>
        </w:rPr>
        <w:t>The Participant understands that the Participant may elect under Section 83(b) of the Code to include in income, as of the Date of Grant, the fair market value of the Shares less any amount paid for the Shares. Any such election must be filed by the Participant with the Internal Revenue Service within thirty (30) days after the Date of Grant. The Participant acknowledges that the Participant is solely responsible for determining whether to make such an election and for timely filing any election.</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 xml:space="preserve">12.2 </w:t>
      </w:r>
      <w:r>
        <w:rPr>
          <w:rFonts w:ascii="Times New Roman;serif" w:hAnsi="Times New Roman;serif"/>
          <w:b/>
          <w:color w:val="000000"/>
          <w:sz w:val="22"/>
          <w:shd w:fill="FFFFFF" w:val="clear"/>
        </w:rPr>
        <w:t>Section 409A.</w:t>
      </w:r>
      <w:r>
        <w:rPr>
          <w:color w:val="000000"/>
          <w:shd w:fill="FFFFFF" w:val="clear"/>
        </w:rPr>
        <w:t xml:space="preserve"> </w:t>
      </w:r>
      <w:r>
        <w:rPr>
          <w:rFonts w:ascii="Times New Roman;serif" w:hAnsi="Times New Roman;serif"/>
          <w:b w:val="false"/>
          <w:color w:val="000000"/>
          <w:sz w:val="22"/>
          <w:shd w:fill="FFFFFF" w:val="clear"/>
        </w:rPr>
        <w:t>The Shares constitute property transferred to the Participant on the Date of Grant and are not intended to constitute deferred compensation subject to Section 409A of the Code. This Agreement shall be construed and administered accordingly.</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13. </w:t>
      </w:r>
      <w:r>
        <w:rPr>
          <w:rFonts w:ascii="Times New Roman;serif" w:hAnsi="Times New Roman;serif"/>
          <w:b/>
          <w:color w:val="000000"/>
          <w:sz w:val="22"/>
          <w:u w:val="single"/>
          <w:shd w:fill="FFFFFF" w:val="clear"/>
        </w:rPr>
        <w:t>MISCELLANEOUS PROVISIONS</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13.1 </w:t>
      </w:r>
      <w:r>
        <w:rPr>
          <w:rFonts w:ascii="Times New Roman;serif" w:hAnsi="Times New Roman;serif"/>
          <w:b/>
          <w:color w:val="000000"/>
          <w:sz w:val="22"/>
          <w:shd w:fill="FFFFFF" w:val="clear"/>
        </w:rPr>
        <w:t>Termination or Amendment.</w:t>
      </w:r>
      <w:r>
        <w:rPr>
          <w:color w:val="000000"/>
          <w:shd w:fill="FFFFFF" w:val="clear"/>
        </w:rPr>
        <w:t> </w:t>
      </w:r>
      <w:r>
        <w:rPr>
          <w:rFonts w:ascii="Times New Roman;serif" w:hAnsi="Times New Roman;serif"/>
          <w:b w:val="false"/>
          <w:color w:val="000000"/>
          <w:sz w:val="22"/>
          <w:shd w:fill="FFFFFF" w:val="clear"/>
        </w:rPr>
        <w:t>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13.2</w:t>
      </w:r>
      <w:r>
        <w:rPr>
          <w:color w:val="000000"/>
        </w:rPr>
        <w:t xml:space="preserve"> </w:t>
      </w:r>
      <w:r>
        <w:rPr>
          <w:rFonts w:ascii="Times New Roman;serif" w:hAnsi="Times New Roman;serif"/>
          <w:b/>
          <w:color w:val="000000"/>
          <w:sz w:val="22"/>
          <w:shd w:fill="FFFFFF" w:val="clear"/>
        </w:rPr>
        <w:t>Nontransferability of Unvested Shares.</w:t>
      </w:r>
      <w:r>
        <w:rPr>
          <w:color w:val="000000"/>
          <w:shd w:fill="FFFFFF" w:val="clear"/>
        </w:rPr>
        <w:t xml:space="preserve"> </w:t>
      </w:r>
      <w:r>
        <w:rPr>
          <w:rFonts w:ascii="Times New Roman;serif" w:hAnsi="Times New Roman;serif"/>
          <w:b w:val="false"/>
          <w:color w:val="000000"/>
          <w:sz w:val="22"/>
          <w:shd w:fill="FFFFFF" w:val="clear"/>
        </w:rPr>
        <w:t>During any period in which the Shares remain subject to vesting conditions, the Shares shall not be subject in any manner to anticipation, alienation, sale, exchange, transfer, assignment, pledge, encumbrance, or garnishment by creditors of the Participant or the Participant’s beneficiary, except transfer by will or by the laws of descent and distribution or as otherwise permitted by the Committee.</w:t>
      </w:r>
    </w:p>
    <w:p>
      <w:pPr>
        <w:pStyle w:val="TextBody"/>
        <w:bidi w:val="0"/>
        <w:spacing w:before="0" w:after="0"/>
        <w:ind w:left="0" w:right="0" w:firstLine="1102"/>
        <w:jc w:val="both"/>
      </w:pPr>
      <w:r/>
    </w:p>
    <w:p>
      <w:pPr>
        <w:pStyle w:val="TextBody"/>
        <w:bidi w:val="0"/>
        <w:spacing w:lineRule="auto" w:line="288" w:before="0" w:after="0"/>
        <w:ind w:left="0" w:right="0" w:firstLine="1102"/>
        <w:jc w:val="both"/>
      </w:pPr>
      <w:r>
        <w:rPr>
          <w:rFonts w:ascii="Times New Roman;serif" w:hAnsi="Times New Roman;serif"/>
          <w:b w:val="false"/>
          <w:color w:val="000000"/>
          <w:sz w:val="22"/>
          <w:shd w:fill="FFFFFF" w:val="clear"/>
        </w:rPr>
        <w:t>13.3 </w:t>
      </w:r>
      <w:r>
        <w:rPr>
          <w:rFonts w:ascii="Times New Roman;serif" w:hAnsi="Times New Roman;serif"/>
          <w:b/>
          <w:color w:val="000000"/>
          <w:sz w:val="22"/>
          <w:shd w:fill="FFFFFF" w:val="clear"/>
        </w:rPr>
        <w:t>Further Instruments.</w:t>
      </w:r>
      <w:r>
        <w:rPr>
          <w:color w:val="000000"/>
          <w:shd w:fill="FFFFFF" w:val="clear"/>
        </w:rPr>
        <w:t> </w:t>
      </w:r>
      <w:r>
        <w:rPr>
          <w:rFonts w:ascii="Times New Roman;serif" w:hAnsi="Times New Roman;serif"/>
          <w:b w:val="false"/>
          <w:color w:val="000000"/>
          <w:sz w:val="22"/>
          <w:shd w:fill="FFFFFF" w:val="clear"/>
        </w:rPr>
        <w:t>The parties hereto agree to execute such further instruments and to take such further action as may reasonably be necessary to carry out the intent of this Agreement.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13.4 </w:t>
      </w:r>
      <w:r>
        <w:rPr>
          <w:rFonts w:ascii="Times New Roman;serif" w:hAnsi="Times New Roman;serif"/>
          <w:b/>
          <w:color w:val="000000"/>
          <w:sz w:val="22"/>
          <w:shd w:fill="FFFFFF" w:val="clear"/>
        </w:rPr>
        <w:t>Binding Effect.</w:t>
      </w:r>
      <w:r>
        <w:rPr>
          <w:color w:val="000000"/>
          <w:shd w:fill="FFFFFF" w:val="clear"/>
        </w:rPr>
        <w:t> </w:t>
      </w:r>
      <w:r>
        <w:rPr>
          <w:rFonts w:ascii="Times New Roman;serif" w:hAnsi="Times New Roman;serif"/>
          <w:b w:val="false"/>
          <w:color w:val="000000"/>
          <w:sz w:val="22"/>
          <w:shd w:fill="FFFFFF" w:val="clear"/>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13.5 </w:t>
      </w:r>
      <w:r>
        <w:rPr>
          <w:rFonts w:ascii="Times New Roman;serif" w:hAnsi="Times New Roman;serif"/>
          <w:b/>
          <w:color w:val="000000"/>
          <w:sz w:val="22"/>
          <w:shd w:fill="FFFFFF" w:val="clear"/>
        </w:rPr>
        <w:t>Delivery of Documents and Notices.</w:t>
      </w:r>
      <w:r>
        <w:rPr>
          <w:color w:val="000000"/>
          <w:shd w:fill="FFFFFF" w:val="clear"/>
        </w:rPr>
        <w:t> </w:t>
      </w:r>
      <w:r>
        <w:rPr>
          <w:rFonts w:ascii="Times New Roman;serif" w:hAnsi="Times New Roman;serif"/>
          <w:b w:val="false"/>
          <w:color w:val="000000"/>
          <w:sz w:val="22"/>
          <w:shd w:fill="FFFFFF" w:val="clear"/>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88" w:before="240" w:after="283"/>
        <w:ind w:left="0" w:right="0" w:firstLine="1591"/>
        <w:jc w:val="both"/>
      </w:pPr>
      <w:r>
        <w:rPr>
          <w:rFonts w:ascii="Times New Roman;serif" w:hAnsi="Times New Roman;serif"/>
          <w:b w:val="false"/>
          <w:color w:val="000000"/>
          <w:sz w:val="22"/>
          <w:shd w:fill="FFFFFF" w:val="clear"/>
        </w:rPr>
        <w:t>(a) </w:t>
      </w:r>
      <w:r>
        <w:rPr>
          <w:rFonts w:ascii="Times New Roman;serif" w:hAnsi="Times New Roman;serif"/>
          <w:b/>
          <w:i/>
          <w:color w:val="000000"/>
          <w:sz w:val="22"/>
          <w:shd w:fill="FFFFFF" w:val="clear"/>
        </w:rPr>
        <w:t>Description of Electronic Delivery and Signature.</w:t>
      </w:r>
      <w:r>
        <w:rPr>
          <w:color w:val="000000"/>
          <w:shd w:fill="FFFFFF" w:val="clear"/>
        </w:rPr>
        <w:t> </w:t>
      </w:r>
      <w:r>
        <w:rPr>
          <w:rFonts w:ascii="Times New Roman;serif" w:hAnsi="Times New Roman;serif"/>
          <w:b w:val="false"/>
          <w:color w:val="000000"/>
          <w:sz w:val="22"/>
          <w:shd w:fill="FFFFFF" w:val="clear"/>
        </w:rPr>
        <w:t xml:space="preserve">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w:t>
      </w:r>
    </w:p>
    <w:p>
      <w:pPr>
        <w:pStyle w:val="TextBody"/>
        <w:bidi w:val="0"/>
        <w:spacing w:before="0" w:after="16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lineRule="auto" w:line="288" w:before="240" w:after="283"/>
        <w:ind w:left="0" w:right="0" w:firstLine="1591"/>
        <w:jc w:val="both"/>
      </w:pPr>
      <w:r>
        <w:rPr>
          <w:rFonts w:ascii="Times New Roman;serif" w:hAnsi="Times New Roman;serif"/>
          <w:b w:val="false"/>
          <w:color w:val="000000"/>
          <w:sz w:val="22"/>
          <w:shd w:fill="FFFFFF" w:val="clear"/>
        </w:rPr>
        <w:t>(b) </w:t>
      </w:r>
      <w:r>
        <w:rPr>
          <w:rFonts w:ascii="Times New Roman;serif" w:hAnsi="Times New Roman;serif"/>
          <w:b/>
          <w:i/>
          <w:color w:val="000000"/>
          <w:sz w:val="22"/>
          <w:shd w:fill="FFFFFF" w:val="clear"/>
        </w:rPr>
        <w:t>Consent to Electronic Delivery and Signature.</w:t>
      </w:r>
      <w:r>
        <w:rPr>
          <w:color w:val="000000"/>
          <w:shd w:fill="FFFFFF" w:val="clear"/>
        </w:rPr>
        <w:t> </w:t>
      </w:r>
      <w:r>
        <w:rPr>
          <w:rFonts w:ascii="Times New Roman;serif" w:hAnsi="Times New Roman;serif"/>
          <w:b w:val="false"/>
          <w:color w:val="000000"/>
          <w:sz w:val="22"/>
          <w:shd w:fill="FFFFFF" w:val="clear"/>
        </w:rPr>
        <w:t>The Participant acknowledges that the Participant 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13.6</w:t>
      </w:r>
      <w:r>
        <w:rPr>
          <w:color w:val="000000"/>
        </w:rPr>
        <w:t xml:space="preserve"> </w:t>
      </w:r>
      <w:r>
        <w:rPr>
          <w:rFonts w:ascii="Times New Roman;serif" w:hAnsi="Times New Roman;serif"/>
          <w:b/>
          <w:color w:val="000000"/>
          <w:sz w:val="22"/>
          <w:shd w:fill="FFFFFF" w:val="clear"/>
        </w:rPr>
        <w:t>Integrated Agreement.</w:t>
      </w:r>
      <w:r>
        <w:rPr>
          <w:color w:val="000000"/>
        </w:rPr>
        <w:t xml:space="preserve"> </w:t>
      </w:r>
      <w:r>
        <w:rPr>
          <w:rFonts w:ascii="Times New Roman;serif" w:hAnsi="Times New Roman;serif"/>
          <w:b w:val="false"/>
          <w:color w:val="000000"/>
          <w:sz w:val="22"/>
          <w:shd w:fill="FFFFFF" w:val="clear"/>
        </w:rPr>
        <w:t>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the issuance and vesting of the Shares and shall remain in full force and effect.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13.7 </w:t>
      </w:r>
      <w:r>
        <w:rPr>
          <w:rFonts w:ascii="Times New Roman;serif" w:hAnsi="Times New Roman;serif"/>
          <w:b/>
          <w:color w:val="000000"/>
          <w:sz w:val="22"/>
          <w:shd w:fill="FFFFFF" w:val="clear"/>
        </w:rPr>
        <w:t>Applicable Law.</w:t>
      </w:r>
      <w:r>
        <w:rPr>
          <w:color w:val="000000"/>
          <w:shd w:fill="FFFFFF" w:val="clear"/>
        </w:rPr>
        <w:t> </w:t>
      </w:r>
      <w:r>
        <w:rPr>
          <w:rFonts w:ascii="Times New Roman;serif" w:hAnsi="Times New Roman;serif"/>
          <w:b w:val="false"/>
          <w:color w:val="000000"/>
          <w:sz w:val="22"/>
          <w:shd w:fill="FFFFFF" w:val="clear"/>
        </w:rPr>
        <w:t>This Agreement shall be governed by the laws of the State of Delaware as such laws are applied to agreements between Delaware residents entered into and to be performed entirely within the State of Delaware.</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13.8 </w:t>
      </w:r>
      <w:r>
        <w:rPr>
          <w:rFonts w:ascii="Times New Roman;serif" w:hAnsi="Times New Roman;serif"/>
          <w:b/>
          <w:color w:val="000000"/>
          <w:sz w:val="22"/>
          <w:shd w:fill="FFFFFF" w:val="clear"/>
        </w:rPr>
        <w:t>Counterparts.</w:t>
      </w:r>
      <w:r>
        <w:rPr>
          <w:color w:val="000000"/>
          <w:shd w:fill="FFFFFF" w:val="clear"/>
        </w:rPr>
        <w:t> </w:t>
      </w:r>
      <w:r>
        <w:rPr>
          <w:rFonts w:ascii="Times New Roman;serif" w:hAnsi="Times New Roman;serif"/>
          <w:b w:val="false"/>
          <w:color w:val="000000"/>
          <w:sz w:val="22"/>
          <w:shd w:fill="FFFFFF" w:val="clear"/>
        </w:rPr>
        <w:t>The Grant Notice may be executed in counterparts, each of which shall be deemed an original, but all of which together shall constitute one and the same instrument.</w:t>
      </w:r>
    </w:p>
    <w:p>
      <w:pPr>
        <w:pStyle w:val="TextBody"/>
        <w:bidi w:val="0"/>
        <w:spacing w:before="240" w:after="283"/>
        <w:ind w:left="0" w:right="0" w:firstLine="1102"/>
        <w:jc w:val="both"/>
      </w:pPr>
      <w:r/>
    </w:p>
    <w:p>
      <w:pPr>
        <w:pStyle w:val="TextBody"/>
        <w:bidi w:val="0"/>
        <w:spacing w:lineRule="auto" w:line="321" w:before="0" w:after="160"/>
        <w:jc w:val="center"/>
        <w:rPr>
          <w:rFonts w:ascii="Aptos;sans-serif" w:hAnsi="Aptos;sans-serif"/>
          <w:b w:val="false"/>
          <w:color w:val="000000"/>
          <w:sz w:val="24"/>
        </w:rPr>
      </w:pPr>
      <w:r>
        <w:rPr>
          <w:rFonts w:ascii="Aptos;sans-serif" w:hAnsi="Aptos;sans-serif"/>
          <w:b w:val="false"/>
          <w:color w:val="000000"/>
          <w:sz w:val="24"/>
        </w:rPr>
        <w:t>**********</w:t>
      </w:r>
    </w:p>
    <w:p>
      <w:pPr>
        <w:pStyle w:val="TextBody"/>
        <w:bidi w:val="0"/>
        <w:spacing w:before="0" w:after="160"/>
        <w:jc w:val="center"/>
      </w:pPr>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STOCK POWER</w:t>
      </w:r>
    </w:p>
    <w:p>
      <w:pPr>
        <w:pStyle w:val="TextBody"/>
        <w:bidi w:val="0"/>
        <w:spacing w:lineRule="auto" w:line="288" w:before="24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VALUE RECEIVED, the undersigned confirms that he/she/they have had a termination of Service, and therefore hereby assigns and transfers to Navitas Semiconductor Corporation (the </w:t>
      </w:r>
    </w:p>
    <w:p>
      <w:pPr>
        <w:pStyle w:val="TextBody"/>
        <w:bidi w:val="0"/>
        <w:spacing w:before="0" w:after="16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160"/>
        <w:jc w:val="both"/>
      </w:pPr>
      <w:r>
        <w:rPr>
          <w:color w:val="000000"/>
        </w:rPr>
        <w:t>“</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____________________ shares of the Company’s Class A common stock (the “Shares”), all of which are unvested, pursuant to and subject to the Company Reacquisition Right under that certain Restricted Stock Agreement between the undersigned and the Company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This assignment and transfer is made whether the Shares are held in certificated or book-entry form, and irrevocably appoints the Company’s Secretary, with full power of substitution, to transfer such shares on the books of the Company. This Stock Power may be used solely to effect the Company Reacquisition Right and shall be ineffective with respect to any shares that have become Vested Shares under the Agreement.</w:t>
      </w:r>
    </w:p>
    <w:p>
      <w:pPr>
        <w:pStyle w:val="TextBody"/>
        <w:bidi w:val="0"/>
        <w:spacing w:lineRule="auto" w:line="288" w:before="480" w:after="283"/>
        <w:ind w:left="0" w:right="0" w:hanging="4320"/>
        <w:jc w:val="left"/>
      </w:pPr>
      <w:r>
        <w:rPr>
          <w:rFonts w:ascii="Times New Roman;serif" w:hAnsi="Times New Roman;serif"/>
          <w:b w:val="false"/>
          <w:color w:val="000000"/>
          <w:sz w:val="22"/>
        </w:rPr>
        <w:t>Dated: ____________________</w:t>
      </w:r>
      <w:r>
        <w:rPr>
          <w:color w:val="000000"/>
        </w:rPr>
        <w:t>    </w:t>
      </w:r>
      <w:r>
        <w:rPr>
          <w:rFonts w:ascii="Times New Roman;serif" w:hAnsi="Times New Roman;serif"/>
          <w:b w:val="false"/>
          <w:color w:val="000000"/>
          <w:sz w:val="22"/>
        </w:rPr>
        <w:t>____________________________________</w:t>
        <w:br/>
        <w:t>Participant Signature</w:t>
      </w:r>
    </w:p>
    <w:p>
      <w:pPr>
        <w:pStyle w:val="TextBody"/>
        <w:bidi w:val="0"/>
        <w:spacing w:lineRule="auto" w:line="288" w:before="480" w:after="283"/>
        <w:jc w:val="left"/>
        <w:rPr>
          <w:rFonts w:ascii="Times New Roman;serif" w:hAnsi="Times New Roman;serif"/>
          <w:b w:val="false"/>
          <w:color w:val="000000"/>
          <w:sz w:val="22"/>
        </w:rPr>
      </w:pPr>
      <w:r>
        <w:rPr>
          <w:rFonts w:ascii="Times New Roman;serif" w:hAnsi="Times New Roman;serif"/>
          <w:b w:val="false"/>
          <w:color w:val="000000"/>
          <w:sz w:val="22"/>
        </w:rPr>
        <w:t>Print Name: _________________________</w:t>
      </w:r>
    </w:p>
    <w:p>
      <w:pPr>
        <w:pStyle w:val="TextBody"/>
        <w:bidi w:val="0"/>
        <w:jc w:val="both"/>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NAVITAS SEMICONDUCTOR CORPORATION</w:t>
        <w:br/>
        <w:t>2021 EQUITY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PERFORMANCE SHARE AWARD GRANT NOTICE </w:t>
      </w:r>
    </w:p>
    <w:p>
      <w:pPr>
        <w:pStyle w:val="TextBody"/>
        <w:bidi w:val="0"/>
        <w:spacing w:lineRule="auto" w:line="288" w:before="0" w:after="240"/>
        <w:ind w:left="0" w:right="0" w:firstLine="720"/>
        <w:jc w:val="both"/>
      </w:pPr>
      <w:r>
        <w:rPr>
          <w:rFonts w:ascii="Times New Roman;serif" w:hAnsi="Times New Roman;serif"/>
          <w:b w:val="false"/>
          <w:color w:val="000000"/>
          <w:sz w:val="22"/>
        </w:rPr>
        <w:t>Navitas Semiconductor Corporation,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pursuant to its 2021 Equity Incentive Plan, as amended from time to time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hereby grants to the holder listed below (the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an award of performance shares (the “</w:t>
      </w:r>
      <w:r>
        <w:rPr>
          <w:rFonts w:ascii="Times New Roman;serif" w:hAnsi="Times New Roman;serif"/>
          <w:b/>
          <w:color w:val="000000"/>
          <w:sz w:val="22"/>
        </w:rPr>
        <w:t>Performance Shares</w:t>
      </w:r>
      <w:r>
        <w:rPr>
          <w:color w:val="000000"/>
        </w:rPr>
        <w:t>”</w:t>
      </w:r>
      <w:r>
        <w:rPr>
          <w:rFonts w:ascii="Times New Roman;serif" w:hAnsi="Times New Roman;serif"/>
          <w:b w:val="false"/>
          <w:color w:val="000000"/>
          <w:sz w:val="22"/>
        </w:rPr>
        <w:t>). This award of Performance Shares is subject to all of the terms and conditions set forth in this Grant Notice, including Exhibit A attached hereto, the Performance Shares Agreement attached hereto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and the Plan, each of which is incorporated herein by reference. Unless otherwise defined in this Grant Notice or the Agreement, capitalized terms used in this Grant Notice or the Agreement shall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712"/>
        <w:gridCol w:w="569"/>
        <w:gridCol w:w="531"/>
        <w:gridCol w:w="2691"/>
        <w:gridCol w:w="2691"/>
        <w:gridCol w:w="3011"/>
      </w:tblGrid>
      <w:tr>
        <w:tc>
          <w:tcPr>
            <w:tcW w:w="7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c>
          <w:tcPr>
            <w:tcW w:w="1812"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Participant:</w:t>
            </w:r>
          </w:p>
        </w:tc>
        <w:tc>
          <w:tcPr>
            <w:tcW w:w="83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w:t>
            </w:r>
          </w:p>
        </w:tc>
      </w:tr>
      <w:tr>
        <w:tc>
          <w:tcPr>
            <w:tcW w:w="181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Date of Grant:</w:t>
            </w:r>
          </w:p>
        </w:tc>
        <w:tc>
          <w:tcPr>
            <w:tcW w:w="83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w:t>
            </w:r>
          </w:p>
        </w:tc>
      </w:tr>
      <w:tr>
        <w:tc>
          <w:tcPr>
            <w:tcW w:w="1812"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Performance Period:</w:t>
            </w:r>
          </w:p>
        </w:tc>
        <w:tc>
          <w:tcPr>
            <w:tcW w:w="839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October 6, 2026 through October 5, 2028</w:t>
            </w:r>
          </w:p>
        </w:tc>
      </w:tr>
      <w:tr>
        <w:tc>
          <w:tcPr>
            <w:tcW w:w="1812"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Total Number of Performance Shares:</w:t>
            </w:r>
          </w:p>
        </w:tc>
        <w:tc>
          <w:tcPr>
            <w:tcW w:w="83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 Performance Shares</w:t>
            </w:r>
          </w:p>
        </w:tc>
      </w:tr>
      <w:tr>
        <w:tc>
          <w:tcPr>
            <w:tcW w:w="1812"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Settlement of Award:</w:t>
            </w:r>
          </w:p>
        </w:tc>
        <w:tc>
          <w:tcPr>
            <w:tcW w:w="8393" w:type="dxa"/>
            <w:gridSpan w:val="3"/>
            <w:tcBorders/>
            <w:tcMar>
              <w:top w:w="0" w:type="dxa"/>
              <w:left w:w="0" w:type="dxa"/>
              <w:bottom w:w="0" w:type="dxa"/>
              <w:right w:w="0" w:type="dxa"/>
            </w:tcMar>
            <w:vAlign w:val="center"/>
          </w:tcPr>
          <w:p>
            <w:pPr>
              <w:pStyle w:val="TableContents"/>
              <w:bidi w:val="0"/>
              <w:spacing w:lineRule="auto" w:line="288" w:before="0" w:after="0"/>
              <w:jc w:val="both"/>
            </w:pPr>
            <w:r>
              <w:rPr>
                <w:rFonts w:ascii="Times New Roman;serif" w:hAnsi="Times New Roman;serif"/>
                <w:b w:val="false"/>
                <w:color w:val="000000"/>
                <w:sz w:val="22"/>
              </w:rPr>
              <w:t xml:space="preserve">The Award of Performance Shares is subject to restrictions and will be deemed earned and in installments based on (1) the Participant’s continuous Service with the Company, and (2) on the achievement of the milestones set forth on </w:t>
            </w:r>
            <w:r>
              <w:rPr>
                <w:rFonts w:ascii="Times New Roman;serif" w:hAnsi="Times New Roman;serif"/>
                <w:b/>
                <w:color w:val="000000"/>
                <w:sz w:val="22"/>
              </w:rPr>
              <w:t>Exhibit A</w:t>
            </w:r>
            <w:r>
              <w:rPr>
                <w:rFonts w:ascii="Times New Roman;serif" w:hAnsi="Times New Roman;serif"/>
                <w:b w:val="false"/>
                <w:color w:val="000000"/>
                <w:sz w:val="22"/>
              </w:rPr>
              <w:t>, in the amounts and on the due dates set forth therein (each a “</w:t>
            </w:r>
            <w:r>
              <w:rPr>
                <w:rFonts w:ascii="Times New Roman;serif" w:hAnsi="Times New Roman;serif"/>
                <w:b/>
                <w:color w:val="000000"/>
                <w:sz w:val="22"/>
              </w:rPr>
              <w:t>Milestone</w:t>
            </w:r>
            <w:r>
              <w:rPr>
                <w:color w:val="000000"/>
              </w:rPr>
              <w:t>”</w:t>
            </w:r>
            <w:r>
              <w:rPr>
                <w:rFonts w:ascii="Times New Roman;serif" w:hAnsi="Times New Roman;serif"/>
                <w:b w:val="false"/>
                <w:color w:val="000000"/>
                <w:sz w:val="22"/>
              </w:rPr>
              <w:t xml:space="preserve">). </w:t>
            </w:r>
          </w:p>
        </w:tc>
      </w:tr>
      <w:tr>
        <w:tc>
          <w:tcPr>
            <w:tcW w:w="1812" w:type="dxa"/>
            <w:gridSpan w:val="3"/>
            <w:tcBorders/>
            <w:tcMar>
              <w:top w:w="0" w:type="dxa"/>
              <w:left w:w="0" w:type="dxa"/>
              <w:bottom w:w="0" w:type="dxa"/>
              <w:right w:w="0" w:type="dxa"/>
            </w:tcMar>
            <w:vAlign w:val="center"/>
          </w:tcPr>
          <w:p>
            <w:pPr>
              <w:pStyle w:val="TableContents"/>
              <w:bidi w:val="0"/>
              <w:spacing w:before="60" w:after="60"/>
              <w:ind w:left="0" w:right="0" w:hanging="7"/>
              <w:jc w:val="left"/>
            </w:pPr>
            <w:r/>
          </w:p>
        </w:tc>
        <w:tc>
          <w:tcPr>
            <w:tcW w:w="839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soon as practicable following the Committee’s written determination that a Milestone has been achieved, and in any event within the Short-Term Deferral Period described in Section 15.1 of the Plan, each earned Performance Share shall be settled by issuance of one (1) share of Stock, subject to applicable tax withholding and the other terms of the Agreement.</w:t>
            </w:r>
          </w:p>
        </w:tc>
      </w:tr>
      <w:tr>
        <w:tc>
          <w:tcPr>
            <w:tcW w:w="1812"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Termination:</w:t>
            </w:r>
          </w:p>
        </w:tc>
        <w:tc>
          <w:tcPr>
            <w:tcW w:w="8393" w:type="dxa"/>
            <w:gridSpan w:val="3"/>
            <w:tcBorders/>
            <w:tcMar>
              <w:top w:w="0" w:type="dxa"/>
              <w:left w:w="0" w:type="dxa"/>
              <w:bottom w:w="0" w:type="dxa"/>
              <w:right w:w="0" w:type="dxa"/>
            </w:tcMar>
            <w:vAlign w:val="center"/>
          </w:tcPr>
          <w:p>
            <w:pPr>
              <w:pStyle w:val="TableContents"/>
              <w:bidi w:val="0"/>
              <w:spacing w:lineRule="auto" w:line="288" w:before="120" w:after="240"/>
              <w:ind w:left="0" w:right="0" w:hanging="4"/>
              <w:jc w:val="both"/>
              <w:rPr>
                <w:rFonts w:ascii="Times New Roman;serif" w:hAnsi="Times New Roman;serif"/>
                <w:b w:val="false"/>
                <w:color w:val="000000"/>
                <w:sz w:val="22"/>
              </w:rPr>
            </w:pPr>
            <w:r>
              <w:rPr>
                <w:rFonts w:ascii="Times New Roman;serif" w:hAnsi="Times New Roman;serif"/>
                <w:b w:val="false"/>
                <w:color w:val="000000"/>
                <w:sz w:val="22"/>
              </w:rPr>
              <w:t>Upon termination of Participant’s Service, the unearned Performance Shares will be forfeited in accordance with Section 5.1 of the Agreement and the Terms of the Plan.</w:t>
            </w:r>
          </w:p>
        </w:tc>
      </w:tr>
    </w:tbl>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By the Participant’s signature and the Company’s signature below, the Participant agrees to be bound by the terms and conditions of the Plan, the Agreement and this Grant Notice. The Participant acknowledges receipt of, and represents that the Participant has read and is familiar with, the Plan, the Agreement and this Grant Notice, has had an opportunity to obtain the advice of counsel before executing this Grant Notice and accepts the Award subject to all of their terms. The Participant agrees to accept as binding, conclusive and final all decisions or interpretations of the Committee upon any questions arising under the Plan, the Agreement or this Grant Notice. The Participant further authorizes the Company to satisfy applicable tax withholding obligations by withholding shares otherwise issuable upon settlement, directing a broker-assisted sale or using any other method permitted by the Agreement and the Plan.</w:t>
      </w:r>
    </w:p>
    <w:p>
      <w:pPr>
        <w:pStyle w:val="TextBody"/>
        <w:bidi w:val="0"/>
        <w:spacing w:before="0" w:after="16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120" w:after="240"/>
        <w:jc w:val="both"/>
      </w:pPr>
      <w:r/>
    </w:p>
    <w:tbl>
      <w:tblPr>
        <w:tblW w:w="9418" w:type="dxa"/>
        <w:jc w:val="left"/>
        <w:tblInd w:w="0" w:type="dxa"/>
        <w:tblLayout w:type="fixed"/>
        <w:tblCellMar>
          <w:top w:w="28" w:type="dxa"/>
          <w:left w:w="28" w:type="dxa"/>
          <w:bottom w:w="28" w:type="dxa"/>
          <w:right w:w="28" w:type="dxa"/>
        </w:tblCellMar>
      </w:tblPr>
      <w:tblGrid>
        <w:gridCol w:w="629"/>
        <w:gridCol w:w="553"/>
        <w:gridCol w:w="553"/>
        <w:gridCol w:w="1215"/>
        <w:gridCol w:w="1215"/>
        <w:gridCol w:w="1215"/>
        <w:gridCol w:w="553"/>
        <w:gridCol w:w="553"/>
        <w:gridCol w:w="569"/>
        <w:gridCol w:w="212"/>
        <w:gridCol w:w="212"/>
        <w:gridCol w:w="212"/>
        <w:gridCol w:w="212"/>
        <w:gridCol w:w="212"/>
        <w:gridCol w:w="212"/>
        <w:gridCol w:w="170"/>
        <w:gridCol w:w="170"/>
        <w:gridCol w:w="170"/>
        <w:gridCol w:w="170"/>
        <w:gridCol w:w="170"/>
        <w:gridCol w:w="241"/>
      </w:tblGrid>
      <w:t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7055"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NAVITAS SEMICONDUCTOR CORPORATION</w:t>
            </w:r>
          </w:p>
        </w:tc>
        <w:tc>
          <w:tcPr>
            <w:tcW w:w="2363" w:type="dxa"/>
            <w:gridSpan w:val="12"/>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color w:val="000000"/>
                <w:sz w:val="22"/>
              </w:rPr>
            </w:pPr>
            <w:r>
              <w:rPr>
                <w:rFonts w:ascii="Times New Roman;serif" w:hAnsi="Times New Roman;serif"/>
                <w:b/>
                <w:color w:val="000000"/>
                <w:sz w:val="22"/>
              </w:rPr>
              <w:t>PARTICIPANT:</w:t>
            </w:r>
          </w:p>
        </w:tc>
      </w:tr>
      <w:tr>
        <w:tc>
          <w:tcPr>
            <w:tcW w:w="173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5320" w:type="dxa"/>
            <w:gridSpan w:val="6"/>
            <w:tcBorders/>
            <w:tcMar>
              <w:top w:w="0" w:type="dxa"/>
              <w:left w:w="0" w:type="dxa"/>
              <w:bottom w:w="0" w:type="dxa"/>
              <w:right w:w="0" w:type="dxa"/>
            </w:tcMar>
            <w:vAlign w:val="center"/>
          </w:tcPr>
          <w:p>
            <w:pPr>
              <w:pStyle w:val="TableContents"/>
              <w:bidi w:val="0"/>
              <w:spacing w:before="0" w:after="0"/>
              <w:jc w:val="both"/>
            </w:pPr>
            <w:r>
              <w:drawing>
                <wp:inline distT="0" distB="0" distL="0" distR="0">
                  <wp:extent cx="1333500" cy="285750"/>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10"/>
                          <a:stretch>
                            <a:fillRect/>
                          </a:stretch>
                        </pic:blipFill>
                        <pic:spPr bwMode="auto">
                          <a:xfrm>
                            <a:off x="0" y="0"/>
                            <a:ext cx="1333500" cy="285750"/>
                          </a:xfrm>
                          <a:prstGeom prst="rect">
                            <a:avLst/>
                          </a:prstGeom>
                        </pic:spPr>
                      </pic:pic>
                    </a:graphicData>
                  </a:graphic>
                </wp:inline>
              </w:drawing>
            </w:r>
          </w:p>
          <w:p>
            <w:pPr>
              <w:pStyle w:val="TableContents"/>
              <w:bidi w:val="0"/>
              <w:spacing w:lineRule="auto" w:line="288" w:before="0" w:after="0"/>
              <w:jc w:val="both"/>
              <w:rPr>
                <w:color w:val="000000"/>
                <w:u w:val="single"/>
              </w:rPr>
            </w:pPr>
            <w:r>
              <w:rPr>
                <w:color w:val="000000"/>
                <w:u w:val="single"/>
              </w:rPr>
              <w:t>                </w:t>
            </w:r>
          </w:p>
        </w:tc>
        <w:tc>
          <w:tcPr>
            <w:tcW w:w="1272" w:type="dxa"/>
            <w:gridSpan w:val="6"/>
            <w:tcBorders/>
            <w:tcMar>
              <w:top w:w="0" w:type="dxa"/>
              <w:left w:w="0" w:type="dxa"/>
              <w:bottom w:w="0" w:type="dxa"/>
              <w:right w:w="0" w:type="dxa"/>
            </w:tcMar>
            <w:vAlign w:val="center"/>
          </w:tcPr>
          <w:p>
            <w:pPr>
              <w:pStyle w:val="TableContents"/>
              <w:bidi w:val="0"/>
              <w:spacing w:before="0" w:after="0"/>
              <w:jc w:val="both"/>
            </w:p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091" w:type="dxa"/>
            <w:gridSpan w:val="6"/>
            <w:tcBorders/>
            <w:tcMar>
              <w:top w:w="0" w:type="dxa"/>
              <w:left w:w="0" w:type="dxa"/>
              <w:bottom w:w="0" w:type="dxa"/>
              <w:right w:w="0" w:type="dxa"/>
            </w:tcMar>
            <w:vAlign w:val="center"/>
          </w:tcPr>
          <w:p>
            <w:pPr>
              <w:pStyle w:val="TableContents"/>
              <w:bidi w:val="0"/>
              <w:spacing w:before="0" w:after="0"/>
              <w:jc w:val="both"/>
            </w:pPr>
            <w:r/>
          </w:p>
          <w:p>
            <w:pPr>
              <w:pStyle w:val="TableContents"/>
              <w:bidi w:val="0"/>
              <w:spacing w:lineRule="auto" w:line="288" w:before="0" w:after="0"/>
              <w:jc w:val="both"/>
              <w:rPr>
                <w:color w:val="000000"/>
                <w:u w:val="single"/>
              </w:rPr>
            </w:pPr>
            <w:r>
              <w:rPr>
                <w:color w:val="000000"/>
                <w:u w:val="single"/>
              </w:rPr>
              <w:t>                </w:t>
            </w:r>
          </w:p>
        </w:tc>
      </w:tr>
      <w:tr>
        <w:tc>
          <w:tcPr>
            <w:tcW w:w="173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5320" w:type="dxa"/>
            <w:gridSpan w:val="6"/>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Chris Allexandre</w:t>
            </w:r>
          </w:p>
        </w:tc>
        <w:tc>
          <w:tcPr>
            <w:tcW w:w="1272" w:type="dxa"/>
            <w:gridSpan w:val="6"/>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1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3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364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c>
          <w:tcPr>
            <w:tcW w:w="2311" w:type="dxa"/>
            <w:gridSpan w:val="6"/>
            <w:tcBorders/>
            <w:tcMar>
              <w:top w:w="0" w:type="dxa"/>
              <w:left w:w="0" w:type="dxa"/>
              <w:bottom w:w="0" w:type="dxa"/>
              <w:right w:w="0" w:type="dxa"/>
            </w:tcMar>
            <w:vAlign w:val="center"/>
          </w:tcPr>
          <w:p>
            <w:pPr>
              <w:pStyle w:val="TableContents"/>
              <w:bidi w:val="0"/>
              <w:spacing w:lineRule="auto" w:line="321" w:before="0" w:after="160"/>
              <w:jc w:val="both"/>
              <w:rPr>
                <w:color w:val="000000"/>
              </w:rPr>
            </w:pPr>
            <w:r>
              <w:rPr>
                <w:color w:val="000000"/>
              </w:rPr>
              <w:t>  </w:t>
            </w:r>
          </w:p>
        </w:tc>
        <w:tc>
          <w:tcPr>
            <w:tcW w:w="11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NAVITAS SEMICONDUCTOR CORPORATION</w:t>
      </w:r>
    </w:p>
    <w:p>
      <w:pPr>
        <w:pStyle w:val="TextBody"/>
        <w:bidi w:val="0"/>
        <w:spacing w:lineRule="auto" w:line="288" w:before="0" w:after="0"/>
        <w:jc w:val="center"/>
      </w:pPr>
      <w:r>
        <w:rPr>
          <w:rFonts w:ascii="Times New Roman;serif" w:hAnsi="Times New Roman;serif"/>
          <w:b/>
          <w:color w:val="000000"/>
          <w:sz w:val="22"/>
          <w:shd w:fill="FFFFFF" w:val="clear"/>
        </w:rPr>
        <w:t>PERFORMANCE</w:t>
      </w:r>
      <w:r>
        <w:rPr>
          <w:color w:val="000000"/>
        </w:rPr>
        <w:t xml:space="preserve"> </w:t>
      </w:r>
      <w:r>
        <w:rPr>
          <w:rFonts w:ascii="Times New Roman;serif" w:hAnsi="Times New Roman;serif"/>
          <w:b/>
          <w:color w:val="000000"/>
          <w:sz w:val="22"/>
          <w:shd w:fill="FFFFFF" w:val="clear"/>
        </w:rPr>
        <w:t>SHARES AGREEMENT</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(U.S. Participants)</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Navitas Semiconductor Corporation, a Delaware corporation (the “</w:t>
      </w:r>
      <w:r>
        <w:rPr>
          <w:rFonts w:ascii="Times New Roman;serif" w:hAnsi="Times New Roman;serif"/>
          <w:b/>
          <w:i/>
          <w:color w:val="000000"/>
          <w:sz w:val="22"/>
          <w:shd w:fill="FFFFFF" w:val="clear"/>
        </w:rPr>
        <w:t>Company</w:t>
      </w:r>
      <w:r>
        <w:rPr>
          <w:color w:val="000000"/>
          <w:shd w:fill="FFFFFF" w:val="clear"/>
        </w:rPr>
        <w:t>”</w:t>
      </w:r>
      <w:r>
        <w:rPr>
          <w:rFonts w:ascii="Times New Roman;serif" w:hAnsi="Times New Roman;serif"/>
          <w:b w:val="false"/>
          <w:color w:val="000000"/>
          <w:sz w:val="22"/>
          <w:shd w:fill="FFFFFF" w:val="clear"/>
        </w:rPr>
        <w:t>), has granted to the Participant named in the Performance Share Award Grant Notice (the</w:t>
      </w:r>
      <w:r>
        <w:rPr>
          <w:color w:val="000000"/>
        </w:rPr>
        <w:t xml:space="preserve"> </w:t>
      </w:r>
      <w:r>
        <w:rPr>
          <w:color w:val="000000"/>
          <w:shd w:fill="FFFFFF" w:val="clear"/>
        </w:rPr>
        <w:t>“</w:t>
      </w:r>
      <w:r>
        <w:rPr>
          <w:rFonts w:ascii="Times New Roman;serif" w:hAnsi="Times New Roman;serif"/>
          <w:b/>
          <w:i/>
          <w:color w:val="000000"/>
          <w:sz w:val="22"/>
          <w:shd w:fill="FFFFFF" w:val="clear"/>
        </w:rPr>
        <w:t>Grant Notice</w:t>
      </w:r>
      <w:r>
        <w:rPr>
          <w:color w:val="000000"/>
          <w:shd w:fill="FFFFFF" w:val="clear"/>
        </w:rPr>
        <w:t>”</w:t>
      </w:r>
      <w:r>
        <w:rPr>
          <w:rFonts w:ascii="Times New Roman;serif" w:hAnsi="Times New Roman;serif"/>
          <w:b w:val="false"/>
          <w:color w:val="000000"/>
          <w:sz w:val="22"/>
          <w:shd w:fill="FFFFFF" w:val="clear"/>
        </w:rPr>
        <w:t>) to which this Performance</w:t>
      </w:r>
      <w:r>
        <w:rPr>
          <w:color w:val="000000"/>
        </w:rPr>
        <w:t xml:space="preserve"> </w:t>
      </w:r>
      <w:r>
        <w:rPr>
          <w:rFonts w:ascii="Times New Roman;serif" w:hAnsi="Times New Roman;serif"/>
          <w:b w:val="false"/>
          <w:color w:val="000000"/>
          <w:sz w:val="22"/>
          <w:shd w:fill="FFFFFF" w:val="clear"/>
        </w:rPr>
        <w:t>Shares Agreement (this</w:t>
      </w:r>
      <w:r>
        <w:rPr>
          <w:color w:val="000000"/>
        </w:rPr>
        <w:t xml:space="preserve"> </w:t>
      </w:r>
      <w:r>
        <w:rPr>
          <w:color w:val="000000"/>
          <w:shd w:fill="FFFFFF" w:val="clear"/>
        </w:rPr>
        <w:t>“</w:t>
      </w:r>
      <w:r>
        <w:rPr>
          <w:rFonts w:ascii="Times New Roman;serif" w:hAnsi="Times New Roman;serif"/>
          <w:b/>
          <w:i/>
          <w:color w:val="000000"/>
          <w:sz w:val="22"/>
          <w:shd w:fill="FFFFFF" w:val="clear"/>
        </w:rPr>
        <w:t>Agreement</w:t>
      </w:r>
      <w:r>
        <w:rPr>
          <w:color w:val="000000"/>
          <w:shd w:fill="FFFFFF" w:val="clear"/>
        </w:rPr>
        <w:t>”</w:t>
      </w:r>
      <w:r>
        <w:rPr>
          <w:rFonts w:ascii="Times New Roman;serif" w:hAnsi="Times New Roman;serif"/>
          <w:b w:val="false"/>
          <w:color w:val="000000"/>
          <w:sz w:val="22"/>
          <w:shd w:fill="FFFFFF" w:val="clear"/>
        </w:rPr>
        <w:t>) is attached an Award of Performance Shares pursuant to Section 10 of the Plan (each, a</w:t>
      </w:r>
      <w:r>
        <w:rPr>
          <w:color w:val="000000"/>
        </w:rPr>
        <w:t xml:space="preserve"> </w:t>
      </w:r>
      <w:r>
        <w:rPr>
          <w:color w:val="000000"/>
          <w:shd w:fill="FFFFFF" w:val="clear"/>
        </w:rPr>
        <w:t>“</w:t>
      </w:r>
      <w:r>
        <w:rPr>
          <w:rFonts w:ascii="Times New Roman;serif" w:hAnsi="Times New Roman;serif"/>
          <w:b/>
          <w:i/>
          <w:color w:val="000000"/>
          <w:sz w:val="22"/>
          <w:shd w:fill="FFFFFF" w:val="clear"/>
        </w:rPr>
        <w:t>Performance Share</w:t>
      </w:r>
      <w:r>
        <w:rPr>
          <w:color w:val="000000"/>
          <w:shd w:fill="FFFFFF" w:val="clear"/>
        </w:rPr>
        <w:t>”</w:t>
      </w:r>
      <w:r>
        <w:rPr>
          <w:rFonts w:ascii="Times New Roman;serif" w:hAnsi="Times New Roman;serif"/>
          <w:b w:val="false"/>
          <w:color w:val="000000"/>
          <w:sz w:val="22"/>
          <w:shd w:fill="FFFFFF" w:val="clear"/>
        </w:rPr>
        <w:t>), subject to the terms and conditions set forth in the Grant Notice and this Agreement. The Award has been granted pursuant to and shall in all respects be subject to the terms and conditions of the Navitas Semiconductor Corporation 2021 Equity Incentive Plan (the</w:t>
      </w:r>
      <w:r>
        <w:rPr>
          <w:color w:val="000000"/>
        </w:rPr>
        <w:t xml:space="preserve"> </w:t>
      </w:r>
      <w:r>
        <w:rPr>
          <w:color w:val="000000"/>
          <w:shd w:fill="FFFFFF" w:val="clear"/>
        </w:rPr>
        <w:t>“</w:t>
      </w:r>
      <w:r>
        <w:rPr>
          <w:rFonts w:ascii="Times New Roman;serif" w:hAnsi="Times New Roman;serif"/>
          <w:b/>
          <w:i/>
          <w:color w:val="000000"/>
          <w:sz w:val="22"/>
          <w:shd w:fill="FFFFFF" w:val="clear"/>
        </w:rPr>
        <w:t>Plan</w:t>
      </w:r>
      <w:r>
        <w:rPr>
          <w:color w:val="000000"/>
          <w:shd w:fill="FFFFFF" w:val="clear"/>
        </w:rPr>
        <w:t>”</w:t>
      </w:r>
      <w:r>
        <w:rPr>
          <w:rFonts w:ascii="Times New Roman;serif" w:hAnsi="Times New Roman;serif"/>
          <w:b w:val="false"/>
          <w:color w:val="000000"/>
          <w:sz w:val="22"/>
          <w:shd w:fill="FFFFFF" w:val="clear"/>
        </w:rPr>
        <w:t>), as amended, the provisions of which are incorporated herein by reference. By signing the Grant Notice, the Participant: (a)</w:t>
      </w:r>
      <w:r>
        <w:rPr>
          <w:color w:val="000000"/>
        </w:rPr>
        <w:t xml:space="preserve"> </w:t>
      </w:r>
      <w:r>
        <w:rPr>
          <w:rFonts w:ascii="Times New Roman;serif" w:hAnsi="Times New Roman;serif"/>
          <w:b w:val="false"/>
          <w:color w:val="000000"/>
          <w:sz w:val="22"/>
          <w:shd w:fill="FFFFFF" w:val="clear"/>
        </w:rPr>
        <w:t>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w:t>
      </w:r>
      <w:r>
        <w:rPr>
          <w:color w:val="000000"/>
        </w:rPr>
        <w:t xml:space="preserve"> </w:t>
      </w:r>
      <w:r>
        <w:rPr>
          <w:color w:val="000000"/>
          <w:shd w:fill="FFFFFF" w:val="clear"/>
        </w:rPr>
        <w:t>“</w:t>
      </w:r>
      <w:r>
        <w:rPr>
          <w:rFonts w:ascii="Times New Roman;serif" w:hAnsi="Times New Roman;serif"/>
          <w:b/>
          <w:i/>
          <w:color w:val="000000"/>
          <w:sz w:val="22"/>
          <w:shd w:fill="FFFFFF" w:val="clear"/>
        </w:rPr>
        <w:t>Plan Prospectus</w:t>
      </w:r>
      <w:r>
        <w:rPr>
          <w:color w:val="000000"/>
          <w:shd w:fill="FFFFFF" w:val="clear"/>
        </w:rPr>
        <w:t>”</w:t>
      </w:r>
      <w:r>
        <w:rPr>
          <w:rFonts w:ascii="Times New Roman;serif" w:hAnsi="Times New Roman;serif"/>
          <w:b w:val="false"/>
          <w:color w:val="000000"/>
          <w:sz w:val="22"/>
          <w:shd w:fill="FFFFFF" w:val="clear"/>
        </w:rPr>
        <w:t>), (b)</w:t>
      </w:r>
      <w:r>
        <w:rPr>
          <w:color w:val="000000"/>
        </w:rPr>
        <w:t xml:space="preserve"> </w:t>
      </w:r>
      <w:r>
        <w:rPr>
          <w:rFonts w:ascii="Times New Roman;serif" w:hAnsi="Times New Roman;serif"/>
          <w:b w:val="false"/>
          <w:color w:val="000000"/>
          <w:sz w:val="22"/>
          <w:shd w:fill="FFFFFF" w:val="clear"/>
        </w:rPr>
        <w:t>accepts the Award subject to all of the terms and conditions of the Grant Notice, this Agreement and the Plan and (c)</w:t>
      </w:r>
      <w:r>
        <w:rPr>
          <w:color w:val="000000"/>
        </w:rPr>
        <w:t xml:space="preserve"> </w:t>
      </w:r>
      <w:r>
        <w:rPr>
          <w:rFonts w:ascii="Times New Roman;serif" w:hAnsi="Times New Roman;serif"/>
          <w:b w:val="false"/>
          <w:color w:val="000000"/>
          <w:sz w:val="22"/>
          <w:shd w:fill="FFFFFF" w:val="clear"/>
        </w:rPr>
        <w:t>agrees to accept as binding, conclusive and final all decisions or interpretations of the Committee upon any questions arising under the Grant Notice, this Agreement or the Plan, including the satisfaction of any of the milestones set forth on Exhibit A (the “</w:t>
      </w:r>
      <w:r>
        <w:rPr>
          <w:rFonts w:ascii="Times New Roman;serif" w:hAnsi="Times New Roman;serif"/>
          <w:b/>
          <w:color w:val="000000"/>
          <w:sz w:val="22"/>
          <w:shd w:fill="FFFFFF" w:val="clear"/>
        </w:rPr>
        <w:t>Milestones</w:t>
      </w:r>
      <w:r>
        <w:rPr>
          <w:color w:val="000000"/>
          <w:shd w:fill="FFFFFF" w:val="clear"/>
        </w:rPr>
        <w:t xml:space="preserve">” </w:t>
      </w:r>
      <w:r>
        <w:rPr>
          <w:rFonts w:ascii="Times New Roman;serif" w:hAnsi="Times New Roman;serif"/>
          <w:b w:val="false"/>
          <w:color w:val="000000"/>
          <w:sz w:val="22"/>
          <w:shd w:fill="FFFFFF" w:val="clear"/>
        </w:rPr>
        <w:t>and each a “</w:t>
      </w:r>
      <w:r>
        <w:rPr>
          <w:rFonts w:ascii="Times New Roman;serif" w:hAnsi="Times New Roman;serif"/>
          <w:b/>
          <w:color w:val="000000"/>
          <w:sz w:val="22"/>
          <w:shd w:fill="FFFFFF" w:val="clear"/>
        </w:rPr>
        <w:t>Milestone</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1. </w:t>
      </w:r>
      <w:r>
        <w:rPr>
          <w:rFonts w:ascii="Times New Roman;serif" w:hAnsi="Times New Roman;serif"/>
          <w:b/>
          <w:color w:val="000000"/>
          <w:sz w:val="22"/>
          <w:u w:val="single"/>
          <w:shd w:fill="FFFFFF" w:val="clear"/>
        </w:rPr>
        <w:t>DEFINITIONS AND CONSTRUCTION</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1.1 </w:t>
      </w:r>
      <w:r>
        <w:rPr>
          <w:rFonts w:ascii="Times New Roman;serif" w:hAnsi="Times New Roman;serif"/>
          <w:b/>
          <w:color w:val="000000"/>
          <w:sz w:val="22"/>
          <w:shd w:fill="FFFFFF" w:val="clear"/>
        </w:rPr>
        <w:t>Definitions</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Unless otherwise defined herein, capitalized terms shall have the meanings assigned to such terms in the Grant Notice or the Plan.</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1.2 </w:t>
      </w:r>
      <w:r>
        <w:rPr>
          <w:rFonts w:ascii="Times New Roman;serif" w:hAnsi="Times New Roman;serif"/>
          <w:b/>
          <w:color w:val="000000"/>
          <w:sz w:val="22"/>
          <w:shd w:fill="FFFFFF" w:val="clear"/>
        </w:rPr>
        <w:t>Construction</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2. </w:t>
      </w:r>
      <w:r>
        <w:rPr>
          <w:rFonts w:ascii="Times New Roman;serif" w:hAnsi="Times New Roman;serif"/>
          <w:b/>
          <w:color w:val="000000"/>
          <w:sz w:val="22"/>
          <w:u w:val="single"/>
          <w:shd w:fill="FFFFFF" w:val="clear"/>
        </w:rPr>
        <w:t>ADMINISTRATION</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jc w:val="both"/>
      </w:pPr>
      <w:r/>
    </w:p>
    <w:p>
      <w:pPr>
        <w:pStyle w:val="TextBody"/>
        <w:bidi w:val="0"/>
        <w:spacing w:lineRule="auto" w:line="288" w:before="0" w:after="0"/>
        <w:ind w:left="0" w:right="0" w:firstLine="490"/>
        <w:jc w:val="both"/>
      </w:pPr>
      <w:r>
        <w:rPr>
          <w:rFonts w:ascii="Times New Roman;serif" w:hAnsi="Times New Roman;serif"/>
          <w:b w:val="false"/>
          <w:color w:val="000000"/>
          <w:sz w:val="22"/>
          <w:shd w:fill="FFFFFF" w:val="clear"/>
        </w:rPr>
        <w:t>3. </w:t>
      </w:r>
      <w:r>
        <w:rPr>
          <w:rFonts w:ascii="Times New Roman;serif" w:hAnsi="Times New Roman;serif"/>
          <w:b/>
          <w:color w:val="000000"/>
          <w:sz w:val="22"/>
          <w:u w:val="single"/>
          <w:shd w:fill="FFFFFF" w:val="clear"/>
        </w:rPr>
        <w:t>THE AWARD</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3.1</w:t>
      </w:r>
      <w:r>
        <w:rPr>
          <w:color w:val="000000"/>
        </w:rPr>
        <w:t xml:space="preserve"> </w:t>
      </w:r>
      <w:r>
        <w:rPr>
          <w:rFonts w:ascii="Times New Roman;serif" w:hAnsi="Times New Roman;serif"/>
          <w:b/>
          <w:color w:val="000000"/>
          <w:sz w:val="22"/>
          <w:shd w:fill="FFFFFF" w:val="clear"/>
        </w:rPr>
        <w:t>Grant of Performance Shares.</w:t>
      </w:r>
      <w:r>
        <w:rPr>
          <w:color w:val="000000"/>
        </w:rPr>
        <w:t xml:space="preserve"> </w:t>
      </w:r>
      <w:r>
        <w:rPr>
          <w:rFonts w:ascii="Times New Roman;serif" w:hAnsi="Times New Roman;serif"/>
          <w:b w:val="false"/>
          <w:color w:val="000000"/>
          <w:sz w:val="22"/>
          <w:shd w:fill="FFFFFF" w:val="clear"/>
        </w:rPr>
        <w:t>On the Date of Grant, the Participant shall acquire, subject to the provisions of this Agreement, the Total Number of Performance Shares set forth in the Grant Notice, subject to adjustment as provided in Section</w:t>
      </w:r>
      <w:r>
        <w:rPr>
          <w:color w:val="000000"/>
        </w:rPr>
        <w:t xml:space="preserve"> </w:t>
      </w:r>
      <w:r>
        <w:rPr>
          <w:rFonts w:ascii="Times New Roman;serif" w:hAnsi="Times New Roman;serif"/>
          <w:b w:val="false"/>
          <w:color w:val="000000"/>
          <w:sz w:val="22"/>
          <w:shd w:fill="FFFFFF" w:val="clear"/>
        </w:rPr>
        <w:t>9 and the restrictions set forth on the Grant Notice. Each Performance Share has an initial value equal to the Fair Market Value of one (1) share of Stock on the Date of Grant. Subject to satisfaction of the applicable Milestone set forth in Section 4,</w:t>
      </w:r>
      <w:r>
        <w:rPr>
          <w:color w:val="000000"/>
        </w:rPr>
        <w:t xml:space="preserve"> </w:t>
      </w:r>
      <w:r>
        <w:rPr>
          <w:rFonts w:ascii="Times New Roman;serif" w:hAnsi="Times New Roman;serif"/>
          <w:b w:val="false"/>
          <w:color w:val="000000"/>
          <w:sz w:val="22"/>
          <w:shd w:fill="FFFFFF" w:val="clear"/>
        </w:rPr>
        <w:t>each earned Performance Share shall be settled in one (1)</w:t>
      </w:r>
      <w:r>
        <w:rPr>
          <w:color w:val="000000"/>
        </w:rPr>
        <w:t xml:space="preserve"> </w:t>
      </w:r>
      <w:r>
        <w:rPr>
          <w:rFonts w:ascii="Times New Roman;serif" w:hAnsi="Times New Roman;serif"/>
          <w:b w:val="false"/>
          <w:color w:val="000000"/>
          <w:sz w:val="22"/>
          <w:shd w:fill="FFFFFF" w:val="clear"/>
        </w:rPr>
        <w:t>share of Stock in accordance with Section 6.1.</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3.2 </w:t>
      </w:r>
      <w:r>
        <w:rPr>
          <w:rFonts w:ascii="Times New Roman;serif" w:hAnsi="Times New Roman;serif"/>
          <w:b/>
          <w:color w:val="000000"/>
          <w:sz w:val="22"/>
          <w:shd w:fill="FFFFFF" w:val="clear"/>
        </w:rPr>
        <w:t>No Monetary Payment Required.</w:t>
      </w:r>
      <w:r>
        <w:rPr>
          <w:color w:val="000000"/>
          <w:shd w:fill="FFFFFF" w:val="clear"/>
        </w:rPr>
        <w:t> </w:t>
      </w:r>
      <w:r>
        <w:rPr>
          <w:rFonts w:ascii="Times New Roman;serif" w:hAnsi="Times New Roman;serif"/>
          <w:b w:val="false"/>
          <w:color w:val="000000"/>
          <w:sz w:val="22"/>
          <w:shd w:fill="FFFFFF" w:val="clear"/>
        </w:rPr>
        <w:t xml:space="preserve">The Participant is not required to make any monetary payment (other than applicable tax withholding, if any) as a condition to receiving the Performance </w:t>
      </w:r>
    </w:p>
    <w:p>
      <w:pPr>
        <w:pStyle w:val="TextBody"/>
        <w:bidi w:val="0"/>
        <w:spacing w:before="0" w:after="16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Shares or shares of Stock issued upon settlement of the Performance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Performance Shares.</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 xml:space="preserve">4. </w:t>
      </w:r>
      <w:r>
        <w:rPr>
          <w:rFonts w:ascii="Times New Roman;serif" w:hAnsi="Times New Roman;serif"/>
          <w:b/>
          <w:color w:val="000000"/>
          <w:sz w:val="22"/>
          <w:u w:val="single"/>
          <w:shd w:fill="FFFFFF" w:val="clear"/>
        </w:rPr>
        <w:t>EARNING OF PERFORMANCE SHARES</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Subject to the Participant’s continuous Service, the Performance Shares attributable to each Milestone shall become earned and nonforfeitable upon the Committee’s written determination promptly that any Milestone has been achieved in accordance with the terms of Exhibit A and pursuant to Sections 10.3 through 10.5(a) of the Plan</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5. </w:t>
      </w:r>
      <w:r>
        <w:rPr>
          <w:rFonts w:ascii="Times New Roman;serif" w:hAnsi="Times New Roman;serif"/>
          <w:b/>
          <w:color w:val="000000"/>
          <w:sz w:val="22"/>
          <w:u w:val="single"/>
          <w:shd w:fill="FFFFFF" w:val="clear"/>
        </w:rPr>
        <w:t>FORFEITURE OF UNEARNED PERFORMANCE SHARES</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5.1</w:t>
      </w:r>
      <w:r>
        <w:rPr>
          <w:color w:val="000000"/>
        </w:rPr>
        <w:t xml:space="preserve"> </w:t>
      </w:r>
      <w:r>
        <w:rPr>
          <w:rFonts w:ascii="Times New Roman;serif" w:hAnsi="Times New Roman;serif"/>
          <w:b/>
          <w:color w:val="000000"/>
          <w:sz w:val="22"/>
          <w:shd w:fill="FFFFFF" w:val="clear"/>
        </w:rPr>
        <w:t>Forfeiture upon Termination of Service.</w:t>
      </w:r>
      <w:r>
        <w:rPr>
          <w:color w:val="000000"/>
        </w:rPr>
        <w:t xml:space="preserve"> </w:t>
      </w:r>
      <w:r>
        <w:rPr>
          <w:rFonts w:ascii="Times New Roman;serif" w:hAnsi="Times New Roman;serif"/>
          <w:b w:val="false"/>
          <w:color w:val="000000"/>
          <w:sz w:val="22"/>
          <w:shd w:fill="FFFFFF" w:val="clear"/>
        </w:rPr>
        <w:t>Except to the extent otherwise provided by the Superseding Agreement, if any, in the event that the Participant’s Service terminates for any reason or no reason, with or without cause, the Participant shall forfeit all Performance Shares</w:t>
      </w:r>
      <w:r>
        <w:rPr>
          <w:color w:val="000000"/>
        </w:rPr>
        <w:t xml:space="preserve"> </w:t>
      </w:r>
      <w:r>
        <w:rPr>
          <w:rFonts w:ascii="Times New Roman;serif" w:hAnsi="Times New Roman;serif"/>
          <w:b w:val="false"/>
          <w:color w:val="000000"/>
          <w:sz w:val="22"/>
          <w:shd w:fill="FFFFFF" w:val="clear"/>
        </w:rPr>
        <w:t>for which any Milestone has not been achieved as of the time of such termination (</w:t>
      </w:r>
      <w:r>
        <w:rPr>
          <w:color w:val="000000"/>
          <w:shd w:fill="FFFFFF" w:val="clear"/>
        </w:rPr>
        <w:t>“</w:t>
      </w:r>
      <w:r>
        <w:rPr>
          <w:rFonts w:ascii="Times New Roman;serif" w:hAnsi="Times New Roman;serif"/>
          <w:b/>
          <w:i/>
          <w:color w:val="000000"/>
          <w:sz w:val="22"/>
          <w:shd w:fill="FFFFFF" w:val="clear"/>
        </w:rPr>
        <w:t>Unearned Performance Shares</w:t>
      </w:r>
      <w:r>
        <w:rPr>
          <w:color w:val="000000"/>
          <w:shd w:fill="FFFFFF" w:val="clear"/>
        </w:rPr>
        <w:t>”</w:t>
      </w:r>
      <w:r>
        <w:rPr>
          <w:rFonts w:ascii="Times New Roman;serif" w:hAnsi="Times New Roman;serif"/>
          <w:b w:val="false"/>
          <w:i/>
          <w:color w:val="000000"/>
          <w:sz w:val="22"/>
          <w:shd w:fill="FFFFFF" w:val="clear"/>
        </w:rPr>
        <w:t>)</w:t>
      </w:r>
      <w:r>
        <w:rPr>
          <w:rFonts w:ascii="Times New Roman;serif" w:hAnsi="Times New Roman;serif"/>
          <w:b w:val="false"/>
          <w:color w:val="000000"/>
          <w:sz w:val="22"/>
          <w:shd w:fill="FFFFFF" w:val="clear"/>
        </w:rPr>
        <w:t>, and the Participant shall not be entitled to any payment therefor, in Stock or otherwise. For the avoidance of doubt, Performance Shares for which the applicable Milestone was achieved before the Participant’s termination of Service shall not be forfeited solely because the Committee determines or certifies achievement after such termination.</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5.2 </w:t>
      </w:r>
      <w:r>
        <w:rPr>
          <w:rFonts w:ascii="Times New Roman;serif" w:hAnsi="Times New Roman;serif"/>
          <w:b/>
          <w:color w:val="000000"/>
          <w:sz w:val="22"/>
          <w:shd w:fill="FFFFFF" w:val="clear"/>
        </w:rPr>
        <w:t>Adjustments.</w:t>
      </w:r>
      <w:r>
        <w:rPr>
          <w:color w:val="000000"/>
          <w:shd w:fill="FFFFFF" w:val="clear"/>
        </w:rPr>
        <w:t> </w:t>
      </w:r>
      <w:r>
        <w:rPr>
          <w:rFonts w:ascii="Times New Roman;serif" w:hAnsi="Times New Roman;serif"/>
          <w:b w:val="false"/>
          <w:color w:val="000000"/>
          <w:sz w:val="22"/>
          <w:shd w:fill="FFFFFF" w:val="clear"/>
        </w:rPr>
        <w:t>The Award, including the number and kind of Performance Shares and shares of Stock subject to the Award and the applicable performance criteria, shall be subject to adjustment in accordance with Section 4.3 of the Plan. Any such adjustment shall be determined by the Committee in accordance with the Plan and shall be final, binding and conclusive.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490"/>
        <w:jc w:val="both"/>
      </w:pPr>
      <w:r>
        <w:rPr>
          <w:rFonts w:ascii="Times New Roman;serif" w:hAnsi="Times New Roman;serif"/>
          <w:b w:val="false"/>
          <w:color w:val="000000"/>
          <w:sz w:val="22"/>
          <w:shd w:fill="FFFFFF" w:val="clear"/>
        </w:rPr>
        <w:t>6. </w:t>
      </w:r>
      <w:r>
        <w:rPr>
          <w:rFonts w:ascii="Times New Roman;serif" w:hAnsi="Times New Roman;serif"/>
          <w:b/>
          <w:color w:val="000000"/>
          <w:sz w:val="22"/>
          <w:u w:val="single"/>
          <w:shd w:fill="FFFFFF" w:val="clear"/>
        </w:rPr>
        <w:t>SETTLEMENT OF THE AWARD</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6.1</w:t>
      </w:r>
      <w:r>
        <w:rPr>
          <w:color w:val="000000"/>
        </w:rPr>
        <w:t xml:space="preserve"> </w:t>
      </w:r>
      <w:r>
        <w:rPr>
          <w:rFonts w:ascii="Times New Roman;serif" w:hAnsi="Times New Roman;serif"/>
          <w:b/>
          <w:color w:val="000000"/>
          <w:sz w:val="22"/>
          <w:shd w:fill="FFFFFF" w:val="clear"/>
        </w:rPr>
        <w:t>Issuance of Shares of Stock</w:t>
      </w:r>
      <w:r>
        <w:rPr>
          <w:rFonts w:ascii="Times New Roman;serif" w:hAnsi="Times New Roman;serif"/>
          <w:b/>
          <w:i/>
          <w:color w:val="000000"/>
          <w:sz w:val="22"/>
          <w:shd w:fill="FFFFFF" w:val="clear"/>
        </w:rPr>
        <w:t>.</w:t>
      </w:r>
      <w:r>
        <w:rPr>
          <w:color w:val="000000"/>
        </w:rPr>
        <w:t xml:space="preserve"> </w:t>
      </w:r>
      <w:r>
        <w:rPr>
          <w:rFonts w:ascii="Times New Roman;serif" w:hAnsi="Times New Roman;serif"/>
          <w:b w:val="false"/>
          <w:color w:val="000000"/>
          <w:sz w:val="22"/>
          <w:shd w:fill="FFFFFF" w:val="clear"/>
        </w:rPr>
        <w:t>Subject to the provisions of Section</w:t>
      </w:r>
      <w:r>
        <w:rPr>
          <w:color w:val="000000"/>
        </w:rPr>
        <w:t xml:space="preserve"> </w:t>
      </w:r>
      <w:r>
        <w:rPr>
          <w:rFonts w:ascii="Times New Roman;serif" w:hAnsi="Times New Roman;serif"/>
          <w:b w:val="false"/>
          <w:color w:val="000000"/>
          <w:sz w:val="22"/>
          <w:shd w:fill="FFFFFF" w:val="clear"/>
        </w:rPr>
        <w:t>6.3, the Company shall issue to the Participant, as soon as practicable</w:t>
      </w:r>
      <w:r>
        <w:rPr>
          <w:color w:val="000000"/>
        </w:rPr>
        <w:t xml:space="preserve"> </w:t>
      </w:r>
      <w:r>
        <w:rPr>
          <w:rFonts w:ascii="Times New Roman;serif" w:hAnsi="Times New Roman;serif"/>
          <w:b w:val="false"/>
          <w:color w:val="000000"/>
          <w:sz w:val="22"/>
          <w:shd w:fill="FFFFFF" w:val="clear"/>
        </w:rPr>
        <w:t>following the Committee’s written determination that the applicable Milestone has been achieved and in any event within the Short-Term Deferral Period described in Section 15.1 of the Plan, one (1) share of Stock for each earned Performance Share</w:t>
      </w:r>
      <w:r>
        <w:rPr>
          <w:color w:val="000000"/>
        </w:rPr>
        <w:t xml:space="preserve"> </w:t>
      </w:r>
      <w:r>
        <w:rPr>
          <w:rFonts w:ascii="Times New Roman;serif" w:hAnsi="Times New Roman;serif"/>
          <w:b w:val="false"/>
          <w:color w:val="000000"/>
          <w:sz w:val="22"/>
          <w:shd w:fill="FFFFFF" w:val="clear"/>
        </w:rPr>
        <w:t>attributable to such Milestone (the date of such issuance, the “</w:t>
      </w:r>
      <w:r>
        <w:rPr>
          <w:rFonts w:ascii="Times New Roman;serif" w:hAnsi="Times New Roman;serif"/>
          <w:b/>
          <w:i/>
          <w:color w:val="000000"/>
          <w:sz w:val="22"/>
          <w:shd w:fill="FFFFFF" w:val="clear"/>
        </w:rPr>
        <w:t>Settlement Date</w:t>
      </w:r>
      <w:r>
        <w:rPr>
          <w:color w:val="000000"/>
          <w:shd w:fill="FFFFFF" w:val="clear"/>
        </w:rPr>
        <w:t>”</w:t>
      </w:r>
      <w:r>
        <w:rPr>
          <w:rFonts w:ascii="Times New Roman;serif" w:hAnsi="Times New Roman;serif"/>
          <w:b w:val="false"/>
          <w:color w:val="000000"/>
          <w:sz w:val="22"/>
          <w:shd w:fill="FFFFFF" w:val="clear"/>
        </w:rPr>
        <w:t>); provided, however, that if the tax withholding obligations of a Participating Company, if any, will not be satisfied by the share withholding method described in Section</w:t>
      </w:r>
      <w:r>
        <w:rPr>
          <w:color w:val="000000"/>
        </w:rPr>
        <w:t xml:space="preserve"> </w:t>
      </w:r>
      <w:r>
        <w:rPr>
          <w:rFonts w:ascii="Times New Roman;serif" w:hAnsi="Times New Roman;serif"/>
          <w:b w:val="false"/>
          <w:color w:val="000000"/>
          <w:sz w:val="22"/>
          <w:shd w:fill="FFFFFF" w:val="clear"/>
        </w:rPr>
        <w:t>7.3 and the Settlement Date would occur on a date on which a sale by the Participant of the shares to be issued in settlement of the earned Performance Shares would violate the Trading Compliance Policy of the Company, then settlement of such Performance Shares shall be deferred until the next trading day on which the sale of such shares would not violate the Trading Compliance Policy, but in any event no later than the end of such Short-Term Deferral Period. Shares of Stock issued in settlement of Performance Shares shall not be subject to any restriction on transfer other than any such restriction as may be required pursuant to Section</w:t>
      </w:r>
      <w:r>
        <w:rPr>
          <w:color w:val="000000"/>
        </w:rPr>
        <w:t xml:space="preserve"> </w:t>
      </w:r>
      <w:r>
        <w:rPr>
          <w:rFonts w:ascii="Times New Roman;serif" w:hAnsi="Times New Roman;serif"/>
          <w:b w:val="false"/>
          <w:color w:val="000000"/>
          <w:sz w:val="22"/>
          <w:shd w:fill="FFFFFF" w:val="clear"/>
        </w:rPr>
        <w:t>6.3, Section</w:t>
      </w:r>
      <w:r>
        <w:rPr>
          <w:color w:val="000000"/>
        </w:rPr>
        <w:t xml:space="preserve"> </w:t>
      </w:r>
      <w:r>
        <w:rPr>
          <w:rFonts w:ascii="Times New Roman;serif" w:hAnsi="Times New Roman;serif"/>
          <w:b w:val="false"/>
          <w:color w:val="000000"/>
          <w:sz w:val="22"/>
          <w:shd w:fill="FFFFFF" w:val="clear"/>
        </w:rPr>
        <w:t>7 or the Company’s Trading Compliance Policy.</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6.2 </w:t>
      </w:r>
      <w:r>
        <w:rPr>
          <w:rFonts w:ascii="Times New Roman;serif" w:hAnsi="Times New Roman;serif"/>
          <w:b/>
          <w:color w:val="000000"/>
          <w:sz w:val="22"/>
          <w:shd w:fill="FFFFFF" w:val="clear"/>
        </w:rPr>
        <w:t>Beneficial Ownership of Shares; Certificate Registration</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before="0" w:after="16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6.3 </w:t>
      </w:r>
      <w:r>
        <w:rPr>
          <w:rFonts w:ascii="Times New Roman;serif" w:hAnsi="Times New Roman;serif"/>
          <w:b/>
          <w:color w:val="000000"/>
          <w:sz w:val="22"/>
          <w:shd w:fill="FFFFFF" w:val="clear"/>
        </w:rPr>
        <w:t>Restrictions on Grant of the Award and Issuance of Shares</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6.4 </w:t>
      </w:r>
      <w:r>
        <w:rPr>
          <w:rFonts w:ascii="Times New Roman;serif" w:hAnsi="Times New Roman;serif"/>
          <w:b/>
          <w:color w:val="000000"/>
          <w:sz w:val="22"/>
          <w:shd w:fill="FFFFFF" w:val="clear"/>
        </w:rPr>
        <w:t>Fractional Shares</w:t>
      </w:r>
      <w:r>
        <w:rPr>
          <w:rFonts w:ascii="Times New Roman;serif" w:hAnsi="Times New Roman;serif"/>
          <w:b/>
          <w:i/>
          <w:color w:val="000000"/>
          <w:sz w:val="22"/>
          <w:shd w:fill="FFFFFF" w:val="clear"/>
        </w:rPr>
        <w:t>.</w:t>
      </w:r>
      <w:r>
        <w:rPr>
          <w:color w:val="000000"/>
          <w:shd w:fill="FFFFFF" w:val="clear"/>
        </w:rPr>
        <w:t> </w:t>
      </w:r>
      <w:r>
        <w:rPr>
          <w:rFonts w:ascii="Times New Roman;serif" w:hAnsi="Times New Roman;serif"/>
          <w:b w:val="false"/>
          <w:color w:val="000000"/>
          <w:sz w:val="22"/>
          <w:shd w:fill="FFFFFF" w:val="clear"/>
        </w:rPr>
        <w:t>The Company shall not be required to issue fractional shares upon the settlement of the Award.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490"/>
        <w:jc w:val="both"/>
      </w:pPr>
      <w:r>
        <w:rPr>
          <w:rFonts w:ascii="Times New Roman;serif" w:hAnsi="Times New Roman;serif"/>
          <w:b w:val="false"/>
          <w:color w:val="000000"/>
          <w:sz w:val="22"/>
          <w:shd w:fill="FFFFFF" w:val="clear"/>
        </w:rPr>
        <w:t>7. </w:t>
      </w:r>
      <w:r>
        <w:rPr>
          <w:rFonts w:ascii="Times New Roman;serif" w:hAnsi="Times New Roman;serif"/>
          <w:b/>
          <w:color w:val="000000"/>
          <w:sz w:val="22"/>
          <w:u w:val="single"/>
          <w:shd w:fill="FFFFFF" w:val="clear"/>
        </w:rPr>
        <w:t>TAX WITHHOLDING</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7.1 </w:t>
      </w:r>
      <w:r>
        <w:rPr>
          <w:rFonts w:ascii="Times New Roman;serif" w:hAnsi="Times New Roman;serif"/>
          <w:b/>
          <w:color w:val="000000"/>
          <w:sz w:val="22"/>
          <w:shd w:fill="FFFFFF" w:val="clear"/>
        </w:rPr>
        <w:t>In General.</w:t>
      </w:r>
      <w:r>
        <w:rPr>
          <w:color w:val="000000"/>
          <w:shd w:fill="FFFFFF" w:val="clear"/>
        </w:rPr>
        <w:t> </w:t>
      </w:r>
      <w:r>
        <w:rPr>
          <w:rFonts w:ascii="Times New Roman;serif" w:hAnsi="Times New Roman;serif"/>
          <w:b w:val="false"/>
          <w:color w:val="000000"/>
          <w:sz w:val="22"/>
          <w:shd w:fill="FFFFFF" w:val="clear"/>
        </w:rPr>
        <w:t>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earning of Performance Shares or the issuance of shares of Stock in settlement thereof. The Company shall have no obligation to deliver shares of Stock until the tax withholding obligations of the Participating Company have been satisfied by the Participant. With respect to any Participant that is deemed to be an independent contractor rather than an employee, all</w:t>
      </w:r>
      <w:r>
        <w:rPr>
          <w:color w:val="000000"/>
        </w:rPr>
        <w:t xml:space="preserve"> </w:t>
      </w:r>
      <w:r>
        <w:rPr>
          <w:rFonts w:ascii="Times New Roman;serif" w:hAnsi="Times New Roman;serif"/>
          <w:b w:val="false"/>
          <w:color w:val="000000"/>
          <w:sz w:val="22"/>
          <w:shd w:fill="FFFFFF" w:val="clear"/>
        </w:rPr>
        <w:t>tax-related</w:t>
      </w:r>
      <w:r>
        <w:rPr>
          <w:color w:val="000000"/>
        </w:rPr>
        <w:t xml:space="preserve"> </w:t>
      </w:r>
      <w:r>
        <w:rPr>
          <w:rFonts w:ascii="Times New Roman;serif" w:hAnsi="Times New Roman;serif"/>
          <w:b w:val="false"/>
          <w:color w:val="000000"/>
          <w:sz w:val="22"/>
          <w:shd w:fill="FFFFFF" w:val="clear"/>
        </w:rPr>
        <w:t>payments associated with the grant, earning or issuance of shares of Stock shall be the sole responsibility of that Participant.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7.2 </w:t>
      </w:r>
      <w:r>
        <w:rPr>
          <w:rFonts w:ascii="Times New Roman;serif" w:hAnsi="Times New Roman;serif"/>
          <w:b/>
          <w:color w:val="000000"/>
          <w:sz w:val="22"/>
          <w:shd w:fill="FFFFFF" w:val="clear"/>
        </w:rPr>
        <w:t>Assignment of Sale Proceeds.</w:t>
      </w:r>
      <w:r>
        <w:rPr>
          <w:color w:val="000000"/>
          <w:shd w:fill="FFFFFF" w:val="clear"/>
        </w:rPr>
        <w:t> </w:t>
      </w:r>
      <w:r>
        <w:rPr>
          <w:rFonts w:ascii="Times New Roman;serif" w:hAnsi="Times New Roman;serif"/>
          <w:b w:val="false"/>
          <w:color w:val="000000"/>
          <w:sz w:val="22"/>
          <w:shd w:fill="FFFFFF" w:val="clear"/>
        </w:rPr>
        <w:t>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Performance Shares.</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7.3 </w:t>
      </w:r>
      <w:r>
        <w:rPr>
          <w:rFonts w:ascii="Times New Roman;serif" w:hAnsi="Times New Roman;serif"/>
          <w:b/>
          <w:color w:val="000000"/>
          <w:sz w:val="22"/>
          <w:shd w:fill="FFFFFF" w:val="clear"/>
        </w:rPr>
        <w:t>Withholding in Shares.</w:t>
      </w:r>
      <w:r>
        <w:rPr>
          <w:color w:val="000000"/>
          <w:shd w:fill="FFFFFF" w:val="clear"/>
        </w:rPr>
        <w:t> </w:t>
      </w:r>
      <w:r>
        <w:rPr>
          <w:rFonts w:ascii="Times New Roman;serif" w:hAnsi="Times New Roman;serif"/>
          <w:b w:val="false"/>
          <w:color w:val="000000"/>
          <w:sz w:val="22"/>
          <w:shd w:fill="FFFFFF" w:val="clear"/>
        </w:rPr>
        <w:t>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 or the maximum individual statutory withholding rates for the applicable jurisdiction if use of such rates would not result in adverse accounting consequences or cost. Any determination by the Company with respect to whether to permit the withholding of shares of Stock to satisfy the tax withholding obligation shall be made by the Committee if the Participant is subject to Section 16 of the Exchange Act.</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8. </w:t>
      </w:r>
      <w:r>
        <w:rPr>
          <w:rFonts w:ascii="Times New Roman;serif" w:hAnsi="Times New Roman;serif"/>
          <w:b/>
          <w:color w:val="000000"/>
          <w:sz w:val="22"/>
          <w:u w:val="single"/>
          <w:shd w:fill="FFFFFF" w:val="clear"/>
        </w:rPr>
        <w:t>EFFECT OF CHANGE IN CONTROL</w:t>
      </w:r>
      <w:r>
        <w:rPr>
          <w:rFonts w:ascii="Times New Roman;serif" w:hAnsi="Times New Roman;serif"/>
          <w:b/>
          <w:i/>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 xml:space="preserve">Notwithstanding anything to the contrary in this Agreement, if, during the Earnout Period, the Company or the Surviving Company undergoes a Change of Control, in each case as defined in the Merger Agreement (as defined on </w:t>
      </w:r>
      <w:r>
        <w:rPr>
          <w:rFonts w:ascii="Times New Roman;serif" w:hAnsi="Times New Roman;serif"/>
          <w:b/>
          <w:color w:val="000000"/>
          <w:sz w:val="22"/>
          <w:shd w:fill="FFFFFF" w:val="clear"/>
        </w:rPr>
        <w:t>Exhibit A</w:t>
      </w:r>
      <w:r>
        <w:rPr>
          <w:rFonts w:ascii="Times New Roman;serif" w:hAnsi="Times New Roman;serif"/>
          <w:b w:val="false"/>
          <w:color w:val="000000"/>
          <w:sz w:val="22"/>
          <w:shd w:fill="FFFFFF" w:val="clear"/>
        </w:rPr>
        <w:t xml:space="preserve">), then, effective immediately prior to and contingent upon </w:t>
      </w:r>
    </w:p>
    <w:p>
      <w:pPr>
        <w:pStyle w:val="TextBody"/>
        <w:bidi w:val="0"/>
        <w:spacing w:before="0" w:after="160"/>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consummation thereof, each Milestone, including each Milestone thereof, that has not then been achieved shall be deemed achieved in full and the Performance Shares attributable thereto shall become earned and nonforfeitable. Settlement of such Performance Shares shall remain subject to Sections 13 and 15.4(f) of the Plan.</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9. </w:t>
      </w:r>
      <w:r>
        <w:rPr>
          <w:rFonts w:ascii="Times New Roman;serif" w:hAnsi="Times New Roman;serif"/>
          <w:b/>
          <w:color w:val="000000"/>
          <w:sz w:val="22"/>
          <w:u w:val="single"/>
          <w:shd w:fill="FFFFFF" w:val="clear"/>
        </w:rPr>
        <w:t>ADJUSTMENTS FOR CHANGES IN CAPITAL STRUCTURE</w:t>
      </w:r>
      <w:r>
        <w:rPr>
          <w:rFonts w:ascii="Times New Roman;serif" w:hAnsi="Times New Roman;serif"/>
          <w:b/>
          <w:color w:val="000000"/>
          <w:sz w:val="22"/>
          <w:shd w:fill="FFFFFF" w:val="clear"/>
        </w:rPr>
        <w:t>.</w:t>
      </w:r>
    </w:p>
    <w:p>
      <w:pPr>
        <w:pStyle w:val="TextBody"/>
        <w:bidi w:val="0"/>
        <w:spacing w:lineRule="auto" w:line="288" w:before="24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Award shall be subject to and treated as set forth in Section 4.3 of the Plan.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before="0" w:after="0"/>
        <w:jc w:val="both"/>
      </w:pPr>
      <w:r/>
    </w:p>
    <w:p>
      <w:pPr>
        <w:pStyle w:val="TextBody"/>
        <w:bidi w:val="0"/>
        <w:spacing w:lineRule="auto" w:line="288" w:before="0" w:after="0"/>
        <w:ind w:left="0" w:right="0" w:firstLine="490"/>
        <w:jc w:val="both"/>
      </w:pPr>
      <w:r>
        <w:rPr>
          <w:rFonts w:ascii="Times New Roman;serif" w:hAnsi="Times New Roman;serif"/>
          <w:b w:val="false"/>
          <w:color w:val="000000"/>
          <w:sz w:val="22"/>
          <w:shd w:fill="FFFFFF" w:val="clear"/>
        </w:rPr>
        <w:t>10. </w:t>
      </w:r>
      <w:r>
        <w:rPr>
          <w:rFonts w:ascii="Times New Roman;serif" w:hAnsi="Times New Roman;serif"/>
          <w:b/>
          <w:color w:val="000000"/>
          <w:sz w:val="22"/>
          <w:u w:val="single"/>
          <w:shd w:fill="FFFFFF" w:val="clear"/>
        </w:rPr>
        <w:t>RIGHTS AS A STOCKHOLDER, DIRECTOR, EMPLOYEE OR CONSULTANT</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w:t>
      </w:r>
      <w:r>
        <w:rPr>
          <w:color w:val="000000"/>
        </w:rPr>
        <w:t xml:space="preserve"> </w:t>
      </w:r>
      <w:r>
        <w:rPr>
          <w:rFonts w:ascii="Times New Roman;serif" w:hAnsi="Times New Roman;serif"/>
          <w:b w:val="false"/>
          <w:color w:val="000000"/>
          <w:sz w:val="22"/>
          <w:shd w:fill="FFFFFF" w:val="clear"/>
        </w:rPr>
        <w:t>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11. </w:t>
      </w:r>
      <w:r>
        <w:rPr>
          <w:rFonts w:ascii="Times New Roman;serif" w:hAnsi="Times New Roman;serif"/>
          <w:b/>
          <w:color w:val="000000"/>
          <w:sz w:val="22"/>
          <w:u w:val="single"/>
          <w:shd w:fill="FFFFFF" w:val="clear"/>
        </w:rPr>
        <w:t>LEGENDS</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12. </w:t>
      </w:r>
      <w:r>
        <w:rPr>
          <w:rFonts w:ascii="Times New Roman;serif" w:hAnsi="Times New Roman;serif"/>
          <w:b/>
          <w:color w:val="000000"/>
          <w:sz w:val="22"/>
          <w:u w:val="single"/>
          <w:shd w:fill="FFFFFF" w:val="clear"/>
        </w:rPr>
        <w:t>COMPLIANCE WITH SECTION 409A</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This Agreement is intended to comply with the limitations and requirements of Section 409A of the Code, including the guidance and regulations promulgated thereunder and successor provisions, guidance and regulations thereto (the “</w:t>
      </w:r>
      <w:r>
        <w:rPr>
          <w:rFonts w:ascii="Times New Roman;serif" w:hAnsi="Times New Roman;serif"/>
          <w:b/>
          <w:i/>
          <w:color w:val="000000"/>
          <w:sz w:val="22"/>
          <w:shd w:fill="FFFFFF" w:val="clear"/>
        </w:rPr>
        <w:t>Nonqualified Deferred Compensation Rules</w:t>
      </w:r>
      <w:r>
        <w:rPr>
          <w:color w:val="000000"/>
          <w:shd w:fill="FFFFFF" w:val="clear"/>
        </w:rPr>
        <w:t>”</w:t>
      </w:r>
      <w:r>
        <w:rPr>
          <w:rFonts w:ascii="Times New Roman;serif" w:hAnsi="Times New Roman;serif"/>
          <w:b w:val="false"/>
          <w:color w:val="000000"/>
          <w:sz w:val="22"/>
          <w:shd w:fill="FFFFFF" w:val="clear"/>
        </w:rPr>
        <w:t>), or an exemption thereunder and shall be construed and interpreted in a manner that is consistent with the requirements for avoiding additional taxes or penalties under the Nonqualified Deferred Compensation Rules. To the extent the Committee determines that this Award may not be exempt from the Nonqualified Deferred Compensation Rules, then, it is intended that any election, payment or benefit which is made or provided pursuant to or in connection with this Award that may result in Section 409A Deferred Compensation shall comply in all respects with the applicable requirements of the Nonqualified Deferred Compensation Rules (as determined by the Committee in good faith) to avoid the unfavorable tax consequences provided therein for non-compliance. In connection with effecting compliance with or an exemption from Section 409A, the following shall apply:</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12.1 </w:t>
      </w:r>
      <w:r>
        <w:rPr>
          <w:rFonts w:ascii="Times New Roman;serif" w:hAnsi="Times New Roman;serif"/>
          <w:b/>
          <w:color w:val="000000"/>
          <w:sz w:val="22"/>
          <w:shd w:fill="FFFFFF" w:val="clear"/>
        </w:rPr>
        <w:t>Separation from Service; Required Delay in Payment to Specified Employee. </w:t>
      </w:r>
      <w:r>
        <w:rPr>
          <w:rFonts w:ascii="Times New Roman;serif" w:hAnsi="Times New Roman;serif"/>
          <w:b w:val="false"/>
          <w:color w:val="000000"/>
          <w:sz w:val="22"/>
          <w:shd w:fill="FFFFFF" w:val="clear"/>
        </w:rPr>
        <w:t>Notwithstanding anything set forth herein to the contrary, no amount payable pursuant to this Agreement on account of the Participant’s termination of Service which constitutes Section 409A Deferred Compensation shall be paid unless and until the Participant has incurred a “separation from service” within the meaning of the Treasury Regulations issued pursuant to Section 409A of the Code (the </w:t>
      </w:r>
      <w:r>
        <w:rPr>
          <w:color w:val="000000"/>
          <w:shd w:fill="FFFFFF" w:val="clear"/>
        </w:rPr>
        <w:t>“</w:t>
      </w:r>
      <w:r>
        <w:rPr>
          <w:rFonts w:ascii="Times New Roman;serif" w:hAnsi="Times New Roman;serif"/>
          <w:b/>
          <w:i/>
          <w:color w:val="000000"/>
          <w:sz w:val="22"/>
          <w:shd w:fill="FFFFFF" w:val="clear"/>
        </w:rPr>
        <w:t>Section 409A Regulations</w:t>
      </w:r>
      <w:r>
        <w:rPr>
          <w:color w:val="000000"/>
          <w:shd w:fill="FFFFFF" w:val="clear"/>
        </w:rPr>
        <w:t>”</w:t>
      </w:r>
      <w:r>
        <w:rPr>
          <w:rFonts w:ascii="Times New Roman;serif" w:hAnsi="Times New Roman;serif"/>
          <w:b w:val="false"/>
          <w:color w:val="000000"/>
          <w:sz w:val="22"/>
          <w:shd w:fill="FFFFFF" w:val="clear"/>
        </w:rPr>
        <w:t>). Furthermore, to the extent that the Participant is a “specified employee” within the meaning of the Section 409A Regulations as of the date of the Participant’s separation from service, no Section 409A Deferred Compensation which is payable on account of the Participant’s separation from service shall be paid to the Participant before the date (the </w:t>
      </w:r>
      <w:r>
        <w:rPr>
          <w:color w:val="000000"/>
          <w:shd w:fill="FFFFFF" w:val="clear"/>
        </w:rPr>
        <w:t>“</w:t>
      </w:r>
      <w:r>
        <w:rPr>
          <w:rFonts w:ascii="Times New Roman;serif" w:hAnsi="Times New Roman;serif"/>
          <w:b/>
          <w:i/>
          <w:color w:val="000000"/>
          <w:sz w:val="22"/>
          <w:shd w:fill="FFFFFF" w:val="clear"/>
        </w:rPr>
        <w:t xml:space="preserve">Delayed </w:t>
      </w:r>
    </w:p>
    <w:p>
      <w:pPr>
        <w:pStyle w:val="TextBody"/>
        <w:bidi w:val="0"/>
        <w:spacing w:before="0" w:after="160"/>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both"/>
      </w:pPr>
      <w:r>
        <w:rPr>
          <w:rFonts w:ascii="Times New Roman;serif" w:hAnsi="Times New Roman;serif"/>
          <w:b/>
          <w:i/>
          <w:color w:val="000000"/>
          <w:sz w:val="22"/>
          <w:shd w:fill="FFFFFF" w:val="clear"/>
        </w:rPr>
        <w:t>Payment Date</w:t>
      </w:r>
      <w:r>
        <w:rPr>
          <w:color w:val="000000"/>
          <w:shd w:fill="FFFFFF" w:val="clear"/>
        </w:rPr>
        <w:t>”</w:t>
      </w:r>
      <w:r>
        <w:rPr>
          <w:rFonts w:ascii="Times New Roman;serif" w:hAnsi="Times New Roman;serif"/>
          <w:b w:val="false"/>
          <w:color w:val="000000"/>
          <w:sz w:val="22"/>
          <w:shd w:fill="FFFFFF" w:val="clear"/>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1102"/>
        <w:jc w:val="both"/>
      </w:pPr>
      <w:r>
        <w:rPr>
          <w:rFonts w:ascii="Times New Roman;serif" w:hAnsi="Times New Roman;serif"/>
          <w:b w:val="false"/>
          <w:color w:val="000000"/>
          <w:sz w:val="22"/>
          <w:shd w:fill="FFFFFF" w:val="clear"/>
        </w:rPr>
        <w:t>12.2 </w:t>
      </w:r>
      <w:r>
        <w:rPr>
          <w:rFonts w:ascii="Times New Roman;serif" w:hAnsi="Times New Roman;serif"/>
          <w:b/>
          <w:color w:val="000000"/>
          <w:sz w:val="22"/>
          <w:shd w:fill="FFFFFF" w:val="clear"/>
        </w:rPr>
        <w:t>Other Changes in Time of Payment.</w:t>
      </w:r>
      <w:r>
        <w:rPr>
          <w:color w:val="000000"/>
          <w:shd w:fill="FFFFFF" w:val="clear"/>
        </w:rPr>
        <w:t> </w:t>
      </w:r>
      <w:r>
        <w:rPr>
          <w:rFonts w:ascii="Times New Roman;serif" w:hAnsi="Times New Roman;serif"/>
          <w:b w:val="false"/>
          <w:color w:val="000000"/>
          <w:sz w:val="22"/>
          <w:shd w:fill="FFFFFF" w:val="clear"/>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12.3</w:t>
      </w:r>
      <w:r>
        <w:rPr>
          <w:color w:val="000000"/>
        </w:rPr>
        <w:t xml:space="preserve"> </w:t>
      </w:r>
      <w:r>
        <w:rPr>
          <w:rFonts w:ascii="Times New Roman;serif" w:hAnsi="Times New Roman;serif"/>
          <w:b/>
          <w:color w:val="000000"/>
          <w:sz w:val="22"/>
          <w:shd w:fill="FFFFFF" w:val="clear"/>
        </w:rPr>
        <w:t>Separate Payments</w:t>
      </w:r>
      <w:r>
        <w:rPr>
          <w:rFonts w:ascii="Times New Roman;serif" w:hAnsi="Times New Roman;serif"/>
          <w:b w:val="false"/>
          <w:color w:val="000000"/>
          <w:sz w:val="22"/>
          <w:shd w:fill="FFFFFF" w:val="clear"/>
        </w:rPr>
        <w:t>. For purposes of Section 409A, the Participant’s right to receive payment with respect to each Milestone shall be treated as a right to a separate payment.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12.4 </w:t>
      </w:r>
      <w:r>
        <w:rPr>
          <w:rFonts w:ascii="Times New Roman;serif" w:hAnsi="Times New Roman;serif"/>
          <w:b/>
          <w:color w:val="000000"/>
          <w:sz w:val="22"/>
          <w:shd w:fill="FFFFFF" w:val="clear"/>
        </w:rPr>
        <w:t>Amendments to Comply with Section 409A; Indemnification.</w:t>
      </w:r>
      <w:r>
        <w:rPr>
          <w:color w:val="000000"/>
          <w:shd w:fill="FFFFFF" w:val="clear"/>
        </w:rPr>
        <w:t> </w:t>
      </w:r>
      <w:r>
        <w:rPr>
          <w:rFonts w:ascii="Times New Roman;serif" w:hAnsi="Times New Roman;serif"/>
          <w:b w:val="false"/>
          <w:color w:val="000000"/>
          <w:sz w:val="22"/>
          <w:shd w:fill="FFFFFF" w:val="clear"/>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or be exempt from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12.5 </w:t>
      </w:r>
      <w:r>
        <w:rPr>
          <w:rFonts w:ascii="Times New Roman;serif" w:hAnsi="Times New Roman;serif"/>
          <w:b/>
          <w:color w:val="000000"/>
          <w:sz w:val="22"/>
          <w:shd w:fill="FFFFFF" w:val="clear"/>
        </w:rPr>
        <w:t>Advice of Independent Tax Advisor.</w:t>
      </w:r>
      <w:r>
        <w:rPr>
          <w:color w:val="000000"/>
          <w:shd w:fill="FFFFFF" w:val="clear"/>
        </w:rPr>
        <w:t> </w:t>
      </w:r>
      <w:r>
        <w:rPr>
          <w:rFonts w:ascii="Times New Roman;serif" w:hAnsi="Times New Roman;serif"/>
          <w:b w:val="false"/>
          <w:color w:val="000000"/>
          <w:sz w:val="22"/>
          <w:shd w:fill="FFFFFF" w:val="clear"/>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lineRule="auto" w:line="288" w:before="240" w:after="283"/>
        <w:ind w:left="0" w:right="0" w:firstLine="490"/>
        <w:jc w:val="both"/>
      </w:pPr>
      <w:r>
        <w:rPr>
          <w:rFonts w:ascii="Times New Roman;serif" w:hAnsi="Times New Roman;serif"/>
          <w:b w:val="false"/>
          <w:color w:val="000000"/>
          <w:sz w:val="22"/>
          <w:shd w:fill="FFFFFF" w:val="clear"/>
        </w:rPr>
        <w:t>13. </w:t>
      </w:r>
      <w:r>
        <w:rPr>
          <w:rFonts w:ascii="Times New Roman;serif" w:hAnsi="Times New Roman;serif"/>
          <w:b/>
          <w:color w:val="000000"/>
          <w:sz w:val="22"/>
          <w:u w:val="single"/>
          <w:shd w:fill="FFFFFF" w:val="clear"/>
        </w:rPr>
        <w:t>MISCELLANEOUS PROVISIONS</w:t>
      </w:r>
      <w:r>
        <w:rPr>
          <w:rFonts w:ascii="Times New Roman;serif" w:hAnsi="Times New Roman;serif"/>
          <w:b/>
          <w:color w:val="000000"/>
          <w:sz w:val="22"/>
          <w:shd w:fill="FFFFFF" w:val="clear"/>
        </w:rPr>
        <w: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13.1 </w:t>
      </w:r>
      <w:r>
        <w:rPr>
          <w:rFonts w:ascii="Times New Roman;serif" w:hAnsi="Times New Roman;serif"/>
          <w:b/>
          <w:color w:val="000000"/>
          <w:sz w:val="22"/>
          <w:shd w:fill="FFFFFF" w:val="clear"/>
        </w:rPr>
        <w:t>Termination or Amendment.</w:t>
      </w:r>
      <w:r>
        <w:rPr>
          <w:color w:val="000000"/>
          <w:shd w:fill="FFFFFF" w:val="clear"/>
        </w:rPr>
        <w:t> </w:t>
      </w:r>
      <w:r>
        <w:rPr>
          <w:rFonts w:ascii="Times New Roman;serif" w:hAnsi="Times New Roman;serif"/>
          <w:b w:val="false"/>
          <w:color w:val="000000"/>
          <w:sz w:val="22"/>
          <w:shd w:fill="FFFFFF" w:val="clear"/>
        </w:rPr>
        <w:t>The Committee may terminate or amend the Plan or this Agreement at any time; provided, however,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13.2 </w:t>
      </w:r>
      <w:r>
        <w:rPr>
          <w:rFonts w:ascii="Times New Roman;serif" w:hAnsi="Times New Roman;serif"/>
          <w:b/>
          <w:color w:val="000000"/>
          <w:sz w:val="22"/>
          <w:shd w:fill="FFFFFF" w:val="clear"/>
        </w:rPr>
        <w:t>Nontransferability of the Award.</w:t>
      </w:r>
      <w:r>
        <w:rPr>
          <w:color w:val="000000"/>
          <w:shd w:fill="FFFFFF" w:val="clear"/>
        </w:rPr>
        <w:t> </w:t>
      </w:r>
      <w:r>
        <w:rPr>
          <w:rFonts w:ascii="Times New Roman;serif" w:hAnsi="Times New Roman;serif"/>
          <w:b w:val="false"/>
          <w:color w:val="000000"/>
          <w:sz w:val="22"/>
          <w:shd w:fill="FFFFFF" w:val="clear"/>
        </w:rPr>
        <w:t>Prior to the issuance of shares of Stock on the applicable Settlement Date, neither this Award nor any Performance Shares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1102"/>
        <w:jc w:val="both"/>
      </w:pPr>
      <w:r>
        <w:rPr>
          <w:rFonts w:ascii="Times New Roman;serif" w:hAnsi="Times New Roman;serif"/>
          <w:b w:val="false"/>
          <w:color w:val="000000"/>
          <w:sz w:val="22"/>
          <w:shd w:fill="FFFFFF" w:val="clear"/>
        </w:rPr>
        <w:t>13.3 </w:t>
      </w:r>
      <w:r>
        <w:rPr>
          <w:rFonts w:ascii="Times New Roman;serif" w:hAnsi="Times New Roman;serif"/>
          <w:b/>
          <w:color w:val="000000"/>
          <w:sz w:val="22"/>
          <w:shd w:fill="FFFFFF" w:val="clear"/>
        </w:rPr>
        <w:t>Further Instruments.</w:t>
      </w:r>
      <w:r>
        <w:rPr>
          <w:color w:val="000000"/>
          <w:shd w:fill="FFFFFF" w:val="clear"/>
        </w:rPr>
        <w:t> </w:t>
      </w:r>
      <w:r>
        <w:rPr>
          <w:rFonts w:ascii="Times New Roman;serif" w:hAnsi="Times New Roman;serif"/>
          <w:b w:val="false"/>
          <w:color w:val="000000"/>
          <w:sz w:val="22"/>
          <w:shd w:fill="FFFFFF" w:val="clear"/>
        </w:rPr>
        <w:t>The parties hereto agree to execute such further instruments and to take such further action as may reasonably be necessary to carry out the intent of this Agreement.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13.4 </w:t>
      </w:r>
      <w:r>
        <w:rPr>
          <w:rFonts w:ascii="Times New Roman;serif" w:hAnsi="Times New Roman;serif"/>
          <w:b/>
          <w:color w:val="000000"/>
          <w:sz w:val="22"/>
          <w:shd w:fill="FFFFFF" w:val="clear"/>
        </w:rPr>
        <w:t>Binding Effect.</w:t>
      </w:r>
      <w:r>
        <w:rPr>
          <w:color w:val="000000"/>
          <w:shd w:fill="FFFFFF" w:val="clear"/>
        </w:rPr>
        <w:t> </w:t>
      </w:r>
      <w:r>
        <w:rPr>
          <w:rFonts w:ascii="Times New Roman;serif" w:hAnsi="Times New Roman;serif"/>
          <w:b w:val="false"/>
          <w:color w:val="000000"/>
          <w:sz w:val="22"/>
          <w:shd w:fill="FFFFFF" w:val="clear"/>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0" w:after="160"/>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13.5 </w:t>
      </w:r>
      <w:r>
        <w:rPr>
          <w:rFonts w:ascii="Times New Roman;serif" w:hAnsi="Times New Roman;serif"/>
          <w:b/>
          <w:color w:val="000000"/>
          <w:sz w:val="22"/>
          <w:shd w:fill="FFFFFF" w:val="clear"/>
        </w:rPr>
        <w:t>Delivery of Documents and Notices.</w:t>
      </w:r>
      <w:r>
        <w:rPr>
          <w:color w:val="000000"/>
          <w:shd w:fill="FFFFFF" w:val="clear"/>
        </w:rPr>
        <w:t> </w:t>
      </w:r>
      <w:r>
        <w:rPr>
          <w:rFonts w:ascii="Times New Roman;serif" w:hAnsi="Times New Roman;serif"/>
          <w:b w:val="false"/>
          <w:color w:val="000000"/>
          <w:sz w:val="22"/>
          <w:shd w:fill="FFFFFF" w:val="clear"/>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88" w:before="240" w:after="283"/>
        <w:ind w:left="0" w:right="0" w:firstLine="1591"/>
        <w:jc w:val="both"/>
      </w:pPr>
      <w:r>
        <w:rPr>
          <w:rFonts w:ascii="Times New Roman;serif" w:hAnsi="Times New Roman;serif"/>
          <w:b w:val="false"/>
          <w:color w:val="000000"/>
          <w:sz w:val="22"/>
          <w:shd w:fill="FFFFFF" w:val="clear"/>
        </w:rPr>
        <w:t>(a) </w:t>
      </w:r>
      <w:r>
        <w:rPr>
          <w:rFonts w:ascii="Times New Roman;serif" w:hAnsi="Times New Roman;serif"/>
          <w:b/>
          <w:i/>
          <w:color w:val="000000"/>
          <w:sz w:val="22"/>
          <w:shd w:fill="FFFFFF" w:val="clear"/>
        </w:rPr>
        <w:t>Description of Electronic Delivery and Signature.</w:t>
      </w:r>
      <w:r>
        <w:rPr>
          <w:color w:val="000000"/>
          <w:shd w:fill="FFFFFF" w:val="clear"/>
        </w:rPr>
        <w:t> </w:t>
      </w:r>
      <w:r>
        <w:rPr>
          <w:rFonts w:ascii="Times New Roman;serif" w:hAnsi="Times New Roman;serif"/>
          <w:b w:val="false"/>
          <w:color w:val="000000"/>
          <w:sz w:val="22"/>
          <w:shd w:fill="FFFFFF" w:val="clear"/>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lineRule="auto" w:line="288" w:before="240" w:after="283"/>
        <w:ind w:left="0" w:right="0" w:firstLine="1591"/>
        <w:jc w:val="both"/>
      </w:pPr>
      <w:r>
        <w:rPr>
          <w:rFonts w:ascii="Times New Roman;serif" w:hAnsi="Times New Roman;serif"/>
          <w:b w:val="false"/>
          <w:color w:val="000000"/>
          <w:sz w:val="22"/>
          <w:shd w:fill="FFFFFF" w:val="clear"/>
        </w:rPr>
        <w:t>(b) </w:t>
      </w:r>
      <w:r>
        <w:rPr>
          <w:rFonts w:ascii="Times New Roman;serif" w:hAnsi="Times New Roman;serif"/>
          <w:b/>
          <w:i/>
          <w:color w:val="000000"/>
          <w:sz w:val="22"/>
          <w:shd w:fill="FFFFFF" w:val="clear"/>
        </w:rPr>
        <w:t>Consent to Electronic Delivery and Signature.</w:t>
      </w:r>
      <w:r>
        <w:rPr>
          <w:color w:val="000000"/>
          <w:shd w:fill="FFFFFF" w:val="clear"/>
        </w:rPr>
        <w:t> </w:t>
      </w:r>
      <w:r>
        <w:rPr>
          <w:rFonts w:ascii="Times New Roman;serif" w:hAnsi="Times New Roman;serif"/>
          <w:b w:val="false"/>
          <w:color w:val="000000"/>
          <w:sz w:val="22"/>
          <w:shd w:fill="FFFFFF" w:val="clear"/>
        </w:rPr>
        <w:t>The Participant acknowledges that the Participant 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13.6 </w:t>
      </w:r>
      <w:r>
        <w:rPr>
          <w:rFonts w:ascii="Times New Roman;serif" w:hAnsi="Times New Roman;serif"/>
          <w:b/>
          <w:color w:val="000000"/>
          <w:sz w:val="22"/>
          <w:shd w:fill="FFFFFF" w:val="clear"/>
        </w:rPr>
        <w:t>Integrated Agreement.</w:t>
      </w:r>
      <w:r>
        <w:rPr>
          <w:color w:val="000000"/>
          <w:shd w:fill="FFFFFF" w:val="clear"/>
        </w:rPr>
        <w:t> </w:t>
      </w:r>
      <w:r>
        <w:rPr>
          <w:rFonts w:ascii="Times New Roman;serif" w:hAnsi="Times New Roman;serif"/>
          <w:b w:val="false"/>
          <w:color w:val="000000"/>
          <w:sz w:val="22"/>
          <w:shd w:fill="FFFFFF" w:val="clear"/>
        </w:rPr>
        <w:t>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88" w:before="240" w:after="283"/>
        <w:ind w:left="0" w:right="0" w:firstLine="1102"/>
        <w:jc w:val="both"/>
      </w:pPr>
      <w:r>
        <w:rPr>
          <w:rFonts w:ascii="Times New Roman;serif" w:hAnsi="Times New Roman;serif"/>
          <w:b w:val="false"/>
          <w:color w:val="000000"/>
          <w:sz w:val="22"/>
          <w:shd w:fill="FFFFFF" w:val="clear"/>
        </w:rPr>
        <w:t>13.7 </w:t>
      </w:r>
      <w:r>
        <w:rPr>
          <w:rFonts w:ascii="Times New Roman;serif" w:hAnsi="Times New Roman;serif"/>
          <w:b/>
          <w:color w:val="000000"/>
          <w:sz w:val="22"/>
          <w:shd w:fill="FFFFFF" w:val="clear"/>
        </w:rPr>
        <w:t>Applicable Law.</w:t>
      </w:r>
      <w:r>
        <w:rPr>
          <w:color w:val="000000"/>
          <w:shd w:fill="FFFFFF" w:val="clear"/>
        </w:rPr>
        <w:t> </w:t>
      </w:r>
      <w:r>
        <w:rPr>
          <w:rFonts w:ascii="Times New Roman;serif" w:hAnsi="Times New Roman;serif"/>
          <w:b w:val="false"/>
          <w:color w:val="000000"/>
          <w:sz w:val="22"/>
          <w:shd w:fill="FFFFFF" w:val="clear"/>
        </w:rPr>
        <w:t>This Agreement shall be governed by the laws of the State of Delaware as such laws are applied to agreements between Delaware residents entered into and to be performed entirely within the State of Delaware.</w:t>
      </w:r>
    </w:p>
    <w:p>
      <w:pPr>
        <w:pStyle w:val="TextBody"/>
        <w:bidi w:val="0"/>
        <w:spacing w:lineRule="auto" w:line="321" w:before="0" w:after="160"/>
        <w:jc w:val="left"/>
      </w:pPr>
      <w:r>
        <w:rPr>
          <w:rFonts w:ascii="Times New Roman;serif" w:hAnsi="Times New Roman;serif"/>
          <w:b w:val="false"/>
          <w:color w:val="000000"/>
          <w:sz w:val="22"/>
          <w:shd w:fill="FFFFFF" w:val="clear"/>
        </w:rPr>
        <w:t>13.8 </w:t>
      </w:r>
      <w:r>
        <w:rPr>
          <w:rFonts w:ascii="Times New Roman;serif" w:hAnsi="Times New Roman;serif"/>
          <w:b/>
          <w:color w:val="000000"/>
          <w:sz w:val="22"/>
          <w:shd w:fill="FFFFFF" w:val="clear"/>
        </w:rPr>
        <w:t>Counterparts.</w:t>
      </w:r>
      <w:r>
        <w:rPr>
          <w:color w:val="000000"/>
          <w:shd w:fill="FFFFFF" w:val="clear"/>
        </w:rPr>
        <w:t> </w:t>
      </w:r>
      <w:r>
        <w:rPr>
          <w:rFonts w:ascii="Times New Roman;serif" w:hAnsi="Times New Roman;serif"/>
          <w:b w:val="false"/>
          <w:color w:val="000000"/>
          <w:sz w:val="22"/>
          <w:shd w:fill="FFFFFF" w:val="clear"/>
        </w:rPr>
        <w:t>The Grant Notice may be executed in counterparts, each of which shall be deemed an original, but all of which together shall constitute one and the same instrument.</w:t>
      </w:r>
    </w:p>
    <w:p>
      <w:pPr>
        <w:pStyle w:val="TextBody"/>
        <w:bidi w:val="0"/>
        <w:spacing w:before="0" w:after="160"/>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SHARE EARNING METHODOLOGY</w:t>
      </w:r>
    </w:p>
    <w:p>
      <w:pPr>
        <w:pStyle w:val="TextBody"/>
        <w:bidi w:val="0"/>
        <w:spacing w:lineRule="auto" w:line="321"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[Omitted pursuant to Item 601(a)(5) of Regulation S-K.]</w:t>
      </w:r>
    </w:p>
    <w:p>
      <w:pPr>
        <w:pStyle w:val="TextBody"/>
        <w:bidi w:val="0"/>
        <w:spacing w:before="240" w:after="283"/>
        <w:ind w:left="0" w:right="0" w:firstLine="1102"/>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pPr>
      <w:r/>
    </w:p>
    <w:p>
      <w:pPr>
        <w:pStyle w:val="TextBody"/>
        <w:bidi w:val="0"/>
        <w:spacing w:before="0" w:after="0"/>
        <w:jc w:val="both"/>
      </w:p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Chris Allexandre,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September 30, 2026,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pPr>
      <w:r/>
    </w:p>
    <w:p>
      <w:pPr>
        <w:pStyle w:val="TextBody"/>
        <w:bidi w:val="0"/>
        <w:spacing w:before="0" w:after="2"/>
        <w:jc w:val="both"/>
      </w:pPr>
      <w:r/>
    </w:p>
    <w:tbl>
      <w:tblPr>
        <w:tblW w:w="5636"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937"/>
        <w:gridCol w:w="937"/>
        <w:gridCol w:w="1335"/>
      </w:tblGrid>
      <w:t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p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Tonya Stevens,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September 30, 2026,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0" w:after="0"/>
        <w:jc w:val="both"/>
        <w:rPr>
          <w:color w:val="000000"/>
        </w:rPr>
      </w:pPr>
      <w:r>
        <w:rPr>
          <w:color w:val="000000"/>
        </w:rPr>
        <w:t> </w:t>
      </w:r>
    </w:p>
    <w:tbl>
      <w:tblPr>
        <w:tblW w:w="607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67"/>
        <w:gridCol w:w="1067"/>
        <w:gridCol w:w="151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Tonya Stevens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Tonya Stevens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ind w:left="0" w:right="0" w:firstLine="720"/>
        <w:jc w:val="both"/>
      </w:pPr>
      <w:r/>
    </w:p>
    <w:p>
      <w:pPr>
        <w:pStyle w:val="TextBody"/>
        <w:bidi w:val="0"/>
        <w:spacing w:lineRule="auto" w:line="240" w:before="1" w:after="1"/>
        <w:jc w:val="both"/>
        <w:rPr>
          <w:rFonts w:ascii="Times New Roman;serif" w:hAnsi="Times New Roman;serif"/>
          <w:b w:val="false"/>
          <w:color w:val="000000"/>
          <w:sz w:val="20"/>
        </w:rPr>
      </w:pPr>
      <w:r>
        <w:rPr>
          <w:rFonts w:ascii="Times New Roman;serif" w:hAnsi="Times New Roman;serif"/>
          <w:b w:val="false"/>
          <w:color w:val="000000"/>
          <w:sz w:val="20"/>
        </w:rPr>
        <w:t>Each of the undersigned hereby certifies, for the purposes of section 1350 of chapter 63 of title 18 of the United States Code, as adopted pursuant to Section 906 of the Sarbanes-Oxley Act of 2002, in the undersigned’s capacity as an officer of Navitas Semiconductor Corporation (“Navitas”), that, to his or her knowledge, Navitas’ quarterly report on Form 10-Q for the period ended September 30, 2026,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pStyle w:val="TextBody"/>
        <w:bidi w:val="0"/>
        <w:spacing w:before="1" w:after="1"/>
        <w:jc w:val="both"/>
      </w:pPr>
      <w:r/>
    </w:p>
    <w:p>
      <w:pPr>
        <w:pStyle w:val="TextBody"/>
        <w:bidi w:val="0"/>
        <w:spacing w:before="1" w:after="1"/>
        <w:jc w:val="both"/>
      </w:pPr>
      <w:r/>
    </w:p>
    <w:tbl>
      <w:tblPr>
        <w:tblW w:w="607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64"/>
        <w:gridCol w:w="1064"/>
        <w:gridCol w:w="151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Chris Allexandre</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Tonya Stevens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Tonya Stevens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delle Sans Light">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1769/000110465926100478/tm2623854d1_ex2-1.htm" TargetMode="External"/><Relationship Id="rId4" Type="http://schemas.openxmlformats.org/officeDocument/2006/relationships/hyperlink" Target="https://www.sec.gov/Archives/edgar/data/1821769/000119312521306726/d225525dex31.htm" TargetMode="External"/><Relationship Id="rId5" Type="http://schemas.openxmlformats.org/officeDocument/2006/relationships/hyperlink" Target="https://www.sec.gov/Archives/edgar/data/1821769/000182176925000049/a20250408-arbylawsasamende.htm" TargetMode="External"/><Relationship Id="rId6" Type="http://schemas.openxmlformats.org/officeDocument/2006/relationships/hyperlink" Target="https://www.sec.gov/Archives/edgar/data/1821769/000110465926109125/tm2625807d1_ex10-1.htm" TargetMode="External"/><Relationship Id="rId7" Type="http://schemas.openxmlformats.org/officeDocument/2006/relationships/hyperlink" Target="https://www.sec.gov/Archives/edgar/data/1821769/000110465926114085/tm2626897d1_ex99-1.htm" TargetMode="External"/><Relationship Id="rId8" Type="http://schemas.openxmlformats.org/officeDocument/2006/relationships/hyperlink" Target="https://www.sec.gov/Archives/edgar/data/1821769/000110465926114085/tm2626897d1_ex99-2.htm" TargetMode="External"/><Relationship Id="rId9" Type="http://schemas.openxmlformats.org/officeDocument/2006/relationships/hyperlink" Target="https://www.sec.gov/Archives/edgar/data/1821769/000110465926114085/tm2626897d1_ex99-3.htm" TargetMode="External"/><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23462</Words>
  <Characters>130290</Characters>
  <CharactersWithSpaces>152367</CharactersWithSpaces>
  <Paragraphs>2636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