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3176-1_4seq1.xml.htm"/>
      <w:bookmarkStart w:id="1" w:name="kstm2613176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Fischer Gregory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NAVITAS SEMICONDUCTOR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3520 CHALLENGER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TORRANCE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90503-1640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Navitas Semiconductor Corp</w:t>
              </w:r>
            </w:hyperlink>
            <w:r>
              <w:rPr/>
              <w:t xml:space="preserve"> [ </w:t>
            </w:r>
            <w:r>
              <w:rPr>
                <w:rFonts w:ascii="Times;serif" w:hAnsi="Times;serif"/>
                <w:color w:val="0000FF"/>
                <w:sz w:val="24"/>
                <w:shd w:fill="FFFFFF" w:val="clear"/>
              </w:rPr>
              <w:t>NVTS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57"/>
        <w:gridCol w:w="505"/>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5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4,839</w:t>
            </w:r>
          </w:p>
        </w:tc>
        <w:tc>
          <w:tcPr>
            <w:tcW w:w="5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r>
              <w:rPr/>
              <w:t xml:space="preserve"> </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4,839</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grant of restricted stock units (RSUs) scheduled to vest in full on June 9, 2026. RSU vesting results in the delivery of one share of issuer common stock per vested RSU following the vesting date, before sales of settled shares (or, alternatively, the withholding of shares subject to settlement) in respect of withholding taxes incurred by the reporting person upon settlement, if applicable, and subject to the issuer's equity incentive plan and applicable policies.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Sant,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3342" TargetMode="External"/><Relationship Id="rId5" Type="http://schemas.openxmlformats.org/officeDocument/2006/relationships/hyperlink" Target="http://www.sec.gov/cgi-bin/browse-edgar?action=getcompany&amp;CIK=00018217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3491</Characters>
  <CharactersWithSpaces>4070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