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1" w:lineRule="exact"/>
        <w:rPr>
          <w:sz w:val="24"/>
          <w:szCs w:val="24"/>
          <w:color w:val="auto"/>
        </w:rPr>
      </w:pPr>
    </w:p>
    <w:p>
      <w:pPr>
        <w:jc w:val="center"/>
        <w:ind w:right="-3"/>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3"/>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227330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26" w:lineRule="exact"/>
        <w:rPr>
          <w:sz w:val="24"/>
          <w:szCs w:val="24"/>
          <w:color w:val="auto"/>
        </w:rPr>
      </w:pPr>
    </w:p>
    <w:p>
      <w:pPr>
        <w:jc w:val="center"/>
        <w:ind w:right="-3"/>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247015</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Pursuant to Section 13 or 15(d)</w:t>
      </w:r>
    </w:p>
    <w:p>
      <w:pPr>
        <w:jc w:val="center"/>
        <w:ind w:right="-3"/>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ind w:right="-3"/>
        <w:spacing w:after="0"/>
        <w:rPr>
          <w:sz w:val="20"/>
          <w:szCs w:val="20"/>
          <w:color w:val="auto"/>
        </w:rPr>
      </w:pPr>
      <w:r>
        <w:rPr>
          <w:rFonts w:ascii="Arial" w:cs="Arial" w:eastAsia="Arial" w:hAnsi="Arial"/>
          <w:sz w:val="22"/>
          <w:szCs w:val="22"/>
          <w:b w:val="1"/>
          <w:bCs w:val="1"/>
          <w:color w:val="auto"/>
        </w:rPr>
        <w:t>Date of Report (Date of earliest event reported): November 9,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233680</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35" w:lineRule="exact"/>
        <w:rPr>
          <w:sz w:val="24"/>
          <w:szCs w:val="24"/>
          <w:color w:val="auto"/>
        </w:rPr>
      </w:pPr>
    </w:p>
    <w:p>
      <w:pPr>
        <w:jc w:val="center"/>
        <w:ind w:right="-3"/>
        <w:spacing w:after="0"/>
        <w:rPr>
          <w:sz w:val="20"/>
          <w:szCs w:val="20"/>
          <w:color w:val="auto"/>
        </w:rPr>
      </w:pPr>
      <w:r>
        <w:rPr>
          <w:rFonts w:ascii="Arial" w:cs="Arial" w:eastAsia="Arial" w:hAnsi="Arial"/>
          <w:sz w:val="43"/>
          <w:szCs w:val="43"/>
          <w:b w:val="1"/>
          <w:bCs w:val="1"/>
          <w:color w:val="auto"/>
        </w:rPr>
        <w:t>NAVITAS SEMICONDUCTOR CORPORATION</w:t>
      </w:r>
    </w:p>
    <w:p>
      <w:pPr>
        <w:spacing w:after="0" w:line="50" w:lineRule="exact"/>
        <w:rPr>
          <w:sz w:val="24"/>
          <w:szCs w:val="24"/>
          <w:color w:val="auto"/>
        </w:rPr>
      </w:pPr>
    </w:p>
    <w:p>
      <w:pPr>
        <w:jc w:val="center"/>
        <w:ind w:right="-3"/>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236220</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1504"/>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jc w:val="center"/>
        <w:ind w:right="2100"/>
        <w:spacing w:after="0"/>
        <w:rPr>
          <w:sz w:val="20"/>
          <w:szCs w:val="20"/>
          <w:color w:val="auto"/>
        </w:rPr>
      </w:pPr>
      <w:r>
        <w:rPr>
          <w:rFonts w:ascii="Arial" w:cs="Arial" w:eastAsia="Arial" w:hAnsi="Arial"/>
          <w:sz w:val="16"/>
          <w:szCs w:val="16"/>
          <w:b w:val="1"/>
          <w:bCs w:val="1"/>
          <w:color w:val="auto"/>
        </w:rPr>
        <w:t>001-39755</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85-2560226</w:t>
      </w:r>
    </w:p>
    <w:p>
      <w:pPr>
        <w:spacing w:after="0" w:line="31" w:lineRule="exact"/>
        <w:rPr>
          <w:sz w:val="24"/>
          <w:szCs w:val="24"/>
          <w:color w:val="auto"/>
        </w:rPr>
      </w:pPr>
    </w:p>
    <w:p>
      <w:pPr>
        <w:sectPr>
          <w:pgSz w:w="11900" w:h="16838" w:orient="portrait"/>
          <w:cols w:equalWidth="0" w:num="3">
            <w:col w:w="4504" w:space="720"/>
            <w:col w:w="2880" w:space="720"/>
            <w:col w:w="2200"/>
          </w:cols>
          <w:pgMar w:left="436" w:top="368" w:right="439" w:bottom="1440" w:gutter="0" w:footer="0" w:header="0"/>
          <w:type w:val="continuous"/>
        </w:sectPr>
      </w:pPr>
    </w:p>
    <w:p>
      <w:pPr>
        <w:spacing w:after="0" w:line="12" w:lineRule="exact"/>
        <w:rPr>
          <w:sz w:val="24"/>
          <w:szCs w:val="24"/>
          <w:color w:val="auto"/>
        </w:rPr>
      </w:pPr>
    </w:p>
    <w:p>
      <w:pPr>
        <w:jc w:val="center"/>
        <w:ind w:right="756"/>
        <w:spacing w:after="0"/>
        <w:rPr>
          <w:sz w:val="20"/>
          <w:szCs w:val="20"/>
          <w:color w:val="auto"/>
        </w:rPr>
      </w:pPr>
      <w:r>
        <w:rPr>
          <w:rFonts w:ascii="Arial" w:cs="Arial" w:eastAsia="Arial" w:hAnsi="Arial"/>
          <w:sz w:val="13"/>
          <w:szCs w:val="13"/>
          <w:b w:val="1"/>
          <w:bCs w:val="1"/>
          <w:color w:val="auto"/>
        </w:rPr>
        <w:t>(State or other jurisdiction</w:t>
      </w:r>
    </w:p>
    <w:p>
      <w:pPr>
        <w:jc w:val="center"/>
        <w:ind w:right="756"/>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200"/>
        <w:spacing w:after="0"/>
        <w:rPr>
          <w:sz w:val="20"/>
          <w:szCs w:val="20"/>
          <w:color w:val="auto"/>
        </w:rPr>
      </w:pPr>
      <w:r>
        <w:rPr>
          <w:rFonts w:ascii="Arial" w:cs="Arial" w:eastAsia="Arial" w:hAnsi="Arial"/>
          <w:sz w:val="14"/>
          <w:szCs w:val="14"/>
          <w:b w:val="1"/>
          <w:bCs w:val="1"/>
          <w:color w:val="auto"/>
        </w:rPr>
        <w:t>(IRS Employer</w:t>
      </w:r>
    </w:p>
    <w:p>
      <w:pPr>
        <w:jc w:val="center"/>
        <w:ind w:right="1200"/>
        <w:spacing w:after="0"/>
        <w:rPr>
          <w:sz w:val="20"/>
          <w:szCs w:val="20"/>
          <w:color w:val="auto"/>
        </w:rPr>
      </w:pPr>
      <w:r>
        <w:rPr>
          <w:rFonts w:ascii="Arial" w:cs="Arial" w:eastAsia="Arial" w:hAnsi="Arial"/>
          <w:sz w:val="13"/>
          <w:szCs w:val="13"/>
          <w:b w:val="1"/>
          <w:bCs w:val="1"/>
          <w:color w:val="auto"/>
        </w:rPr>
        <w:t>Identification No.)</w:t>
      </w:r>
    </w:p>
    <w:p>
      <w:pPr>
        <w:spacing w:after="0" w:line="211" w:lineRule="exact"/>
        <w:rPr>
          <w:sz w:val="24"/>
          <w:szCs w:val="24"/>
          <w:color w:val="auto"/>
        </w:rPr>
      </w:pPr>
    </w:p>
    <w:p>
      <w:pPr>
        <w:sectPr>
          <w:pgSz w:w="11900" w:h="16838" w:orient="portrait"/>
          <w:cols w:equalWidth="0" w:num="3">
            <w:col w:w="4484" w:space="720"/>
            <w:col w:w="2760" w:space="720"/>
            <w:col w:w="2340"/>
          </w:cols>
          <w:pgMar w:left="436" w:top="368" w:right="439" w:bottom="1440" w:gutter="0" w:footer="0" w:header="0"/>
          <w:type w:val="continuous"/>
        </w:sectPr>
      </w:pPr>
    </w:p>
    <w:p>
      <w:pPr>
        <w:spacing w:after="0" w:line="32" w:lineRule="exact"/>
        <w:rPr>
          <w:sz w:val="24"/>
          <w:szCs w:val="24"/>
          <w:color w:val="auto"/>
        </w:rPr>
      </w:pPr>
    </w:p>
    <w:p>
      <w:pPr>
        <w:ind w:left="1044"/>
        <w:spacing w:after="0"/>
        <w:rPr>
          <w:sz w:val="20"/>
          <w:szCs w:val="20"/>
          <w:color w:val="auto"/>
        </w:rPr>
      </w:pPr>
      <w:r>
        <w:rPr>
          <w:rFonts w:ascii="Arial" w:cs="Arial" w:eastAsia="Arial" w:hAnsi="Arial"/>
          <w:sz w:val="16"/>
          <w:szCs w:val="16"/>
          <w:b w:val="1"/>
          <w:bCs w:val="1"/>
          <w:color w:val="auto"/>
        </w:rPr>
        <w:t>22 Fitzwilliam Square South, Dublin, Ireland</w:t>
      </w:r>
    </w:p>
    <w:p>
      <w:pPr>
        <w:spacing w:after="0" w:line="20" w:lineRule="exact"/>
        <w:rPr>
          <w:sz w:val="24"/>
          <w:szCs w:val="24"/>
          <w:color w:val="auto"/>
        </w:rPr>
      </w:pPr>
      <w:r>
        <w:rPr>
          <w:sz w:val="24"/>
          <w:szCs w:val="24"/>
          <w:color w:val="auto"/>
        </w:rPr>
        <w:br w:type="column"/>
      </w:r>
    </w:p>
    <w:p>
      <w:pPr>
        <w:spacing w:after="0" w:line="12" w:lineRule="exact"/>
        <w:rPr>
          <w:sz w:val="24"/>
          <w:szCs w:val="24"/>
          <w:color w:val="auto"/>
        </w:rPr>
      </w:pPr>
    </w:p>
    <w:p>
      <w:pPr>
        <w:spacing w:after="0"/>
        <w:rPr>
          <w:sz w:val="20"/>
          <w:szCs w:val="20"/>
          <w:color w:val="auto"/>
        </w:rPr>
      </w:pPr>
      <w:r>
        <w:rPr>
          <w:rFonts w:ascii="Arial" w:cs="Arial" w:eastAsia="Arial" w:hAnsi="Arial"/>
          <w:sz w:val="17"/>
          <w:szCs w:val="17"/>
          <w:b w:val="1"/>
          <w:bCs w:val="1"/>
          <w:color w:val="auto"/>
        </w:rPr>
        <w:t>D02 FH68</w:t>
      </w:r>
    </w:p>
    <w:p>
      <w:pPr>
        <w:spacing w:after="0" w:line="39" w:lineRule="exact"/>
        <w:rPr>
          <w:sz w:val="24"/>
          <w:szCs w:val="24"/>
          <w:color w:val="auto"/>
        </w:rPr>
      </w:pPr>
    </w:p>
    <w:p>
      <w:pPr>
        <w:sectPr>
          <w:pgSz w:w="11900" w:h="16838" w:orient="portrait"/>
          <w:cols w:equalWidth="0" w:num="2">
            <w:col w:w="7224" w:space="720"/>
            <w:col w:w="3080"/>
          </w:cols>
          <w:pgMar w:left="436" w:top="368" w:right="439" w:bottom="1440" w:gutter="0" w:footer="0" w:header="0"/>
          <w:type w:val="continuous"/>
        </w:sectPr>
      </w:pPr>
    </w:p>
    <w:p>
      <w:pPr>
        <w:ind w:left="1584"/>
        <w:spacing w:after="0"/>
        <w:rPr>
          <w:sz w:val="20"/>
          <w:szCs w:val="20"/>
          <w:color w:val="auto"/>
        </w:rPr>
      </w:pPr>
      <w:r>
        <w:rPr>
          <w:rFonts w:ascii="Arial" w:cs="Arial" w:eastAsia="Arial" w:hAnsi="Arial"/>
          <w:sz w:val="12"/>
          <w:szCs w:val="12"/>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(Zip Code)</w:t>
      </w:r>
    </w:p>
    <w:p>
      <w:pPr>
        <w:spacing w:after="0" w:line="197" w:lineRule="exact"/>
        <w:rPr>
          <w:sz w:val="24"/>
          <w:szCs w:val="24"/>
          <w:color w:val="auto"/>
        </w:rPr>
      </w:pPr>
    </w:p>
    <w:p>
      <w:pPr>
        <w:sectPr>
          <w:pgSz w:w="11900" w:h="16838" w:orient="portrait"/>
          <w:cols w:equalWidth="0" w:num="2">
            <w:col w:w="7284" w:space="720"/>
            <w:col w:w="3020"/>
          </w:cols>
          <w:pgMar w:left="436" w:top="368" w:right="439" w:bottom="1440" w:gutter="0" w:footer="0" w:header="0"/>
          <w:type w:val="continuous"/>
        </w:sectPr>
      </w:pPr>
    </w:p>
    <w:p>
      <w:pPr>
        <w:jc w:val="center"/>
        <w:ind w:right="-3"/>
        <w:spacing w:after="0"/>
        <w:rPr>
          <w:sz w:val="20"/>
          <w:szCs w:val="20"/>
          <w:color w:val="auto"/>
        </w:rPr>
      </w:pPr>
      <w:r>
        <w:rPr>
          <w:rFonts w:ascii="Arial" w:cs="Arial" w:eastAsia="Arial" w:hAnsi="Arial"/>
          <w:sz w:val="18"/>
          <w:szCs w:val="18"/>
          <w:b w:val="1"/>
          <w:bCs w:val="1"/>
          <w:color w:val="auto"/>
        </w:rPr>
        <w:t>Registrant’s telephone number, including area code: (844) 654-2642</w:t>
      </w:r>
    </w:p>
    <w:p>
      <w:pPr>
        <w:spacing w:after="0" w:line="225" w:lineRule="exact"/>
        <w:rPr>
          <w:sz w:val="24"/>
          <w:szCs w:val="24"/>
          <w:color w:val="auto"/>
        </w:rPr>
      </w:pPr>
    </w:p>
    <w:p>
      <w:pPr>
        <w:jc w:val="center"/>
        <w:ind w:right="-3"/>
        <w:spacing w:after="0"/>
        <w:rPr>
          <w:sz w:val="20"/>
          <w:szCs w:val="20"/>
          <w:color w:val="auto"/>
        </w:rPr>
      </w:pPr>
      <w:r>
        <w:rPr>
          <w:rFonts w:ascii="Arial" w:cs="Arial" w:eastAsia="Arial" w:hAnsi="Arial"/>
          <w:sz w:val="18"/>
          <w:szCs w:val="18"/>
          <w:b w:val="1"/>
          <w:bCs w:val="1"/>
          <w:color w:val="auto"/>
        </w:rPr>
        <w:t>N/A</w:t>
      </w:r>
    </w:p>
    <w:p>
      <w:pPr>
        <w:spacing w:after="0" w:line="21" w:lineRule="exact"/>
        <w:rPr>
          <w:sz w:val="24"/>
          <w:szCs w:val="24"/>
          <w:color w:val="auto"/>
        </w:rPr>
      </w:pPr>
    </w:p>
    <w:p>
      <w:pPr>
        <w:jc w:val="center"/>
        <w:ind w:right="-3"/>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2760345</wp:posOffset>
            </wp:positionH>
            <wp:positionV relativeFrom="paragraph">
              <wp:posOffset>227965</wp:posOffset>
            </wp:positionV>
            <wp:extent cx="14744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54" w:lineRule="exact"/>
        <w:rPr>
          <w:sz w:val="24"/>
          <w:szCs w:val="24"/>
          <w:color w:val="auto"/>
        </w:rPr>
      </w:pPr>
    </w:p>
    <w:p>
      <w:pPr>
        <w:ind w:left="4" w:right="4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obligations of the registrant under any of the following provisions:</w:t>
      </w:r>
    </w:p>
    <w:p>
      <w:pPr>
        <w:spacing w:after="0" w:line="76" w:lineRule="exact"/>
        <w:rPr>
          <w:sz w:val="24"/>
          <w:szCs w:val="24"/>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24" w:hanging="424"/>
        <w:spacing w:after="0"/>
        <w:tabs>
          <w:tab w:leader="none" w:pos="4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left="4"/>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31" w:lineRule="exact"/>
        <w:rPr>
          <w:sz w:val="24"/>
          <w:szCs w:val="24"/>
          <w:color w:val="auto"/>
        </w:rPr>
      </w:pPr>
    </w:p>
    <w:tbl>
      <w:tblPr>
        <w:tblLayout w:type="fixed"/>
        <w:tblInd w:w="4"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Title of each class</w:t>
            </w: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3"/>
              </w:rPr>
              <w:t>Trading</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88"/>
              </w:rPr>
              <w:t>Name of each exchange</w:t>
            </w:r>
          </w:p>
        </w:tc>
        <w:tc>
          <w:tcPr>
            <w:tcW w:w="0" w:type="dxa"/>
            <w:vAlign w:val="bottom"/>
          </w:tcPr>
          <w:p>
            <w:pPr>
              <w:spacing w:after="0"/>
              <w:rPr>
                <w:sz w:val="1"/>
                <w:szCs w:val="1"/>
                <w:color w:val="auto"/>
              </w:rPr>
            </w:pPr>
          </w:p>
        </w:tc>
      </w:tr>
      <w:tr>
        <w:trPr>
          <w:trHeight w:val="185"/>
        </w:trPr>
        <w:tc>
          <w:tcPr>
            <w:tcW w:w="3860" w:type="dxa"/>
            <w:vAlign w:val="bottom"/>
            <w:gridSpan w:val="2"/>
            <w:vMerge w:val="continue"/>
          </w:tcPr>
          <w:p>
            <w:pPr>
              <w:spacing w:after="0"/>
              <w:rPr>
                <w:sz w:val="16"/>
                <w:szCs w:val="16"/>
                <w:color w:val="auto"/>
              </w:rPr>
            </w:pPr>
          </w:p>
        </w:tc>
        <w:tc>
          <w:tcPr>
            <w:tcW w:w="3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8"/>
              </w:rPr>
              <w:t>Symbol(s)</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2"/>
              </w:rPr>
              <w:t>on which registered</w:t>
            </w:r>
          </w:p>
        </w:tc>
        <w:tc>
          <w:tcPr>
            <w:tcW w:w="0" w:type="dxa"/>
            <w:vAlign w:val="bottom"/>
          </w:tcPr>
          <w:p>
            <w:pPr>
              <w:spacing w:after="0"/>
              <w:rPr>
                <w:sz w:val="1"/>
                <w:szCs w:val="1"/>
                <w:color w:val="auto"/>
              </w:rPr>
            </w:pPr>
          </w:p>
        </w:tc>
      </w:tr>
      <w:tr>
        <w:trPr>
          <w:trHeight w:val="191"/>
        </w:trPr>
        <w:tc>
          <w:tcPr>
            <w:tcW w:w="3740" w:type="dxa"/>
            <w:vAlign w:val="bottom"/>
            <w:tcBorders>
              <w:top w:val="single" w:sz="8" w:color="auto"/>
            </w:tcBorders>
          </w:tcPr>
          <w:p>
            <w:pPr>
              <w:jc w:val="center"/>
              <w:spacing w:after="0" w:line="191" w:lineRule="exact"/>
              <w:rPr>
                <w:sz w:val="20"/>
                <w:szCs w:val="20"/>
                <w:color w:val="auto"/>
              </w:rPr>
            </w:pPr>
            <w:r>
              <w:rPr>
                <w:rFonts w:ascii="Arial" w:cs="Arial" w:eastAsia="Arial" w:hAnsi="Arial"/>
                <w:sz w:val="18"/>
                <w:szCs w:val="18"/>
                <w:b w:val="1"/>
                <w:bCs w:val="1"/>
                <w:color w:val="auto"/>
                <w:w w:val="90"/>
              </w:rPr>
              <w:t>Common Stock, par value $0.0001 per share</w:t>
            </w:r>
          </w:p>
        </w:tc>
        <w:tc>
          <w:tcPr>
            <w:tcW w:w="120" w:type="dxa"/>
            <w:vAlign w:val="bottom"/>
          </w:tcPr>
          <w:p>
            <w:pPr>
              <w:spacing w:after="0"/>
              <w:rPr>
                <w:sz w:val="16"/>
                <w:szCs w:val="16"/>
                <w:color w:val="auto"/>
              </w:rPr>
            </w:pPr>
          </w:p>
        </w:tc>
        <w:tc>
          <w:tcPr>
            <w:tcW w:w="3520" w:type="dxa"/>
            <w:vAlign w:val="bottom"/>
            <w:tcBorders>
              <w:top w:val="single" w:sz="8" w:color="auto"/>
            </w:tcBorders>
          </w:tcPr>
          <w:p>
            <w:pPr>
              <w:jc w:val="center"/>
              <w:spacing w:after="0" w:line="191" w:lineRule="exact"/>
              <w:rPr>
                <w:sz w:val="20"/>
                <w:szCs w:val="20"/>
                <w:color w:val="auto"/>
              </w:rPr>
            </w:pPr>
            <w:r>
              <w:rPr>
                <w:rFonts w:ascii="Arial" w:cs="Arial" w:eastAsia="Arial" w:hAnsi="Arial"/>
                <w:sz w:val="18"/>
                <w:szCs w:val="18"/>
                <w:b w:val="1"/>
                <w:bCs w:val="1"/>
                <w:color w:val="auto"/>
                <w:w w:val="99"/>
              </w:rPr>
              <w:t>NVTS</w:t>
            </w:r>
          </w:p>
        </w:tc>
        <w:tc>
          <w:tcPr>
            <w:tcW w:w="100" w:type="dxa"/>
            <w:vAlign w:val="bottom"/>
          </w:tcPr>
          <w:p>
            <w:pPr>
              <w:spacing w:after="0"/>
              <w:rPr>
                <w:sz w:val="16"/>
                <w:szCs w:val="16"/>
                <w:color w:val="auto"/>
              </w:rPr>
            </w:pPr>
          </w:p>
        </w:tc>
        <w:tc>
          <w:tcPr>
            <w:tcW w:w="3540" w:type="dxa"/>
            <w:vAlign w:val="bottom"/>
            <w:tcBorders>
              <w:top w:val="single" w:sz="8" w:color="auto"/>
            </w:tcBorders>
          </w:tcPr>
          <w:p>
            <w:pPr>
              <w:jc w:val="center"/>
              <w:spacing w:after="0" w:line="191" w:lineRule="exact"/>
              <w:rPr>
                <w:sz w:val="20"/>
                <w:szCs w:val="20"/>
                <w:color w:val="auto"/>
              </w:rPr>
            </w:pPr>
            <w:r>
              <w:rPr>
                <w:rFonts w:ascii="Arial" w:cs="Arial" w:eastAsia="Arial" w:hAnsi="Arial"/>
                <w:sz w:val="18"/>
                <w:szCs w:val="18"/>
                <w:b w:val="1"/>
                <w:bCs w:val="1"/>
                <w:color w:val="auto"/>
                <w:w w:val="93"/>
              </w:rPr>
              <w:t>The Nasdaq Stock Market LLC</w:t>
            </w:r>
          </w:p>
        </w:tc>
        <w:tc>
          <w:tcPr>
            <w:tcW w:w="0" w:type="dxa"/>
            <w:vAlign w:val="bottom"/>
          </w:tcPr>
          <w:p>
            <w:pPr>
              <w:spacing w:after="0"/>
              <w:rPr>
                <w:sz w:val="1"/>
                <w:szCs w:val="1"/>
                <w:color w:val="auto"/>
              </w:rPr>
            </w:pPr>
          </w:p>
        </w:tc>
      </w:tr>
      <w:tr>
        <w:trPr>
          <w:trHeight w:val="216"/>
        </w:trPr>
        <w:tc>
          <w:tcPr>
            <w:tcW w:w="386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89"/>
              </w:rPr>
              <w:t>Warrants to receive one share of Common Stock</w:t>
            </w:r>
          </w:p>
        </w:tc>
        <w:tc>
          <w:tcPr>
            <w:tcW w:w="362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rPr>
              <w:t>NVTSW</w:t>
            </w:r>
          </w:p>
        </w:tc>
        <w:tc>
          <w:tcPr>
            <w:tcW w:w="3540" w:type="dxa"/>
            <w:vAlign w:val="bottom"/>
          </w:tcPr>
          <w:p>
            <w:pPr>
              <w:jc w:val="center"/>
              <w:spacing w:after="0"/>
              <w:rPr>
                <w:sz w:val="20"/>
                <w:szCs w:val="20"/>
                <w:color w:val="auto"/>
              </w:rPr>
            </w:pPr>
            <w:r>
              <w:rPr>
                <w:rFonts w:ascii="Arial" w:cs="Arial" w:eastAsia="Arial" w:hAnsi="Arial"/>
                <w:sz w:val="18"/>
                <w:szCs w:val="18"/>
                <w:b w:val="1"/>
                <w:bCs w:val="1"/>
                <w:color w:val="auto"/>
                <w:w w:val="93"/>
              </w:rPr>
              <w:t>The Nasdaq Stock Market LLC</w:t>
            </w:r>
          </w:p>
        </w:tc>
        <w:tc>
          <w:tcPr>
            <w:tcW w:w="0" w:type="dxa"/>
            <w:vAlign w:val="bottom"/>
          </w:tcPr>
          <w:p>
            <w:pPr>
              <w:spacing w:after="0"/>
              <w:rPr>
                <w:sz w:val="1"/>
                <w:szCs w:val="1"/>
                <w:color w:val="auto"/>
              </w:rPr>
            </w:pPr>
          </w:p>
        </w:tc>
      </w:tr>
      <w:tr>
        <w:trPr>
          <w:trHeight w:val="234"/>
        </w:trPr>
        <w:tc>
          <w:tcPr>
            <w:tcW w:w="386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88"/>
              </w:rPr>
              <w:t>at an exercise price of $11.50 per share</w:t>
            </w:r>
          </w:p>
        </w:tc>
        <w:tc>
          <w:tcPr>
            <w:tcW w:w="35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54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2" w:lineRule="exact"/>
        <w:rPr>
          <w:sz w:val="24"/>
          <w:szCs w:val="24"/>
          <w:color w:val="auto"/>
        </w:rPr>
      </w:pPr>
    </w:p>
    <w:p>
      <w:pPr>
        <w:ind w:left="4" w:right="30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ind w:left="4"/>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left="4"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133350</wp:posOffset>
            </wp:positionV>
            <wp:extent cx="69951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176530</wp:posOffset>
            </wp:positionV>
            <wp:extent cx="69951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890"/>
                    </a:xfrm>
                    <a:prstGeom prst="rect">
                      <a:avLst/>
                    </a:prstGeom>
                    <a:noFill/>
                  </pic:spPr>
                </pic:pic>
              </a:graphicData>
            </a:graphic>
          </wp:anchor>
        </w:drawing>
      </w:r>
    </w:p>
    <w:p>
      <w:pPr>
        <w:sectPr>
          <w:pgSz w:w="11900" w:h="16838" w:orient="portrait"/>
          <w:cols w:equalWidth="0" w:num="1">
            <w:col w:w="11024"/>
          </w:cols>
          <w:pgMar w:left="436" w:top="368" w:right="439" w:bottom="1440" w:gutter="0" w:footer="0" w:header="0"/>
          <w:type w:val="continuous"/>
        </w:sectPr>
      </w:pPr>
    </w:p>
    <w:bookmarkStart w:id="1" w:name="page2"/>
    <w:bookmarkEnd w:id="1"/>
    <w:p>
      <w:pPr>
        <w:ind w:left="4"/>
        <w:spacing w:after="0"/>
        <w:tabs>
          <w:tab w:leader="none" w:pos="1064"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8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55880"/>
                    </a:xfrm>
                    <a:prstGeom prst="rect">
                      <a:avLst/>
                    </a:prstGeom>
                    <a:noFill/>
                  </pic:spPr>
                </pic:pic>
              </a:graphicData>
            </a:graphic>
          </wp:anchor>
        </w:drawing>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121" w:lineRule="exact"/>
        <w:rPr>
          <w:sz w:val="20"/>
          <w:szCs w:val="20"/>
          <w:color w:val="auto"/>
        </w:rPr>
      </w:pPr>
    </w:p>
    <w:p>
      <w:pPr>
        <w:ind w:left="4"/>
        <w:spacing w:after="0" w:line="255" w:lineRule="auto"/>
        <w:rPr>
          <w:sz w:val="20"/>
          <w:szCs w:val="20"/>
          <w:color w:val="auto"/>
        </w:rPr>
      </w:pPr>
      <w:r>
        <w:rPr>
          <w:rFonts w:ascii="Arial" w:cs="Arial" w:eastAsia="Arial" w:hAnsi="Arial"/>
          <w:sz w:val="18"/>
          <w:szCs w:val="18"/>
          <w:color w:val="auto"/>
        </w:rPr>
        <w:t>On November 9, 2021, Navitas Semiconductor Corporation (f/k/a Live Oak Acquisition Corp. II (“Live Oak”)) (the “Company”) issued a press release announcing the financial results for the third quarter ended September 30, 2021 of its wholly owned subsidiary Navitas Semiconductor Limited, a private company limited by shares organized under the laws of Ireland (“Navitas Ireland”) with a dual existence as a domesticated limited liability company in the State of Delaware as Navitas Semiconductor Ireland, LLC (“Navitas Delaware”, and together with Navitas Ireland, “Legacy Navitas”), including its consolidated subsidiaries. A copy of the Company’s press release is attached as Exhibit 99.1 to this Current Report and is incorporated herein by reference.</w:t>
      </w:r>
    </w:p>
    <w:p>
      <w:pPr>
        <w:spacing w:after="0" w:line="192" w:lineRule="exact"/>
        <w:rPr>
          <w:sz w:val="20"/>
          <w:szCs w:val="20"/>
          <w:color w:val="auto"/>
        </w:rPr>
      </w:pPr>
    </w:p>
    <w:p>
      <w:pPr>
        <w:ind w:left="4" w:right="40"/>
        <w:spacing w:after="0" w:line="296" w:lineRule="auto"/>
        <w:rPr>
          <w:sz w:val="20"/>
          <w:szCs w:val="20"/>
          <w:color w:val="auto"/>
        </w:rPr>
      </w:pPr>
      <w:r>
        <w:rPr>
          <w:rFonts w:ascii="Arial" w:cs="Arial" w:eastAsia="Arial" w:hAnsi="Arial"/>
          <w:sz w:val="16"/>
          <w:szCs w:val="16"/>
          <w:color w:val="auto"/>
        </w:rPr>
        <w:t>After the third quarter and as announced in a Current Report on Form 8-K filed by the Company with the U.S. Securities and Exchange Commission (the “SEC”) on October 19, 2021, the Company completed its business combination with Legacy Navitas on October 19, 2021 and, in connection with the business combination, changed its name from Live Oak Acquisition Corp. II to Navitas Semiconductor Corporation. The financial results of Live Oak for the quarter ended September 30, 2021 are not reflected in the Company’s press release included as Exhibit 99.1 to this Current Report. They will be included in the Company’s quarterly report on Form 10-Q, which the Company expects to file with the SEC on or before November 15, 2021.</w:t>
      </w:r>
    </w:p>
    <w:p>
      <w:pPr>
        <w:spacing w:after="0" w:line="161" w:lineRule="exact"/>
        <w:rPr>
          <w:sz w:val="20"/>
          <w:szCs w:val="20"/>
          <w:color w:val="auto"/>
        </w:rPr>
      </w:pPr>
    </w:p>
    <w:p>
      <w:pPr>
        <w:ind w:left="4" w:right="380"/>
        <w:spacing w:after="0" w:line="277" w:lineRule="auto"/>
        <w:rPr>
          <w:sz w:val="20"/>
          <w:szCs w:val="20"/>
          <w:color w:val="auto"/>
        </w:rPr>
      </w:pPr>
      <w:r>
        <w:rPr>
          <w:rFonts w:ascii="Arial" w:cs="Arial" w:eastAsia="Arial" w:hAnsi="Arial"/>
          <w:sz w:val="18"/>
          <w:szCs w:val="18"/>
          <w:color w:val="auto"/>
        </w:rPr>
        <w:t>The information contained in this Item 2.02, including Exhibit 99.1 attached hereto, shall not be deemed “filed” with the SEC nor incorporated by reference in any registration statement filed by the Company under the Securities Act of 1933, as amended.</w:t>
      </w:r>
    </w:p>
    <w:p>
      <w:pPr>
        <w:spacing w:after="0" w:line="315" w:lineRule="exact"/>
        <w:rPr>
          <w:sz w:val="20"/>
          <w:szCs w:val="20"/>
          <w:color w:val="auto"/>
        </w:rPr>
      </w:pPr>
    </w:p>
    <w:p>
      <w:pPr>
        <w:ind w:left="4"/>
        <w:spacing w:after="0"/>
        <w:tabs>
          <w:tab w:leader="none" w:pos="1064"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21" w:lineRule="exact"/>
        <w:rPr>
          <w:sz w:val="20"/>
          <w:szCs w:val="20"/>
          <w:color w:val="auto"/>
        </w:rPr>
      </w:pPr>
    </w:p>
    <w:p>
      <w:pPr>
        <w:ind w:left="4"/>
        <w:spacing w:after="0"/>
        <w:rPr>
          <w:sz w:val="20"/>
          <w:szCs w:val="20"/>
          <w:color w:val="auto"/>
        </w:rPr>
      </w:pPr>
      <w:r>
        <w:rPr>
          <w:rFonts w:ascii="Arial" w:cs="Arial" w:eastAsia="Arial" w:hAnsi="Arial"/>
          <w:sz w:val="18"/>
          <w:szCs w:val="18"/>
          <w:color w:val="auto"/>
        </w:rPr>
        <w:t>(d) Exhibits.</w:t>
      </w:r>
    </w:p>
    <w:p>
      <w:pPr>
        <w:spacing w:after="0" w:line="117" w:lineRule="exact"/>
        <w:rPr>
          <w:sz w:val="20"/>
          <w:szCs w:val="20"/>
          <w:color w:val="auto"/>
        </w:rPr>
      </w:pPr>
    </w:p>
    <w:p>
      <w:pPr>
        <w:ind w:left="4"/>
        <w:spacing w:after="0"/>
        <w:rPr>
          <w:sz w:val="20"/>
          <w:szCs w:val="20"/>
          <w:color w:val="auto"/>
        </w:rPr>
      </w:pPr>
      <w:r>
        <w:rPr>
          <w:rFonts w:ascii="Arial" w:cs="Arial" w:eastAsia="Arial" w:hAnsi="Arial"/>
          <w:sz w:val="18"/>
          <w:szCs w:val="18"/>
          <w:color w:val="auto"/>
        </w:rPr>
        <w:t>The exhibits required by this item are set forth on the Exhibit Index attached hereto.</w:t>
      </w:r>
    </w:p>
    <w:p>
      <w:pPr>
        <w:spacing w:after="0" w:line="244" w:lineRule="exact"/>
        <w:rPr>
          <w:sz w:val="20"/>
          <w:szCs w:val="20"/>
          <w:color w:val="auto"/>
        </w:rPr>
      </w:pPr>
    </w:p>
    <w:p>
      <w:pPr>
        <w:ind w:left="24"/>
        <w:spacing w:after="0"/>
        <w:rPr>
          <w:sz w:val="20"/>
          <w:szCs w:val="20"/>
          <w:color w:val="auto"/>
        </w:rPr>
      </w:pPr>
      <w:r>
        <w:rPr>
          <w:rFonts w:ascii="Arial" w:cs="Arial" w:eastAsia="Arial" w:hAnsi="Arial"/>
          <w:sz w:val="14"/>
          <w:szCs w:val="14"/>
          <w:b w:val="1"/>
          <w:bCs w:val="1"/>
          <w:color w:val="auto"/>
        </w:rPr>
        <w:t>Exhibit</w:t>
      </w:r>
    </w:p>
    <w:p>
      <w:pPr>
        <w:spacing w:after="0" w:line="4" w:lineRule="exact"/>
        <w:rPr>
          <w:sz w:val="20"/>
          <w:szCs w:val="20"/>
          <w:color w:val="auto"/>
        </w:rPr>
      </w:pPr>
    </w:p>
    <w:p>
      <w:pPr>
        <w:ind w:left="4"/>
        <w:spacing w:after="0"/>
        <w:rPr>
          <w:sz w:val="20"/>
          <w:szCs w:val="20"/>
          <w:color w:val="auto"/>
        </w:rPr>
      </w:pPr>
      <w:r>
        <w:rPr>
          <w:rFonts w:ascii="Arial" w:cs="Arial" w:eastAsia="Arial" w:hAnsi="Arial"/>
          <w:sz w:val="14"/>
          <w:szCs w:val="14"/>
          <w:b w:val="1"/>
          <w:bCs w:val="1"/>
          <w:color w:val="auto"/>
        </w:rPr>
        <w:t>Number</w:t>
      </w:r>
    </w:p>
    <w:p>
      <w:pPr>
        <w:spacing w:after="0" w:line="88" w:lineRule="exact"/>
        <w:rPr>
          <w:sz w:val="20"/>
          <w:szCs w:val="20"/>
          <w:color w:val="auto"/>
        </w:rPr>
      </w:pPr>
    </w:p>
    <w:p>
      <w:pPr>
        <w:ind w:left="4"/>
        <w:spacing w:after="0"/>
        <w:tabs>
          <w:tab w:leader="none" w:pos="1024" w:val="left"/>
        </w:tabs>
        <w:rPr>
          <w:rFonts w:ascii="Arial" w:cs="Arial" w:eastAsia="Arial" w:hAnsi="Arial"/>
          <w:sz w:val="15"/>
          <w:szCs w:val="15"/>
          <w:u w:val="single" w:color="auto"/>
          <w:color w:val="0000EE"/>
        </w:rPr>
      </w:pPr>
      <w:r>
        <w:rPr>
          <w:rFonts w:ascii="Arial" w:cs="Arial" w:eastAsia="Arial" w:hAnsi="Arial"/>
          <w:sz w:val="18"/>
          <w:szCs w:val="18"/>
          <w:color w:val="auto"/>
        </w:rPr>
        <w:t>99.1</w:t>
      </w:r>
      <w:r>
        <w:rPr>
          <w:sz w:val="20"/>
          <w:szCs w:val="20"/>
          <w:color w:val="auto"/>
        </w:rPr>
        <w:tab/>
      </w:r>
      <w:hyperlink w:anchor="page4">
        <w:r>
          <w:rPr>
            <w:rFonts w:ascii="Arial" w:cs="Arial" w:eastAsia="Arial" w:hAnsi="Arial"/>
            <w:sz w:val="15"/>
            <w:szCs w:val="15"/>
            <w:u w:val="single" w:color="auto"/>
            <w:color w:val="0000EE"/>
          </w:rPr>
          <w:t>Press Release dated November 9, 2021</w:t>
        </w:r>
      </w:hyperlink>
    </w:p>
    <w:p>
      <w:pPr>
        <w:spacing w:after="0" w:line="117" w:lineRule="exact"/>
        <w:rPr>
          <w:sz w:val="20"/>
          <w:szCs w:val="20"/>
          <w:color w:val="auto"/>
        </w:rPr>
      </w:pPr>
    </w:p>
    <w:p>
      <w:pPr>
        <w:ind w:left="5464" w:right="4060" w:hanging="5464"/>
        <w:spacing w:after="0" w:line="449" w:lineRule="auto"/>
        <w:tabs>
          <w:tab w:leader="none" w:pos="1040" w:val="left"/>
        </w:tabs>
        <w:numPr>
          <w:ilvl w:val="0"/>
          <w:numId w:val="2"/>
        </w:numPr>
        <w:rPr>
          <w:rFonts w:ascii="Arial" w:cs="Arial" w:eastAsia="Arial" w:hAnsi="Arial"/>
          <w:sz w:val="18"/>
          <w:szCs w:val="18"/>
          <w:color w:val="auto"/>
        </w:rPr>
      </w:pPr>
      <w:r>
        <w:rPr>
          <w:rFonts w:ascii="Arial" w:cs="Arial" w:eastAsia="Arial" w:hAnsi="Arial"/>
          <w:sz w:val="18"/>
          <w:szCs w:val="18"/>
          <w:color w:val="auto"/>
        </w:rPr>
        <w:t>Cover Page Interactive Data File (embedded within the Inline XBRL document) 1</w:t>
      </w:r>
    </w:p>
    <w:p>
      <w:pPr>
        <w:sectPr>
          <w:pgSz w:w="11900" w:h="16838" w:orient="portrait"/>
          <w:cols w:equalWidth="0" w:num="1">
            <w:col w:w="10884"/>
          </w:cols>
          <w:pgMar w:left="436" w:top="297" w:right="579" w:bottom="1440" w:gutter="0" w:footer="0" w:header="0"/>
        </w:sectPr>
      </w:pPr>
    </w:p>
    <w:bookmarkStart w:id="2" w:name="page3"/>
    <w:bookmarkEnd w:id="2"/>
    <w:p>
      <w:pPr>
        <w:jc w:val="center"/>
        <w:ind w:right="-23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552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55245"/>
                    </a:xfrm>
                    <a:prstGeom prst="rect">
                      <a:avLst/>
                    </a:prstGeom>
                    <a:noFill/>
                  </pic:spPr>
                </pic:pic>
              </a:graphicData>
            </a:graphic>
          </wp:anchor>
        </w:drawing>
        <w:t>SIGNATURES</w:t>
      </w:r>
    </w:p>
    <w:p>
      <w:pPr>
        <w:spacing w:after="0" w:line="229" w:lineRule="exact"/>
        <w:rPr>
          <w:sz w:val="20"/>
          <w:szCs w:val="20"/>
          <w:color w:val="auto"/>
        </w:rPr>
      </w:pPr>
    </w:p>
    <w:p>
      <w:pPr>
        <w:ind w:firstLine="44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ind w:left="5620"/>
        <w:spacing w:after="0"/>
        <w:rPr>
          <w:sz w:val="20"/>
          <w:szCs w:val="20"/>
          <w:color w:val="auto"/>
        </w:rPr>
      </w:pPr>
      <w:r>
        <w:rPr>
          <w:rFonts w:ascii="Arial" w:cs="Arial" w:eastAsia="Arial" w:hAnsi="Arial"/>
          <w:sz w:val="18"/>
          <w:szCs w:val="18"/>
          <w:b w:val="1"/>
          <w:bCs w:val="1"/>
          <w:color w:val="auto"/>
        </w:rPr>
        <w:t>Navitas Semiconductor Corporation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Dated: November 9, 2021</w:t>
      </w:r>
    </w:p>
    <w:p>
      <w:pPr>
        <w:spacing w:after="0" w:line="225" w:lineRule="exact"/>
        <w:rPr>
          <w:sz w:val="20"/>
          <w:szCs w:val="20"/>
          <w:color w:val="auto"/>
        </w:rPr>
      </w:pPr>
    </w:p>
    <w:p>
      <w:pPr>
        <w:ind w:left="5620"/>
        <w:spacing w:after="0"/>
        <w:tabs>
          <w:tab w:leader="none" w:pos="60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5"/>
          <w:szCs w:val="15"/>
          <w:color w:val="auto"/>
        </w:rPr>
        <w:t>/s/ Gene Sheridan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3846195</wp:posOffset>
            </wp:positionH>
            <wp:positionV relativeFrom="paragraph">
              <wp:posOffset>14605</wp:posOffset>
            </wp:positionV>
            <wp:extent cx="314579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30"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Gene Sheridan</w:t>
      </w:r>
    </w:p>
    <w:p>
      <w:pPr>
        <w:spacing w:after="0" w:line="9"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Chief Executive Officer</w:t>
      </w:r>
    </w:p>
    <w:p>
      <w:pPr>
        <w:sectPr>
          <w:pgSz w:w="11900" w:h="16838" w:orient="portrait"/>
          <w:cols w:equalWidth="0" w:num="1">
            <w:col w:w="10780"/>
          </w:cols>
          <w:pgMar w:left="440" w:top="297" w:right="67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Navitas Semiconductor, the Industry Leader in Gallium Nitride (GaN) Power ICs,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Announces Third Quarter 2021 Financial Results</w:t>
      </w:r>
    </w:p>
    <w:p>
      <w:pPr>
        <w:spacing w:after="0" w:line="116" w:lineRule="exact"/>
        <w:rPr>
          <w:sz w:val="20"/>
          <w:szCs w:val="20"/>
          <w:color w:val="auto"/>
        </w:rPr>
      </w:pPr>
    </w:p>
    <w:p>
      <w:pPr>
        <w:ind w:left="960" w:hanging="424"/>
        <w:spacing w:after="0"/>
        <w:tabs>
          <w:tab w:leader="none" w:pos="96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Year-to-Date Revenues Increased 128%</w:t>
      </w:r>
    </w:p>
    <w:p>
      <w:pPr>
        <w:spacing w:after="0" w:line="130" w:lineRule="exact"/>
        <w:rPr>
          <w:rFonts w:ascii="Arial" w:cs="Arial" w:eastAsia="Arial" w:hAnsi="Arial"/>
          <w:sz w:val="18"/>
          <w:szCs w:val="18"/>
          <w:color w:val="auto"/>
        </w:rPr>
      </w:pPr>
    </w:p>
    <w:p>
      <w:pPr>
        <w:ind w:left="960" w:hanging="424"/>
        <w:spacing w:after="0"/>
        <w:tabs>
          <w:tab w:leader="none" w:pos="96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New GaNSense</w:t>
      </w:r>
      <w:r>
        <w:rPr>
          <w:rFonts w:ascii="Arial" w:cs="Arial" w:eastAsia="Arial" w:hAnsi="Arial"/>
          <w:sz w:val="15"/>
          <w:szCs w:val="15"/>
          <w:i w:val="1"/>
          <w:iCs w:val="1"/>
          <w:color w:val="auto"/>
        </w:rPr>
        <w:t>™</w:t>
      </w:r>
      <w:r>
        <w:rPr>
          <w:rFonts w:ascii="Arial" w:cs="Arial" w:eastAsia="Arial" w:hAnsi="Arial"/>
          <w:sz w:val="18"/>
          <w:szCs w:val="18"/>
          <w:i w:val="1"/>
          <w:iCs w:val="1"/>
          <w:color w:val="auto"/>
        </w:rPr>
        <w:t xml:space="preserve"> IC Technology Accelerates Industry Transition to Ultrafast Charging</w:t>
      </w:r>
    </w:p>
    <w:p>
      <w:pPr>
        <w:spacing w:after="0" w:line="130" w:lineRule="exact"/>
        <w:rPr>
          <w:rFonts w:ascii="Arial" w:cs="Arial" w:eastAsia="Arial" w:hAnsi="Arial"/>
          <w:sz w:val="18"/>
          <w:szCs w:val="18"/>
          <w:color w:val="auto"/>
        </w:rPr>
      </w:pPr>
    </w:p>
    <w:p>
      <w:pPr>
        <w:ind w:left="960" w:hanging="424"/>
        <w:spacing w:after="0"/>
        <w:tabs>
          <w:tab w:leader="none" w:pos="96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Strategic Tier-1 and Aftermarket Wins and Deals</w:t>
      </w:r>
    </w:p>
    <w:p>
      <w:pPr>
        <w:spacing w:after="0" w:line="130" w:lineRule="exact"/>
        <w:rPr>
          <w:rFonts w:ascii="Arial" w:cs="Arial" w:eastAsia="Arial" w:hAnsi="Arial"/>
          <w:sz w:val="18"/>
          <w:szCs w:val="18"/>
          <w:color w:val="auto"/>
        </w:rPr>
      </w:pPr>
    </w:p>
    <w:p>
      <w:pPr>
        <w:ind w:left="960" w:hanging="424"/>
        <w:spacing w:after="0"/>
        <w:tabs>
          <w:tab w:leader="none" w:pos="96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Closed Business Combination on 10/19/21 With &gt;$250mm in Cash to Support Growth</w:t>
      </w:r>
    </w:p>
    <w:p>
      <w:pPr>
        <w:spacing w:after="0" w:line="221" w:lineRule="exact"/>
        <w:rPr>
          <w:sz w:val="20"/>
          <w:szCs w:val="20"/>
          <w:color w:val="auto"/>
        </w:rPr>
      </w:pPr>
    </w:p>
    <w:p>
      <w:pPr>
        <w:ind w:right="60"/>
        <w:spacing w:after="0" w:line="282" w:lineRule="auto"/>
        <w:rPr>
          <w:sz w:val="20"/>
          <w:szCs w:val="20"/>
          <w:color w:val="auto"/>
        </w:rPr>
      </w:pPr>
      <w:r>
        <w:rPr>
          <w:rFonts w:ascii="Arial" w:cs="Arial" w:eastAsia="Arial" w:hAnsi="Arial"/>
          <w:sz w:val="18"/>
          <w:szCs w:val="18"/>
          <w:b w:val="1"/>
          <w:bCs w:val="1"/>
          <w:color w:val="auto"/>
        </w:rPr>
        <w:t>EL SEGUNDO, CALIF., November 9, 2021</w:t>
      </w:r>
      <w:r>
        <w:rPr>
          <w:rFonts w:ascii="Arial" w:cs="Arial" w:eastAsia="Arial" w:hAnsi="Arial"/>
          <w:sz w:val="18"/>
          <w:szCs w:val="18"/>
          <w:color w:val="auto"/>
        </w:rPr>
        <w:t>— Navitas Semiconductor Corporation (the “Company” or “Navitas”) (Nasdaq: NVTS and NVTSW), the</w:t>
      </w:r>
      <w:r>
        <w:rPr>
          <w:rFonts w:ascii="Arial" w:cs="Arial" w:eastAsia="Arial" w:hAnsi="Arial"/>
          <w:sz w:val="18"/>
          <w:szCs w:val="18"/>
          <w:b w:val="1"/>
          <w:bCs w:val="1"/>
          <w:color w:val="auto"/>
        </w:rPr>
        <w:t xml:space="preserve"> </w:t>
      </w:r>
      <w:r>
        <w:rPr>
          <w:rFonts w:ascii="Arial" w:cs="Arial" w:eastAsia="Arial" w:hAnsi="Arial"/>
          <w:sz w:val="18"/>
          <w:szCs w:val="18"/>
          <w:color w:val="auto"/>
        </w:rPr>
        <w:t>industry leader in GaN Power ICs, today announced financial results for the third quarter ended September 30, 2021.</w:t>
      </w:r>
    </w:p>
    <w:p>
      <w:pPr>
        <w:spacing w:after="0" w:line="166" w:lineRule="exact"/>
        <w:rPr>
          <w:sz w:val="20"/>
          <w:szCs w:val="20"/>
          <w:color w:val="auto"/>
        </w:rPr>
      </w:pPr>
    </w:p>
    <w:p>
      <w:pPr>
        <w:ind w:right="100"/>
        <w:spacing w:after="0" w:line="279" w:lineRule="auto"/>
        <w:rPr>
          <w:sz w:val="20"/>
          <w:szCs w:val="20"/>
          <w:color w:val="auto"/>
        </w:rPr>
      </w:pPr>
      <w:r>
        <w:rPr>
          <w:rFonts w:ascii="Arial" w:cs="Arial" w:eastAsia="Arial" w:hAnsi="Arial"/>
          <w:sz w:val="17"/>
          <w:szCs w:val="17"/>
          <w:color w:val="auto"/>
        </w:rPr>
        <w:t>Net revenues for the third quarter of 2021 were $5.6 million, up 61 percent from the third quarter of 2020. Revenues for the first nine months of 2021 increased 128% over the same period in 2020. GAAP net loss for the third quarter of 2021 was $9.5 million, or $0.57 per share, compared to a GAAP net loss of $4.1 million, or $0.27 per share in the third quarter of 2020. On a non-GAAP basis, net loss for the third quarter of 2021 was $6.6 million, or $0.39 per share, compared to a non-GAAP net loss of $3.8 million, or $0.26 per share, in the third quarter of 2020.</w:t>
      </w:r>
    </w:p>
    <w:p>
      <w:pPr>
        <w:spacing w:after="0" w:line="171"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“Worldwide GaN penetration in the $2B fast charger market is estimated at only 2-3% so far, so we expect a fast revenue ramp ahead in mobile plus the higher-power expansion markets of data center, solar and EV,” said Gene Sheridan, co-founder and CEO. “Couple that with next-gen technology introductions, growing team strength and more than 130 patents issued or pending, and we have an extraordinary opportunity in front of us to become the next-generation power semiconductor leader.”</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Customer / Product Highlights</w:t>
      </w:r>
    </w:p>
    <w:p>
      <w:pPr>
        <w:spacing w:after="0" w:line="135" w:lineRule="exact"/>
        <w:rPr>
          <w:sz w:val="20"/>
          <w:szCs w:val="20"/>
          <w:color w:val="auto"/>
        </w:rPr>
      </w:pPr>
    </w:p>
    <w:p>
      <w:pPr>
        <w:ind w:left="960" w:hanging="424"/>
        <w:spacing w:after="0"/>
        <w:tabs>
          <w:tab w:leader="none" w:pos="9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Third generation GaNSense power IC platform launched:</w:t>
      </w:r>
    </w:p>
    <w:p>
      <w:pPr>
        <w:spacing w:after="0" w:line="130" w:lineRule="exact"/>
        <w:rPr>
          <w:rFonts w:ascii="Arial" w:cs="Arial" w:eastAsia="Arial" w:hAnsi="Arial"/>
          <w:sz w:val="18"/>
          <w:szCs w:val="18"/>
          <w:color w:val="auto"/>
        </w:rPr>
      </w:pPr>
    </w:p>
    <w:p>
      <w:pPr>
        <w:ind w:left="2080" w:hanging="545"/>
        <w:spacing w:after="0"/>
        <w:tabs>
          <w:tab w:leader="none" w:pos="2080" w:val="left"/>
        </w:tabs>
        <w:numPr>
          <w:ilvl w:val="1"/>
          <w:numId w:val="4"/>
        </w:numPr>
        <w:rPr>
          <w:rFonts w:ascii="Arial" w:cs="Arial" w:eastAsia="Arial" w:hAnsi="Arial"/>
          <w:sz w:val="18"/>
          <w:szCs w:val="18"/>
          <w:color w:val="auto"/>
        </w:rPr>
      </w:pPr>
      <w:r>
        <w:rPr>
          <w:rFonts w:ascii="Arial" w:cs="Arial" w:eastAsia="Arial" w:hAnsi="Arial"/>
          <w:sz w:val="18"/>
          <w:szCs w:val="18"/>
          <w:color w:val="auto"/>
        </w:rPr>
        <w:t>Built-in, real-time precision system sensing with autonomous control and protection.</w:t>
      </w:r>
    </w:p>
    <w:p>
      <w:pPr>
        <w:spacing w:after="0" w:line="130" w:lineRule="exact"/>
        <w:rPr>
          <w:rFonts w:ascii="Arial" w:cs="Arial" w:eastAsia="Arial" w:hAnsi="Arial"/>
          <w:sz w:val="18"/>
          <w:szCs w:val="18"/>
          <w:color w:val="auto"/>
        </w:rPr>
      </w:pPr>
    </w:p>
    <w:p>
      <w:pPr>
        <w:ind w:left="2080" w:hanging="545"/>
        <w:spacing w:after="0"/>
        <w:tabs>
          <w:tab w:leader="none" w:pos="2080" w:val="left"/>
        </w:tabs>
        <w:numPr>
          <w:ilvl w:val="1"/>
          <w:numId w:val="4"/>
        </w:numPr>
        <w:rPr>
          <w:rFonts w:ascii="Arial" w:cs="Arial" w:eastAsia="Arial" w:hAnsi="Arial"/>
          <w:sz w:val="18"/>
          <w:szCs w:val="18"/>
          <w:color w:val="auto"/>
        </w:rPr>
      </w:pPr>
      <w:r>
        <w:rPr>
          <w:rFonts w:ascii="Arial" w:cs="Arial" w:eastAsia="Arial" w:hAnsi="Arial"/>
          <w:sz w:val="18"/>
          <w:szCs w:val="18"/>
          <w:color w:val="auto"/>
        </w:rPr>
        <w:t>30% average charger size reduction vs discrete GaN designs with enhanced robustness and reliability.</w:t>
      </w:r>
    </w:p>
    <w:p>
      <w:pPr>
        <w:spacing w:after="0" w:line="130" w:lineRule="exact"/>
        <w:rPr>
          <w:rFonts w:ascii="Arial" w:cs="Arial" w:eastAsia="Arial" w:hAnsi="Arial"/>
          <w:sz w:val="18"/>
          <w:szCs w:val="18"/>
          <w:color w:val="auto"/>
        </w:rPr>
      </w:pPr>
    </w:p>
    <w:p>
      <w:pPr>
        <w:ind w:left="2080" w:hanging="545"/>
        <w:spacing w:after="0"/>
        <w:tabs>
          <w:tab w:leader="none" w:pos="2080" w:val="left"/>
        </w:tabs>
        <w:numPr>
          <w:ilvl w:val="1"/>
          <w:numId w:val="4"/>
        </w:numPr>
        <w:rPr>
          <w:rFonts w:ascii="Arial" w:cs="Arial" w:eastAsia="Arial" w:hAnsi="Arial"/>
          <w:sz w:val="18"/>
          <w:szCs w:val="18"/>
          <w:color w:val="auto"/>
        </w:rPr>
      </w:pPr>
      <w:r>
        <w:rPr>
          <w:rFonts w:ascii="Arial" w:cs="Arial" w:eastAsia="Arial" w:hAnsi="Arial"/>
          <w:sz w:val="18"/>
          <w:szCs w:val="18"/>
          <w:color w:val="auto"/>
        </w:rPr>
        <w:t>Already in production with Lenovo YOGA laptop and Xiaomi Note 11 Pro+ smartphone fast chargers.</w:t>
      </w:r>
    </w:p>
    <w:p>
      <w:pPr>
        <w:spacing w:after="0" w:line="130" w:lineRule="exact"/>
        <w:rPr>
          <w:rFonts w:ascii="Arial" w:cs="Arial" w:eastAsia="Arial" w:hAnsi="Arial"/>
          <w:sz w:val="18"/>
          <w:szCs w:val="18"/>
          <w:color w:val="auto"/>
        </w:rPr>
      </w:pPr>
    </w:p>
    <w:p>
      <w:pPr>
        <w:ind w:left="960" w:hanging="424"/>
        <w:spacing w:after="0"/>
        <w:tabs>
          <w:tab w:leader="none" w:pos="9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Trailblazing a new smartphone ‘ultrafast-charger’ market sector:</w:t>
      </w:r>
    </w:p>
    <w:p>
      <w:pPr>
        <w:spacing w:after="0" w:line="130" w:lineRule="exact"/>
        <w:rPr>
          <w:rFonts w:ascii="Arial" w:cs="Arial" w:eastAsia="Arial" w:hAnsi="Arial"/>
          <w:sz w:val="18"/>
          <w:szCs w:val="18"/>
          <w:color w:val="auto"/>
        </w:rPr>
      </w:pPr>
    </w:p>
    <w:p>
      <w:pPr>
        <w:ind w:left="2080" w:hanging="545"/>
        <w:spacing w:after="0"/>
        <w:tabs>
          <w:tab w:leader="none" w:pos="2080" w:val="left"/>
        </w:tabs>
        <w:numPr>
          <w:ilvl w:val="1"/>
          <w:numId w:val="4"/>
        </w:numPr>
        <w:rPr>
          <w:rFonts w:ascii="Arial" w:cs="Arial" w:eastAsia="Arial" w:hAnsi="Arial"/>
          <w:sz w:val="18"/>
          <w:szCs w:val="18"/>
          <w:color w:val="auto"/>
        </w:rPr>
      </w:pPr>
      <w:r>
        <w:rPr>
          <w:rFonts w:ascii="Arial" w:cs="Arial" w:eastAsia="Arial" w:hAnsi="Arial"/>
          <w:sz w:val="18"/>
          <w:szCs w:val="18"/>
          <w:color w:val="auto"/>
        </w:rPr>
        <w:t>Charge a 4,500 mAhr battery from 0-100% in as little as 20 minutes.</w:t>
      </w:r>
    </w:p>
    <w:p>
      <w:pPr>
        <w:spacing w:after="0" w:line="130" w:lineRule="exact"/>
        <w:rPr>
          <w:rFonts w:ascii="Arial" w:cs="Arial" w:eastAsia="Arial" w:hAnsi="Arial"/>
          <w:sz w:val="18"/>
          <w:szCs w:val="18"/>
          <w:color w:val="auto"/>
        </w:rPr>
      </w:pPr>
    </w:p>
    <w:p>
      <w:pPr>
        <w:ind w:left="2080" w:hanging="545"/>
        <w:spacing w:after="0"/>
        <w:tabs>
          <w:tab w:leader="none" w:pos="2080" w:val="left"/>
        </w:tabs>
        <w:numPr>
          <w:ilvl w:val="1"/>
          <w:numId w:val="4"/>
        </w:numPr>
        <w:rPr>
          <w:rFonts w:ascii="Arial" w:cs="Arial" w:eastAsia="Arial" w:hAnsi="Arial"/>
          <w:sz w:val="18"/>
          <w:szCs w:val="18"/>
          <w:color w:val="auto"/>
        </w:rPr>
      </w:pPr>
      <w:r>
        <w:rPr>
          <w:rFonts w:ascii="Arial" w:cs="Arial" w:eastAsia="Arial" w:hAnsi="Arial"/>
          <w:sz w:val="18"/>
          <w:szCs w:val="18"/>
          <w:color w:val="auto"/>
        </w:rPr>
        <w:t>120W capability, in production at Xiaomi using new GaNSense platform.</w:t>
      </w:r>
    </w:p>
    <w:p>
      <w:pPr>
        <w:spacing w:after="0" w:line="130" w:lineRule="exact"/>
        <w:rPr>
          <w:rFonts w:ascii="Arial" w:cs="Arial" w:eastAsia="Arial" w:hAnsi="Arial"/>
          <w:sz w:val="18"/>
          <w:szCs w:val="18"/>
          <w:color w:val="auto"/>
        </w:rPr>
      </w:pPr>
    </w:p>
    <w:p>
      <w:pPr>
        <w:ind w:left="960" w:hanging="424"/>
        <w:spacing w:after="0"/>
        <w:tabs>
          <w:tab w:leader="none" w:pos="960" w:val="left"/>
        </w:tabs>
        <w:numPr>
          <w:ilvl w:val="0"/>
          <w:numId w:val="4"/>
        </w:numPr>
        <w:rPr>
          <w:rFonts w:ascii="Arial" w:cs="Arial" w:eastAsia="Arial" w:hAnsi="Arial"/>
          <w:sz w:val="18"/>
          <w:szCs w:val="18"/>
          <w:color w:val="auto"/>
        </w:rPr>
      </w:pPr>
      <w:r>
        <w:rPr>
          <w:rFonts w:ascii="Arial" w:cs="Arial" w:eastAsia="Arial" w:hAnsi="Arial"/>
          <w:sz w:val="18"/>
          <w:szCs w:val="18"/>
          <w:color w:val="auto"/>
        </w:rPr>
        <w:t>Strategic cooperation announcement with Anker – a global leader in fast-charging technology:</w:t>
      </w:r>
    </w:p>
    <w:p>
      <w:pPr>
        <w:spacing w:after="0" w:line="130" w:lineRule="exact"/>
        <w:rPr>
          <w:rFonts w:ascii="Arial" w:cs="Arial" w:eastAsia="Arial" w:hAnsi="Arial"/>
          <w:sz w:val="18"/>
          <w:szCs w:val="18"/>
          <w:color w:val="auto"/>
        </w:rPr>
      </w:pPr>
    </w:p>
    <w:p>
      <w:pPr>
        <w:ind w:left="2080" w:hanging="545"/>
        <w:spacing w:after="0"/>
        <w:tabs>
          <w:tab w:leader="none" w:pos="2080" w:val="left"/>
        </w:tabs>
        <w:numPr>
          <w:ilvl w:val="1"/>
          <w:numId w:val="4"/>
        </w:numPr>
        <w:rPr>
          <w:rFonts w:ascii="Arial" w:cs="Arial" w:eastAsia="Arial" w:hAnsi="Arial"/>
          <w:sz w:val="18"/>
          <w:szCs w:val="18"/>
          <w:color w:val="auto"/>
        </w:rPr>
      </w:pPr>
      <w:r>
        <w:rPr>
          <w:rFonts w:ascii="Arial" w:cs="Arial" w:eastAsia="Arial" w:hAnsi="Arial"/>
          <w:sz w:val="18"/>
          <w:szCs w:val="18"/>
          <w:color w:val="auto"/>
        </w:rPr>
        <w:t>Two new GaN chargers launched in the third quarter with more to follow.</w:t>
      </w:r>
    </w:p>
    <w:p>
      <w:pPr>
        <w:spacing w:after="0" w:line="130" w:lineRule="exact"/>
        <w:rPr>
          <w:rFonts w:ascii="Arial" w:cs="Arial" w:eastAsia="Arial" w:hAnsi="Arial"/>
          <w:sz w:val="18"/>
          <w:szCs w:val="18"/>
          <w:color w:val="auto"/>
        </w:rPr>
      </w:pPr>
    </w:p>
    <w:p>
      <w:pPr>
        <w:ind w:left="2080" w:hanging="545"/>
        <w:spacing w:after="0"/>
        <w:tabs>
          <w:tab w:leader="none" w:pos="2080" w:val="left"/>
        </w:tabs>
        <w:numPr>
          <w:ilvl w:val="1"/>
          <w:numId w:val="4"/>
        </w:numPr>
        <w:rPr>
          <w:rFonts w:ascii="Arial" w:cs="Arial" w:eastAsia="Arial" w:hAnsi="Arial"/>
          <w:sz w:val="18"/>
          <w:szCs w:val="18"/>
          <w:color w:val="auto"/>
        </w:rPr>
      </w:pPr>
      <w:r>
        <w:rPr>
          <w:rFonts w:ascii="Arial" w:cs="Arial" w:eastAsia="Arial" w:hAnsi="Arial"/>
          <w:sz w:val="18"/>
          <w:szCs w:val="18"/>
          <w:color w:val="auto"/>
        </w:rPr>
        <w:t>Expands mobile charger focus to also include residential energy-storage platform development.</w:t>
      </w:r>
    </w:p>
    <w:p>
      <w:pPr>
        <w:spacing w:after="0" w:line="130" w:lineRule="exact"/>
        <w:rPr>
          <w:rFonts w:ascii="Arial" w:cs="Arial" w:eastAsia="Arial" w:hAnsi="Arial"/>
          <w:sz w:val="18"/>
          <w:szCs w:val="18"/>
          <w:color w:val="auto"/>
        </w:rPr>
      </w:pPr>
    </w:p>
    <w:p>
      <w:pPr>
        <w:ind w:left="960" w:hanging="424"/>
        <w:spacing w:after="0"/>
        <w:tabs>
          <w:tab w:leader="none" w:pos="9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Twenty-four new GaN fast chargers launched in the market:</w:t>
      </w:r>
    </w:p>
    <w:p>
      <w:pPr>
        <w:spacing w:after="0" w:line="130" w:lineRule="exact"/>
        <w:rPr>
          <w:rFonts w:ascii="Arial" w:cs="Arial" w:eastAsia="Arial" w:hAnsi="Arial"/>
          <w:sz w:val="18"/>
          <w:szCs w:val="18"/>
          <w:color w:val="auto"/>
        </w:rPr>
      </w:pPr>
    </w:p>
    <w:p>
      <w:pPr>
        <w:ind w:left="2080" w:right="380" w:hanging="545"/>
        <w:spacing w:after="0" w:line="277" w:lineRule="auto"/>
        <w:tabs>
          <w:tab w:leader="none" w:pos="2080" w:val="left"/>
        </w:tabs>
        <w:numPr>
          <w:ilvl w:val="1"/>
          <w:numId w:val="4"/>
        </w:numPr>
        <w:rPr>
          <w:rFonts w:ascii="Arial" w:cs="Arial" w:eastAsia="Arial" w:hAnsi="Arial"/>
          <w:sz w:val="18"/>
          <w:szCs w:val="18"/>
          <w:color w:val="auto"/>
        </w:rPr>
      </w:pPr>
      <w:r>
        <w:rPr>
          <w:rFonts w:ascii="Arial" w:cs="Arial" w:eastAsia="Arial" w:hAnsi="Arial"/>
          <w:sz w:val="18"/>
          <w:szCs w:val="18"/>
          <w:color w:val="auto"/>
        </w:rPr>
        <w:t>164 models now in mass production, including 5 new models at Baseus, one of the fastest growing aftermarket charger companies.</w:t>
      </w:r>
    </w:p>
    <w:p>
      <w:pPr>
        <w:spacing w:after="0" w:line="75" w:lineRule="exact"/>
        <w:rPr>
          <w:rFonts w:ascii="Arial" w:cs="Arial" w:eastAsia="Arial" w:hAnsi="Arial"/>
          <w:sz w:val="18"/>
          <w:szCs w:val="18"/>
          <w:color w:val="auto"/>
        </w:rPr>
      </w:pPr>
    </w:p>
    <w:p>
      <w:pPr>
        <w:ind w:left="2080" w:hanging="545"/>
        <w:spacing w:after="0"/>
        <w:tabs>
          <w:tab w:leader="none" w:pos="2080" w:val="left"/>
        </w:tabs>
        <w:numPr>
          <w:ilvl w:val="1"/>
          <w:numId w:val="4"/>
        </w:numPr>
        <w:rPr>
          <w:rFonts w:ascii="Arial" w:cs="Arial" w:eastAsia="Arial" w:hAnsi="Arial"/>
          <w:sz w:val="18"/>
          <w:szCs w:val="18"/>
          <w:color w:val="auto"/>
        </w:rPr>
      </w:pPr>
      <w:r>
        <w:rPr>
          <w:rFonts w:ascii="Arial" w:cs="Arial" w:eastAsia="Arial" w:hAnsi="Arial"/>
          <w:sz w:val="18"/>
          <w:szCs w:val="18"/>
          <w:color w:val="auto"/>
        </w:rPr>
        <w:t>Another 150+ in development for production in the coming quarters.</w:t>
      </w:r>
    </w:p>
    <w:p>
      <w:pPr>
        <w:spacing w:after="0" w:line="130" w:lineRule="exact"/>
        <w:rPr>
          <w:rFonts w:ascii="Arial" w:cs="Arial" w:eastAsia="Arial" w:hAnsi="Arial"/>
          <w:sz w:val="18"/>
          <w:szCs w:val="18"/>
          <w:color w:val="auto"/>
        </w:rPr>
      </w:pPr>
    </w:p>
    <w:p>
      <w:pPr>
        <w:ind w:left="960" w:hanging="424"/>
        <w:spacing w:after="0"/>
        <w:tabs>
          <w:tab w:leader="none" w:pos="960" w:val="left"/>
        </w:tabs>
        <w:numPr>
          <w:ilvl w:val="0"/>
          <w:numId w:val="4"/>
        </w:numPr>
        <w:rPr>
          <w:rFonts w:ascii="Arial" w:cs="Arial" w:eastAsia="Arial" w:hAnsi="Arial"/>
          <w:sz w:val="18"/>
          <w:szCs w:val="18"/>
          <w:color w:val="auto"/>
        </w:rPr>
      </w:pPr>
      <w:r>
        <w:rPr>
          <w:rFonts w:ascii="Arial" w:cs="Arial" w:eastAsia="Arial" w:hAnsi="Arial"/>
          <w:sz w:val="18"/>
          <w:szCs w:val="18"/>
          <w:color w:val="auto"/>
        </w:rPr>
        <w:t>High-power expansion markets: data center, solar &amp; EV:</w:t>
      </w:r>
    </w:p>
    <w:p>
      <w:pPr>
        <w:sectPr>
          <w:pgSz w:w="11900" w:h="16838" w:orient="portrait"/>
          <w:cols w:equalWidth="0" w:num="1">
            <w:col w:w="11020"/>
          </w:cols>
          <w:pgMar w:left="440" w:top="121" w:right="439" w:bottom="1440" w:gutter="0" w:footer="0" w:header="0"/>
        </w:sectPr>
      </w:pPr>
    </w:p>
    <w:bookmarkStart w:id="4" w:name="page5"/>
    <w:bookmarkEnd w:id="4"/>
    <w:p>
      <w:pPr>
        <w:ind w:left="2080" w:hanging="545"/>
        <w:spacing w:after="0"/>
        <w:tabs>
          <w:tab w:leader="none" w:pos="2080" w:val="left"/>
        </w:tabs>
        <w:numPr>
          <w:ilvl w:val="0"/>
          <w:numId w:val="5"/>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Market-specific GaN IC prototypes sampling in the fourth quarter of 2021.</w:t>
      </w:r>
    </w:p>
    <w:p>
      <w:pPr>
        <w:spacing w:after="0" w:line="130" w:lineRule="exact"/>
        <w:rPr>
          <w:rFonts w:ascii="Arial" w:cs="Arial" w:eastAsia="Arial" w:hAnsi="Arial"/>
          <w:sz w:val="18"/>
          <w:szCs w:val="18"/>
          <w:color w:val="auto"/>
        </w:rPr>
      </w:pPr>
    </w:p>
    <w:p>
      <w:pPr>
        <w:ind w:left="2080" w:right="400" w:hanging="545"/>
        <w:spacing w:after="0" w:line="277" w:lineRule="auto"/>
        <w:tabs>
          <w:tab w:leader="none" w:pos="2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Significant endorsements from Enphase Energy, Brusa, and Compuware, leaders in solar, EV, energy storage and data center power markets respectively.</w:t>
      </w:r>
    </w:p>
    <w:p>
      <w:pPr>
        <w:spacing w:after="0" w:line="75" w:lineRule="exact"/>
        <w:rPr>
          <w:rFonts w:ascii="Arial" w:cs="Arial" w:eastAsia="Arial" w:hAnsi="Arial"/>
          <w:sz w:val="18"/>
          <w:szCs w:val="18"/>
          <w:color w:val="auto"/>
        </w:rPr>
      </w:pPr>
    </w:p>
    <w:p>
      <w:pPr>
        <w:ind w:left="2080" w:hanging="545"/>
        <w:spacing w:after="0"/>
        <w:tabs>
          <w:tab w:leader="none" w:pos="2080" w:val="left"/>
        </w:tabs>
        <w:numPr>
          <w:ilvl w:val="0"/>
          <w:numId w:val="5"/>
        </w:numPr>
        <w:rPr>
          <w:rFonts w:ascii="Arial" w:cs="Arial" w:eastAsia="Arial" w:hAnsi="Arial"/>
          <w:sz w:val="17"/>
          <w:szCs w:val="17"/>
          <w:color w:val="auto"/>
        </w:rPr>
      </w:pPr>
      <w:r>
        <w:rPr>
          <w:rFonts w:ascii="Arial" w:cs="Arial" w:eastAsia="Arial" w:hAnsi="Arial"/>
          <w:sz w:val="17"/>
          <w:szCs w:val="17"/>
          <w:color w:val="auto"/>
        </w:rPr>
        <w:t>Roadmap alignment with Xiaomi—from mobile chargers to their recent $10B announcement to enter the EV market.</w:t>
      </w:r>
    </w:p>
    <w:p>
      <w:pPr>
        <w:spacing w:after="0" w:line="3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Highlights</w:t>
      </w:r>
    </w:p>
    <w:p>
      <w:pPr>
        <w:spacing w:after="0" w:line="135" w:lineRule="exact"/>
        <w:rPr>
          <w:sz w:val="20"/>
          <w:szCs w:val="20"/>
          <w:color w:val="auto"/>
        </w:rPr>
      </w:pPr>
    </w:p>
    <w:p>
      <w:pPr>
        <w:ind w:left="960" w:right="500" w:hanging="424"/>
        <w:spacing w:after="0" w:line="277" w:lineRule="auto"/>
        <w:tabs>
          <w:tab w:leader="none" w:pos="960" w:val="left"/>
        </w:tabs>
        <w:numPr>
          <w:ilvl w:val="0"/>
          <w:numId w:val="6"/>
        </w:numPr>
        <w:rPr>
          <w:rFonts w:ascii="Arial" w:cs="Arial" w:eastAsia="Arial" w:hAnsi="Arial"/>
          <w:sz w:val="18"/>
          <w:szCs w:val="18"/>
          <w:color w:val="auto"/>
        </w:rPr>
      </w:pPr>
      <w:r>
        <w:rPr>
          <w:rFonts w:ascii="Arial" w:cs="Arial" w:eastAsia="Arial" w:hAnsi="Arial"/>
          <w:sz w:val="18"/>
          <w:szCs w:val="18"/>
          <w:color w:val="auto"/>
        </w:rPr>
        <w:t>After the quarter, the Company completed de-SPAC business combination with approximately 117.7 million shares outstanding and approximately $260 million in cash and cash equivalents to support growth.</w:t>
      </w:r>
    </w:p>
    <w:p>
      <w:pPr>
        <w:spacing w:after="0" w:line="75" w:lineRule="exact"/>
        <w:rPr>
          <w:rFonts w:ascii="Arial" w:cs="Arial" w:eastAsia="Arial" w:hAnsi="Arial"/>
          <w:sz w:val="18"/>
          <w:szCs w:val="18"/>
          <w:color w:val="auto"/>
        </w:rPr>
      </w:pPr>
    </w:p>
    <w:p>
      <w:pPr>
        <w:ind w:left="960" w:hanging="424"/>
        <w:spacing w:after="0"/>
        <w:tabs>
          <w:tab w:leader="none" w:pos="9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Team strength grew by approximately 50%, to approximately 150 staff worldwide.</w:t>
      </w:r>
    </w:p>
    <w:p>
      <w:pPr>
        <w:spacing w:after="0" w:line="130" w:lineRule="exact"/>
        <w:rPr>
          <w:rFonts w:ascii="Arial" w:cs="Arial" w:eastAsia="Arial" w:hAnsi="Arial"/>
          <w:sz w:val="18"/>
          <w:szCs w:val="18"/>
          <w:color w:val="auto"/>
        </w:rPr>
      </w:pPr>
    </w:p>
    <w:p>
      <w:pPr>
        <w:ind w:left="960" w:hanging="424"/>
        <w:spacing w:after="0"/>
        <w:tabs>
          <w:tab w:leader="none" w:pos="960" w:val="left"/>
        </w:tabs>
        <w:numPr>
          <w:ilvl w:val="0"/>
          <w:numId w:val="6"/>
        </w:numPr>
        <w:rPr>
          <w:rFonts w:ascii="Arial" w:cs="Arial" w:eastAsia="Arial" w:hAnsi="Arial"/>
          <w:sz w:val="18"/>
          <w:szCs w:val="18"/>
          <w:color w:val="auto"/>
        </w:rPr>
      </w:pPr>
      <w:r>
        <w:rPr>
          <w:rFonts w:ascii="Arial" w:cs="Arial" w:eastAsia="Arial" w:hAnsi="Arial"/>
          <w:sz w:val="18"/>
          <w:szCs w:val="18"/>
          <w:color w:val="auto"/>
        </w:rPr>
        <w:t>New offices and teams in China and Europe address expansion markets.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Outlook</w:t>
      </w:r>
    </w:p>
    <w:p>
      <w:pPr>
        <w:spacing w:after="0" w:line="121" w:lineRule="exact"/>
        <w:rPr>
          <w:sz w:val="20"/>
          <w:szCs w:val="20"/>
          <w:color w:val="auto"/>
        </w:rPr>
      </w:pPr>
    </w:p>
    <w:p>
      <w:pPr>
        <w:ind w:right="120"/>
        <w:spacing w:after="0" w:line="257" w:lineRule="auto"/>
        <w:rPr>
          <w:sz w:val="20"/>
          <w:szCs w:val="20"/>
          <w:color w:val="auto"/>
        </w:rPr>
      </w:pPr>
      <w:r>
        <w:rPr>
          <w:rFonts w:ascii="Arial" w:cs="Arial" w:eastAsia="Arial" w:hAnsi="Arial"/>
          <w:sz w:val="18"/>
          <w:szCs w:val="18"/>
          <w:color w:val="auto"/>
        </w:rPr>
        <w:t>The Company issued the following guidance for the fourth quarter of 2021. Revenues are expected to be $7.4 million — plus or minus five percent – which represents approximately 60% growth compared to the fourth quarter of 2020. GAAP and non-GAAP gross margin is expected to be approximately 44 percent for the quarter. GAAP operating expenses are expected to be approximately $16 million. Non-GAAP operating expenses are expected to exclude approximately $6 million, the majority of which reflect stock-based compensation. We expect our basic and diluted share count in Q4 to be approximately 97 million.</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Earnings Webcast</w:t>
      </w:r>
    </w:p>
    <w:p>
      <w:pPr>
        <w:spacing w:after="0" w:line="121" w:lineRule="exact"/>
        <w:rPr>
          <w:sz w:val="20"/>
          <w:szCs w:val="20"/>
          <w:color w:val="auto"/>
        </w:rPr>
      </w:pPr>
    </w:p>
    <w:p>
      <w:pPr>
        <w:ind w:right="120"/>
        <w:spacing w:after="0" w:line="263" w:lineRule="auto"/>
        <w:rPr>
          <w:sz w:val="20"/>
          <w:szCs w:val="20"/>
          <w:color w:val="auto"/>
        </w:rPr>
      </w:pPr>
      <w:r>
        <w:rPr>
          <w:rFonts w:ascii="Arial" w:cs="Arial" w:eastAsia="Arial" w:hAnsi="Arial"/>
          <w:sz w:val="18"/>
          <w:szCs w:val="18"/>
          <w:color w:val="auto"/>
        </w:rPr>
        <w:t xml:space="preserve">Navitas will hold a public webcast at 2:00 p.m. PST today to discuss third quarter 2021 results. The live public webcast can be accessed on Navitas’ Investor Relations website at </w:t>
      </w:r>
      <w:r>
        <w:rPr>
          <w:rFonts w:ascii="Arial" w:cs="Arial" w:eastAsia="Arial" w:hAnsi="Arial"/>
          <w:sz w:val="18"/>
          <w:szCs w:val="18"/>
          <w:u w:val="single" w:color="auto"/>
          <w:color w:val="auto"/>
        </w:rPr>
        <w:t>https://ir.navitassemi.com/</w:t>
      </w:r>
      <w:r>
        <w:rPr>
          <w:rFonts w:ascii="Arial" w:cs="Arial" w:eastAsia="Arial" w:hAnsi="Arial"/>
          <w:sz w:val="18"/>
          <w:szCs w:val="18"/>
          <w:color w:val="auto"/>
        </w:rPr>
        <w:t>. A Toll Free Dial-in is also available at: (844) 467-8023, Conference ID: 1955395. The Q3’21 webcast replay and audio download will also be available on the site.</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Non-GAAP Financial Measures</w:t>
      </w:r>
    </w:p>
    <w:p>
      <w:pPr>
        <w:spacing w:after="0" w:line="117" w:lineRule="exact"/>
        <w:rPr>
          <w:sz w:val="20"/>
          <w:szCs w:val="20"/>
          <w:color w:val="auto"/>
        </w:rPr>
      </w:pPr>
    </w:p>
    <w:p>
      <w:pPr>
        <w:spacing w:after="0" w:line="270" w:lineRule="auto"/>
        <w:rPr>
          <w:sz w:val="20"/>
          <w:szCs w:val="20"/>
          <w:color w:val="auto"/>
        </w:rPr>
      </w:pPr>
      <w:r>
        <w:rPr>
          <w:rFonts w:ascii="Arial" w:cs="Arial" w:eastAsia="Arial" w:hAnsi="Arial"/>
          <w:sz w:val="17"/>
          <w:szCs w:val="17"/>
          <w:i w:val="1"/>
          <w:iCs w:val="1"/>
          <w:color w:val="auto"/>
        </w:rPr>
        <w:t>This press release includes financial measures that are not calculated in accordance with generally accepted accounting principles (“GAAP”), which we refer to as “non-GAAP financial measures”, including (i) non-GAAP gross profit and the related non-GAAP gross margin and (ii) non-GAAP operating expenses. Each of these non-GAAP financial measures is adjusted from GAAP results to exclude certain expenses, which are outlined in the “Reconciliation of GAAP to Non-GAAP Financial Measures” tables below. We believe these non-GAAP financial measures provide investors with useful supplemental information about our operating performance and enable comparison of financial trends and results between periods where certain items may vary independent of business performance. We believe these non-GAAP financial measures offer an additional view of our operations that, when coupled with the GAAP results and the reconciliations to corresponding GAAP financial measures, provide a more complete understanding of the results of operations. However, these non-GAAP financial measures should be considered as a supplement to, and not as a substitute for, or superior to, the corresponding measures calculated in accordance with GAAP.</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Cautionary Statement Regarding Forward-Looking Statements</w:t>
      </w:r>
    </w:p>
    <w:p>
      <w:pPr>
        <w:spacing w:after="0" w:line="117" w:lineRule="exact"/>
        <w:rPr>
          <w:sz w:val="20"/>
          <w:szCs w:val="20"/>
          <w:color w:val="auto"/>
        </w:rPr>
      </w:pPr>
    </w:p>
    <w:p>
      <w:pPr>
        <w:ind w:right="140"/>
        <w:spacing w:after="0" w:line="263" w:lineRule="auto"/>
        <w:rPr>
          <w:sz w:val="20"/>
          <w:szCs w:val="20"/>
          <w:color w:val="auto"/>
        </w:rPr>
      </w:pPr>
      <w:r>
        <w:rPr>
          <w:rFonts w:ascii="Arial" w:cs="Arial" w:eastAsia="Arial" w:hAnsi="Arial"/>
          <w:sz w:val="18"/>
          <w:szCs w:val="18"/>
          <w:i w:val="1"/>
          <w:iCs w:val="1"/>
          <w:color w:val="auto"/>
        </w:rPr>
        <w:t>This press release, including the paragraph headed “Business Outlook”, includes “forward-looking statements” within the meaning of Section 21E of the Securities Exchange Act of 1934, as amended. Forward-looking statements may be identified by the use of words such as “we expect” or “are expected</w:t>
      </w:r>
    </w:p>
    <w:p>
      <w:pPr>
        <w:sectPr>
          <w:pgSz w:w="11900" w:h="16838" w:orient="portrait"/>
          <w:cols w:equalWidth="0" w:num="1">
            <w:col w:w="10960"/>
          </w:cols>
          <w:pgMar w:left="440" w:top="274" w:right="499" w:bottom="1440" w:gutter="0" w:footer="0" w:header="0"/>
        </w:sectPr>
      </w:pPr>
    </w:p>
    <w:bookmarkStart w:id="5" w:name="page6"/>
    <w:bookmarkEnd w:id="5"/>
    <w:p>
      <w:pPr>
        <w:spacing w:after="0" w:line="266" w:lineRule="auto"/>
        <w:rPr>
          <w:sz w:val="20"/>
          <w:szCs w:val="20"/>
          <w:color w:val="auto"/>
        </w:rPr>
      </w:pPr>
      <w:r>
        <w:rPr>
          <w:rFonts w:ascii="Arial" w:cs="Arial" w:eastAsia="Arial" w:hAnsi="Arial"/>
          <w:sz w:val="17"/>
          <w:szCs w:val="17"/>
          <w:i w:val="1"/>
          <w:i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to be”, “estimate,” “plan,” “project,” “forecast,” “intend,” “anticipate,” “believe,” “seek,” or other similar expressions that predict or indicate future events or trends or that are not statements of historical matters. These forward-looking statements include, but are not limited to, statements regarding estimates and forecasts of other financial and performance metrics and projections of market opportunity and market share. These statements are based on various assumptions, whether or not identified in this press release. These statements are also based on current expectations of the management of Navitas and are not predictions of actual performance. Such forward-looking statements are provided for illustrative purposes only and are not intended to serve as, and must not be relied on by any investor as, a guarantee, an assurance, a prediction or a definitive statement of fact or probability. Actual events and circumstances are difficult or impossible to predict and will differ from assumptions and expectations. Many actual events and circumstances that affect performance are beyond the control of Navitas. Forward-looking statements are subject to a number of risks and uncertainties, including the possibility that the expected growth of Navitas’ business will not be realized, or will not be realized within the expected time period, due to, among other things: Navitas’ goals and strategies and its ability to achieve and implement them, the success of future business development efforts, Navitas’ financial condition and results of operations; Navitas’ customer relationships and ability to retain and expand these customer relationships; Navitas’ ability to accurately predict future revenues for the purpose of appropriately budgeting and adjusting Navitas’ expenses; Navitas’ ability to diversify its customer base and develop relationships in new markets; Navitas’ ability to scale its technology into new markets and applications; the effects of competition on Navitas’ business, including actions of competitors with an established presence and resources in markets we hope to penetrate; the level of demand in Navitas’ customers’ end markets, both generally and with respect to successive generations of products or technology; Navitas’ ability to attract, train and retain key qualified personnel; changes in government trade policies, including the imposition of tariffs; the impact of the COVID-19 pandemic on Navitas’ business, results of operations and financial condition; the impact of the COVID-19 pandemic on the global economy, including but not limited to Navitas’ supply chain and the supply chains of customers and suppliers; the ability of Navitas to maintain compliance with certain U.S. Government contracting requirements; regulatory developments in the United States and foreign countries; and Navitas’ ability to protect its intellectual property rights. Forward-looking statements are also subject to additional risks and uncertainties, including changes in domestic and foreign business, market, financial, political and legal conditions; failure to realize anticipated benefits from Navitas’ recently completed business combination with Live Oak Acquisition Corp. II (“LOKB”); risks relating to the uncertainty of projected financial information with respect to Navitas; risks related to the rollout of Navitas’ business and the timing of expected business milestones; and other factors discussed in the proxy statement/prospectus filed by LOKB with the Securities and Exchange Commission (the “SEC”) on September 20, 2021 under the heading “Risk Factors—Risks Related to Navitas’ Business,” and other documents of LOKB or the Company filed, or to be filed, with the SEC. If any of these risks materialize or our assumptions prove incorrect, actual results could differ materially from the results implied by these forward-looking statements. There may be additional risks that Navitas is not aware of or that Navitas currently believes are immaterial that could also cause actual results to differ materially from those contained in the forward-looking statements. In addition, forward-looking statements reflect Navitas’ expectations, plans or forecasts of future events and views as of the date of this press release. Navitas anticipates that subsequent events and developments will cause Navitas’ assessments to change. However, while Navitas may elect to update these forward-looking statements at some point in the future, Navitas specifically disclaims any obligation to do so. These forward-looking statements should not be relied upon as representing Navitas’ assessments as of any date subsequent to the date of this press release. Accordingly, undue reliance should not be placed upon the forward-looking statements.</w:t>
      </w:r>
    </w:p>
    <w:p>
      <w:pPr>
        <w:sectPr>
          <w:pgSz w:w="11900" w:h="16838" w:orient="portrait"/>
          <w:cols w:equalWidth="0" w:num="1">
            <w:col w:w="11020"/>
          </w:cols>
          <w:pgMar w:left="440" w:top="274" w:right="439" w:bottom="1440" w:gutter="0" w:footer="0" w:header="0"/>
        </w:sectPr>
      </w:pPr>
    </w:p>
    <w:bookmarkStart w:id="6" w:name="page7"/>
    <w:bookmarkEnd w:id="6"/>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About Navitas</w:t>
      </w:r>
    </w:p>
    <w:p>
      <w:pPr>
        <w:spacing w:after="0" w:line="121"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Navitas Semiconductor Corporation (Nasdaq: NVTS and NVTSW) is the industry leader in GaN power ICs, founded in 2014. GaN power ICs integrate GaN power with drive, control and protection to enable faster charging, higher power density and greater energy savings for mobile, consumer, enterprise, eMobility and new energy markets. Over 130 Navitas patents are issued or pending, and over 30 million GaNFast power ICs have been shipped with zero reported GaN field failures. Navitas rang the opening bell and started trading on Nasdaq on October 20th, 2021.</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 Information</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 Navitas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Media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Graham Robertson, CMO Grand Bridges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Graham@GrandBridges.com</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Investors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Stephen Oliver, VP Corporate Marketing &amp; Investor Relations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ir@navitassemi.com</w:t>
      </w:r>
    </w:p>
    <w:p>
      <w:pPr>
        <w:spacing w:after="0" w:line="211" w:lineRule="exact"/>
        <w:rPr>
          <w:sz w:val="20"/>
          <w:szCs w:val="20"/>
          <w:color w:val="auto"/>
        </w:rPr>
      </w:pPr>
    </w:p>
    <w:p>
      <w:pPr>
        <w:ind w:right="100"/>
        <w:spacing w:after="0" w:line="308" w:lineRule="auto"/>
        <w:rPr>
          <w:sz w:val="20"/>
          <w:szCs w:val="20"/>
          <w:color w:val="auto"/>
        </w:rPr>
      </w:pPr>
      <w:r>
        <w:rPr>
          <w:rFonts w:ascii="Arial" w:cs="Arial" w:eastAsia="Arial" w:hAnsi="Arial"/>
          <w:sz w:val="17"/>
          <w:szCs w:val="17"/>
          <w:i w:val="1"/>
          <w:iCs w:val="1"/>
          <w:color w:val="auto"/>
        </w:rPr>
        <w:t>Navitas Semiconductor and the Navitas logo are trademarks or registered trademarks of Navitas Semiconductor, Ltd. All other brands, product names and marks are or may be trademarks or registered trademarks used to identify products or services of their respective owners.</w:t>
      </w:r>
    </w:p>
    <w:p>
      <w:pPr>
        <w:sectPr>
          <w:pgSz w:w="11900" w:h="16838" w:orient="portrait"/>
          <w:cols w:equalWidth="0" w:num="1">
            <w:col w:w="10920"/>
          </w:cols>
          <w:pgMar w:left="440" w:top="270" w:right="539" w:bottom="1440" w:gutter="0" w:footer="0" w:header="0"/>
        </w:sectPr>
      </w:pPr>
    </w:p>
    <w:bookmarkStart w:id="7" w:name="page8"/>
    <w:bookmarkEnd w:id="7"/>
    <w:p>
      <w:pPr>
        <w:jc w:val="center"/>
        <w:ind w:right="20"/>
        <w:spacing w:after="0" w:line="266" w:lineRule="auto"/>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NAVITAS SEMICONDUCTOR LIMITED CONSOLIDATED STATEMENTS OF OPERATIONS (GAAP) - UNAUDITED (in thousands, except per-share amounts)</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4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1400" w:type="dxa"/>
            <w:vAlign w:val="bottom"/>
            <w:gridSpan w:val="8"/>
          </w:tcPr>
          <w:p>
            <w:pPr>
              <w:jc w:val="right"/>
              <w:spacing w:after="0"/>
              <w:rPr>
                <w:sz w:val="20"/>
                <w:szCs w:val="20"/>
                <w:color w:val="auto"/>
              </w:rPr>
            </w:pPr>
            <w:r>
              <w:rPr>
                <w:rFonts w:ascii="Arial" w:cs="Arial" w:eastAsia="Arial" w:hAnsi="Arial"/>
                <w:sz w:val="14"/>
                <w:szCs w:val="14"/>
                <w:b w:val="1"/>
                <w:bCs w:val="1"/>
                <w:color w:val="auto"/>
                <w:w w:val="96"/>
              </w:rPr>
              <w:t>Three Months Ended</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40" w:type="dxa"/>
            <w:vAlign w:val="bottom"/>
            <w:gridSpan w:val="10"/>
          </w:tcPr>
          <w:p>
            <w:pPr>
              <w:jc w:val="right"/>
              <w:ind w:right="260"/>
              <w:spacing w:after="0"/>
              <w:rPr>
                <w:sz w:val="20"/>
                <w:szCs w:val="20"/>
                <w:color w:val="auto"/>
              </w:rPr>
            </w:pPr>
            <w:r>
              <w:rPr>
                <w:rFonts w:ascii="Arial" w:cs="Arial" w:eastAsia="Arial" w:hAnsi="Arial"/>
                <w:sz w:val="14"/>
                <w:szCs w:val="14"/>
                <w:b w:val="1"/>
                <w:bCs w:val="1"/>
                <w:color w:val="auto"/>
                <w:w w:val="96"/>
              </w:rPr>
              <w:t>Nine Months Ended</w:t>
            </w:r>
          </w:p>
        </w:tc>
        <w:tc>
          <w:tcPr>
            <w:tcW w:w="0" w:type="dxa"/>
            <w:vAlign w:val="bottom"/>
          </w:tcPr>
          <w:p>
            <w:pPr>
              <w:spacing w:after="0"/>
              <w:rPr>
                <w:sz w:val="1"/>
                <w:szCs w:val="1"/>
                <w:color w:val="auto"/>
              </w:rPr>
            </w:pPr>
          </w:p>
        </w:tc>
      </w:tr>
      <w:tr>
        <w:trPr>
          <w:trHeight w:val="171"/>
        </w:trPr>
        <w:tc>
          <w:tcPr>
            <w:tcW w:w="594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0" w:type="dxa"/>
            <w:vAlign w:val="bottom"/>
            <w:gridSpan w:val="7"/>
          </w:tcPr>
          <w:p>
            <w:pPr>
              <w:jc w:val="right"/>
              <w:ind w:right="170"/>
              <w:spacing w:after="0"/>
              <w:rPr>
                <w:sz w:val="20"/>
                <w:szCs w:val="20"/>
                <w:color w:val="auto"/>
              </w:rPr>
            </w:pPr>
            <w:r>
              <w:rPr>
                <w:rFonts w:ascii="Arial" w:cs="Arial" w:eastAsia="Arial" w:hAnsi="Arial"/>
                <w:sz w:val="14"/>
                <w:szCs w:val="14"/>
                <w:b w:val="1"/>
                <w:bCs w:val="1"/>
                <w:color w:val="auto"/>
                <w:w w:val="96"/>
              </w:rPr>
              <w:t>September 30,</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40" w:type="dxa"/>
            <w:vAlign w:val="bottom"/>
            <w:gridSpan w:val="8"/>
          </w:tcPr>
          <w:p>
            <w:pPr>
              <w:jc w:val="right"/>
              <w:ind w:right="440"/>
              <w:spacing w:after="0"/>
              <w:rPr>
                <w:sz w:val="20"/>
                <w:szCs w:val="20"/>
                <w:color w:val="auto"/>
              </w:rPr>
            </w:pPr>
            <w:r>
              <w:rPr>
                <w:rFonts w:ascii="Arial" w:cs="Arial" w:eastAsia="Arial" w:hAnsi="Arial"/>
                <w:sz w:val="14"/>
                <w:szCs w:val="14"/>
                <w:b w:val="1"/>
                <w:bCs w:val="1"/>
                <w:color w:val="auto"/>
                <w:w w:val="91"/>
              </w:rPr>
              <w:t>September 30,</w:t>
            </w:r>
          </w:p>
        </w:tc>
        <w:tc>
          <w:tcPr>
            <w:tcW w:w="0" w:type="dxa"/>
            <w:vAlign w:val="bottom"/>
          </w:tcPr>
          <w:p>
            <w:pPr>
              <w:spacing w:after="0"/>
              <w:rPr>
                <w:sz w:val="1"/>
                <w:szCs w:val="1"/>
                <w:color w:val="auto"/>
              </w:rPr>
            </w:pPr>
          </w:p>
        </w:tc>
      </w:tr>
      <w:tr>
        <w:trPr>
          <w:trHeight w:val="142"/>
        </w:trPr>
        <w:tc>
          <w:tcPr>
            <w:tcW w:w="5940" w:type="dxa"/>
            <w:vAlign w:val="bottom"/>
            <w:tcBorders>
              <w:bottom w:val="single" w:sz="8" w:color="CCEEFF"/>
            </w:tcBorders>
          </w:tcPr>
          <w:p>
            <w:pPr>
              <w:spacing w:after="0"/>
              <w:rPr>
                <w:sz w:val="12"/>
                <w:szCs w:val="12"/>
                <w:color w:val="auto"/>
              </w:rPr>
            </w:pPr>
          </w:p>
        </w:tc>
        <w:tc>
          <w:tcPr>
            <w:tcW w:w="1820" w:type="dxa"/>
            <w:vAlign w:val="bottom"/>
            <w:tcBorders>
              <w:bottom w:val="single" w:sz="8" w:color="CCEEFF"/>
            </w:tcBorders>
          </w:tcPr>
          <w:p>
            <w:pPr>
              <w:spacing w:after="0"/>
              <w:rPr>
                <w:sz w:val="12"/>
                <w:szCs w:val="12"/>
                <w:color w:val="auto"/>
              </w:rPr>
            </w:pPr>
          </w:p>
        </w:tc>
        <w:tc>
          <w:tcPr>
            <w:tcW w:w="600" w:type="dxa"/>
            <w:vAlign w:val="bottom"/>
            <w:tcBorders>
              <w:top w:val="single" w:sz="8" w:color="auto"/>
              <w:bottom w:val="single" w:sz="8" w:color="auto"/>
            </w:tcBorders>
            <w:gridSpan w:val="2"/>
          </w:tcPr>
          <w:p>
            <w:pPr>
              <w:jc w:val="right"/>
              <w:ind w:right="84"/>
              <w:spacing w:after="0" w:line="142" w:lineRule="exact"/>
              <w:rPr>
                <w:sz w:val="20"/>
                <w:szCs w:val="20"/>
                <w:color w:val="auto"/>
              </w:rPr>
            </w:pPr>
            <w:r>
              <w:rPr>
                <w:rFonts w:ascii="Arial" w:cs="Arial" w:eastAsia="Arial" w:hAnsi="Arial"/>
                <w:sz w:val="14"/>
                <w:szCs w:val="14"/>
                <w:b w:val="1"/>
                <w:bCs w:val="1"/>
                <w:color w:val="auto"/>
              </w:rPr>
              <w:t>2021</w:t>
            </w:r>
          </w:p>
        </w:tc>
        <w:tc>
          <w:tcPr>
            <w:tcW w:w="2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CCEEFF"/>
            </w:tcBorders>
          </w:tcPr>
          <w:p>
            <w:pPr>
              <w:spacing w:after="0"/>
              <w:rPr>
                <w:sz w:val="12"/>
                <w:szCs w:val="12"/>
                <w:color w:val="auto"/>
              </w:rPr>
            </w:pPr>
          </w:p>
        </w:tc>
        <w:tc>
          <w:tcPr>
            <w:tcW w:w="80" w:type="dxa"/>
            <w:vAlign w:val="bottom"/>
            <w:tcBorders>
              <w:top w:val="single" w:sz="8" w:color="auto"/>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80" w:type="dxa"/>
            <w:vAlign w:val="bottom"/>
            <w:tcBorders>
              <w:top w:val="single" w:sz="8" w:color="auto"/>
              <w:bottom w:val="single" w:sz="8" w:color="auto"/>
            </w:tcBorders>
            <w:gridSpan w:val="2"/>
          </w:tcPr>
          <w:p>
            <w:pPr>
              <w:jc w:val="right"/>
              <w:ind w:right="70"/>
              <w:spacing w:after="0" w:line="142" w:lineRule="exact"/>
              <w:rPr>
                <w:sz w:val="20"/>
                <w:szCs w:val="20"/>
                <w:color w:val="auto"/>
              </w:rPr>
            </w:pPr>
            <w:r>
              <w:rPr>
                <w:rFonts w:ascii="Arial" w:cs="Arial" w:eastAsia="Arial" w:hAnsi="Arial"/>
                <w:sz w:val="14"/>
                <w:szCs w:val="14"/>
                <w:b w:val="1"/>
                <w:bCs w:val="1"/>
                <w:color w:val="auto"/>
                <w:w w:val="96"/>
              </w:rPr>
              <w:t>2020</w:t>
            </w:r>
          </w:p>
        </w:tc>
        <w:tc>
          <w:tcPr>
            <w:tcW w:w="200" w:type="dxa"/>
            <w:vAlign w:val="bottom"/>
            <w:tcBorders>
              <w:bottom w:val="single" w:sz="8" w:color="CCEEFF"/>
            </w:tcBorders>
          </w:tcPr>
          <w:p>
            <w:pPr>
              <w:spacing w:after="0"/>
              <w:rPr>
                <w:sz w:val="12"/>
                <w:szCs w:val="12"/>
                <w:color w:val="auto"/>
              </w:rPr>
            </w:pPr>
          </w:p>
        </w:tc>
        <w:tc>
          <w:tcPr>
            <w:tcW w:w="120" w:type="dxa"/>
            <w:vAlign w:val="bottom"/>
            <w:tcBorders>
              <w:bottom w:val="single" w:sz="8" w:color="CCEEFF"/>
            </w:tcBorders>
          </w:tcPr>
          <w:p>
            <w:pPr>
              <w:spacing w:after="0"/>
              <w:rPr>
                <w:sz w:val="12"/>
                <w:szCs w:val="12"/>
                <w:color w:val="auto"/>
              </w:rPr>
            </w:pPr>
          </w:p>
        </w:tc>
        <w:tc>
          <w:tcPr>
            <w:tcW w:w="560" w:type="dxa"/>
            <w:vAlign w:val="bottom"/>
            <w:tcBorders>
              <w:top w:val="single" w:sz="8" w:color="auto"/>
              <w:bottom w:val="single" w:sz="8" w:color="auto"/>
            </w:tcBorders>
            <w:gridSpan w:val="3"/>
          </w:tcPr>
          <w:p>
            <w:pPr>
              <w:ind w:left="80"/>
              <w:spacing w:after="0" w:line="142" w:lineRule="exact"/>
              <w:rPr>
                <w:sz w:val="20"/>
                <w:szCs w:val="20"/>
                <w:color w:val="auto"/>
              </w:rPr>
            </w:pPr>
            <w:r>
              <w:rPr>
                <w:rFonts w:ascii="Arial" w:cs="Arial" w:eastAsia="Arial" w:hAnsi="Arial"/>
                <w:sz w:val="14"/>
                <w:szCs w:val="14"/>
                <w:b w:val="1"/>
                <w:bCs w:val="1"/>
                <w:color w:val="auto"/>
              </w:rPr>
              <w:t>2021</w:t>
            </w:r>
          </w:p>
        </w:tc>
        <w:tc>
          <w:tcPr>
            <w:tcW w:w="260" w:type="dxa"/>
            <w:vAlign w:val="bottom"/>
            <w:tcBorders>
              <w:top w:val="single" w:sz="8" w:color="auto"/>
              <w:bottom w:val="single" w:sz="8" w:color="CCEEFF"/>
            </w:tcBorders>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540" w:type="dxa"/>
            <w:vAlign w:val="bottom"/>
            <w:tcBorders>
              <w:top w:val="single" w:sz="8" w:color="auto"/>
              <w:bottom w:val="single" w:sz="8" w:color="auto"/>
            </w:tcBorders>
            <w:gridSpan w:val="3"/>
          </w:tcPr>
          <w:p>
            <w:pPr>
              <w:ind w:left="80"/>
              <w:spacing w:after="0" w:line="142" w:lineRule="exact"/>
              <w:rPr>
                <w:sz w:val="20"/>
                <w:szCs w:val="20"/>
                <w:color w:val="auto"/>
              </w:rPr>
            </w:pPr>
            <w:r>
              <w:rPr>
                <w:rFonts w:ascii="Arial" w:cs="Arial" w:eastAsia="Arial" w:hAnsi="Arial"/>
                <w:sz w:val="14"/>
                <w:szCs w:val="14"/>
                <w:b w:val="1"/>
                <w:bCs w:val="1"/>
                <w:color w:val="auto"/>
              </w:rPr>
              <w:t>2020</w:t>
            </w:r>
          </w:p>
        </w:tc>
        <w:tc>
          <w:tcPr>
            <w:tcW w:w="60" w:type="dxa"/>
            <w:vAlign w:val="bottom"/>
            <w:tcBorders>
              <w:bottom w:val="single" w:sz="8" w:color="CCEEFF"/>
            </w:tcBorders>
          </w:tcPr>
          <w:p>
            <w:pPr>
              <w:spacing w:after="0"/>
              <w:rPr>
                <w:sz w:val="12"/>
                <w:szCs w:val="12"/>
                <w:color w:val="auto"/>
              </w:rPr>
            </w:pPr>
          </w:p>
        </w:tc>
        <w:tc>
          <w:tcPr>
            <w:tcW w:w="6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09"/>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NET REVENUES</w:t>
            </w:r>
          </w:p>
        </w:tc>
        <w:tc>
          <w:tcPr>
            <w:tcW w:w="182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6"/>
              </w:rPr>
              <w:t>$ 5,631</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tcBorders>
              <w:right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w w:val="96"/>
              </w:rPr>
              <w:t>$ 3,500</w:t>
            </w:r>
          </w:p>
        </w:tc>
        <w:tc>
          <w:tcPr>
            <w:tcW w:w="20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5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w w:val="77"/>
              </w:rPr>
              <w:t>$ 16,398</w:t>
            </w:r>
          </w:p>
        </w:tc>
        <w:tc>
          <w:tcPr>
            <w:tcW w:w="260" w:type="dxa"/>
            <w:vAlign w:val="bottom"/>
            <w:tcBorders>
              <w:right w:val="single" w:sz="8" w:color="CCEEFF"/>
            </w:tcBorders>
            <w:shd w:val="clear" w:color="auto" w:fill="CCEEFF"/>
          </w:tcPr>
          <w:p>
            <w:pPr>
              <w:spacing w:after="0"/>
              <w:rPr>
                <w:sz w:val="18"/>
                <w:szCs w:val="18"/>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4"/>
                <w:szCs w:val="4"/>
                <w:color w:val="auto"/>
                <w:w w:val="87"/>
              </w:rPr>
              <w:t>$</w:t>
            </w:r>
          </w:p>
        </w:tc>
        <w:tc>
          <w:tcPr>
            <w:tcW w:w="5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7,196</w:t>
            </w: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COST OF REVENUES</w:t>
            </w:r>
          </w:p>
        </w:tc>
        <w:tc>
          <w:tcPr>
            <w:tcW w:w="1820" w:type="dxa"/>
            <w:vAlign w:val="bottom"/>
          </w:tcPr>
          <w:p>
            <w:pPr>
              <w:spacing w:after="0"/>
              <w:rPr>
                <w:sz w:val="18"/>
                <w:szCs w:val="18"/>
                <w:color w:val="auto"/>
              </w:rPr>
            </w:pP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3,032</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gridSpan w:val="3"/>
          </w:tcPr>
          <w:p>
            <w:pPr>
              <w:jc w:val="right"/>
              <w:ind w:right="111"/>
              <w:spacing w:after="0"/>
              <w:rPr>
                <w:sz w:val="20"/>
                <w:szCs w:val="20"/>
                <w:color w:val="auto"/>
              </w:rPr>
            </w:pPr>
            <w:r>
              <w:rPr>
                <w:rFonts w:ascii="Arial" w:cs="Arial" w:eastAsia="Arial" w:hAnsi="Arial"/>
                <w:sz w:val="18"/>
                <w:szCs w:val="18"/>
                <w:color w:val="auto"/>
              </w:rPr>
              <w:t>2,184</w:t>
            </w:r>
          </w:p>
        </w:tc>
        <w:tc>
          <w:tcPr>
            <w:tcW w:w="120" w:type="dxa"/>
            <w:vAlign w:val="bottom"/>
          </w:tcPr>
          <w:p>
            <w:pPr>
              <w:spacing w:after="0"/>
              <w:rPr>
                <w:sz w:val="18"/>
                <w:szCs w:val="18"/>
                <w:color w:val="auto"/>
              </w:rPr>
            </w:pPr>
          </w:p>
        </w:tc>
        <w:tc>
          <w:tcPr>
            <w:tcW w:w="820" w:type="dxa"/>
            <w:vAlign w:val="bottom"/>
            <w:gridSpan w:val="4"/>
          </w:tcPr>
          <w:p>
            <w:pPr>
              <w:jc w:val="right"/>
              <w:ind w:right="181"/>
              <w:spacing w:after="0"/>
              <w:rPr>
                <w:sz w:val="20"/>
                <w:szCs w:val="20"/>
                <w:color w:val="auto"/>
              </w:rPr>
            </w:pPr>
            <w:r>
              <w:rPr>
                <w:rFonts w:ascii="Arial" w:cs="Arial" w:eastAsia="Arial" w:hAnsi="Arial"/>
                <w:sz w:val="18"/>
                <w:szCs w:val="18"/>
                <w:color w:val="auto"/>
              </w:rPr>
              <w:t>8,962</w:t>
            </w:r>
          </w:p>
        </w:tc>
        <w:tc>
          <w:tcPr>
            <w:tcW w:w="60" w:type="dxa"/>
            <w:vAlign w:val="bottom"/>
          </w:tcPr>
          <w:p>
            <w:pPr>
              <w:spacing w:after="0"/>
              <w:rPr>
                <w:sz w:val="18"/>
                <w:szCs w:val="18"/>
                <w:color w:val="auto"/>
              </w:rPr>
            </w:pPr>
          </w:p>
        </w:tc>
        <w:tc>
          <w:tcPr>
            <w:tcW w:w="600" w:type="dxa"/>
            <w:vAlign w:val="bottom"/>
            <w:gridSpan w:val="4"/>
          </w:tcPr>
          <w:p>
            <w:pPr>
              <w:jc w:val="right"/>
              <w:spacing w:after="0"/>
              <w:rPr>
                <w:sz w:val="20"/>
                <w:szCs w:val="20"/>
                <w:color w:val="auto"/>
              </w:rPr>
            </w:pPr>
            <w:r>
              <w:rPr>
                <w:rFonts w:ascii="Arial" w:cs="Arial" w:eastAsia="Arial" w:hAnsi="Arial"/>
                <w:sz w:val="18"/>
                <w:szCs w:val="18"/>
                <w:color w:val="auto"/>
              </w:rPr>
              <w:t>5,027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59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300" w:type="dxa"/>
            <w:vAlign w:val="bottom"/>
            <w:tcBorders>
              <w:right w:val="single" w:sz="8" w:color="auto"/>
            </w:tcBorders>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60" w:type="dxa"/>
            <w:vAlign w:val="bottom"/>
            <w:tcBorders>
              <w:right w:val="single" w:sz="8" w:color="auto"/>
            </w:tcBorders>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GROSS PROFIT</w:t>
            </w:r>
          </w:p>
        </w:tc>
        <w:tc>
          <w:tcPr>
            <w:tcW w:w="182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2,599</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gridSpan w:val="3"/>
            <w:shd w:val="clear" w:color="auto" w:fill="CCEEFF"/>
          </w:tcPr>
          <w:p>
            <w:pPr>
              <w:jc w:val="right"/>
              <w:ind w:right="111"/>
              <w:spacing w:after="0"/>
              <w:rPr>
                <w:sz w:val="20"/>
                <w:szCs w:val="20"/>
                <w:color w:val="auto"/>
              </w:rPr>
            </w:pPr>
            <w:r>
              <w:rPr>
                <w:rFonts w:ascii="Arial" w:cs="Arial" w:eastAsia="Arial" w:hAnsi="Arial"/>
                <w:sz w:val="18"/>
                <w:szCs w:val="18"/>
                <w:color w:val="auto"/>
              </w:rPr>
              <w:t>1,316</w:t>
            </w:r>
          </w:p>
        </w:tc>
        <w:tc>
          <w:tcPr>
            <w:tcW w:w="120" w:type="dxa"/>
            <w:vAlign w:val="bottom"/>
            <w:tcBorders>
              <w:right w:val="single" w:sz="8" w:color="CCEEFF"/>
            </w:tcBorders>
            <w:shd w:val="clear" w:color="auto" w:fill="CCEEFF"/>
          </w:tcPr>
          <w:p>
            <w:pPr>
              <w:spacing w:after="0"/>
              <w:rPr>
                <w:sz w:val="18"/>
                <w:szCs w:val="18"/>
                <w:color w:val="auto"/>
              </w:rPr>
            </w:pPr>
          </w:p>
        </w:tc>
        <w:tc>
          <w:tcPr>
            <w:tcW w:w="820" w:type="dxa"/>
            <w:vAlign w:val="bottom"/>
            <w:tcBorders>
              <w:right w:val="single" w:sz="8" w:color="CCEEFF"/>
            </w:tcBorders>
            <w:gridSpan w:val="4"/>
            <w:shd w:val="clear" w:color="auto" w:fill="CCEEFF"/>
          </w:tcPr>
          <w:p>
            <w:pPr>
              <w:jc w:val="right"/>
              <w:ind w:right="181"/>
              <w:spacing w:after="0"/>
              <w:rPr>
                <w:sz w:val="20"/>
                <w:szCs w:val="20"/>
                <w:color w:val="auto"/>
              </w:rPr>
            </w:pPr>
            <w:r>
              <w:rPr>
                <w:rFonts w:ascii="Arial" w:cs="Arial" w:eastAsia="Arial" w:hAnsi="Arial"/>
                <w:sz w:val="18"/>
                <w:szCs w:val="18"/>
                <w:color w:val="auto"/>
              </w:rPr>
              <w:t>7,436</w:t>
            </w:r>
          </w:p>
        </w:tc>
        <w:tc>
          <w:tcPr>
            <w:tcW w:w="60" w:type="dxa"/>
            <w:vAlign w:val="bottom"/>
            <w:shd w:val="clear" w:color="auto" w:fill="CCEEFF"/>
          </w:tcPr>
          <w:p>
            <w:pPr>
              <w:spacing w:after="0"/>
              <w:rPr>
                <w:sz w:val="18"/>
                <w:szCs w:val="18"/>
                <w:color w:val="auto"/>
              </w:rPr>
            </w:pPr>
          </w:p>
        </w:tc>
        <w:tc>
          <w:tcPr>
            <w:tcW w:w="60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2,169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940" w:type="dxa"/>
            <w:vAlign w:val="bottom"/>
          </w:tcPr>
          <w:p>
            <w:pPr>
              <w:spacing w:after="0"/>
              <w:rPr>
                <w:sz w:val="20"/>
                <w:szCs w:val="20"/>
                <w:color w:val="auto"/>
              </w:rPr>
            </w:pPr>
            <w:r>
              <w:rPr>
                <w:rFonts w:ascii="Arial" w:cs="Arial" w:eastAsia="Arial" w:hAnsi="Arial"/>
                <w:sz w:val="18"/>
                <w:szCs w:val="18"/>
                <w:color w:val="auto"/>
              </w:rPr>
              <w:t>OPERATING EXPENSES:</w:t>
            </w:r>
          </w:p>
        </w:tc>
        <w:tc>
          <w:tcPr>
            <w:tcW w:w="182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360" w:type="dxa"/>
            <w:vAlign w:val="bottom"/>
            <w:tcBorders>
              <w:top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6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340" w:type="dxa"/>
            <w:vAlign w:val="bottom"/>
            <w:tcBorders>
              <w:top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Research and development</w:t>
            </w:r>
          </w:p>
        </w:tc>
        <w:tc>
          <w:tcPr>
            <w:tcW w:w="244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6,304</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gridSpan w:val="3"/>
            <w:shd w:val="clear" w:color="auto" w:fill="CCEEFF"/>
          </w:tcPr>
          <w:p>
            <w:pPr>
              <w:jc w:val="right"/>
              <w:ind w:right="111"/>
              <w:spacing w:after="0"/>
              <w:rPr>
                <w:sz w:val="20"/>
                <w:szCs w:val="20"/>
                <w:color w:val="auto"/>
              </w:rPr>
            </w:pPr>
            <w:r>
              <w:rPr>
                <w:rFonts w:ascii="Arial" w:cs="Arial" w:eastAsia="Arial" w:hAnsi="Arial"/>
                <w:sz w:val="18"/>
                <w:szCs w:val="18"/>
                <w:color w:val="auto"/>
              </w:rPr>
              <w:t>3,062</w:t>
            </w:r>
          </w:p>
        </w:tc>
        <w:tc>
          <w:tcPr>
            <w:tcW w:w="120" w:type="dxa"/>
            <w:vAlign w:val="bottom"/>
            <w:tcBorders>
              <w:right w:val="single" w:sz="8" w:color="CCEEFF"/>
            </w:tcBorders>
            <w:shd w:val="clear" w:color="auto" w:fill="CCEEFF"/>
          </w:tcPr>
          <w:p>
            <w:pPr>
              <w:spacing w:after="0"/>
              <w:rPr>
                <w:sz w:val="18"/>
                <w:szCs w:val="18"/>
                <w:color w:val="auto"/>
              </w:rPr>
            </w:pPr>
          </w:p>
        </w:tc>
        <w:tc>
          <w:tcPr>
            <w:tcW w:w="820" w:type="dxa"/>
            <w:vAlign w:val="bottom"/>
            <w:tcBorders>
              <w:right w:val="single" w:sz="8" w:color="CCEEFF"/>
            </w:tcBorders>
            <w:gridSpan w:val="4"/>
            <w:shd w:val="clear" w:color="auto" w:fill="CCEEFF"/>
          </w:tcPr>
          <w:p>
            <w:pPr>
              <w:jc w:val="right"/>
              <w:ind w:right="181"/>
              <w:spacing w:after="0"/>
              <w:rPr>
                <w:sz w:val="20"/>
                <w:szCs w:val="20"/>
                <w:color w:val="auto"/>
              </w:rPr>
            </w:pPr>
            <w:r>
              <w:rPr>
                <w:rFonts w:ascii="Arial" w:cs="Arial" w:eastAsia="Arial" w:hAnsi="Arial"/>
                <w:sz w:val="18"/>
                <w:szCs w:val="18"/>
                <w:color w:val="auto"/>
                <w:w w:val="98"/>
              </w:rPr>
              <w:t>16,825</w:t>
            </w:r>
          </w:p>
        </w:tc>
        <w:tc>
          <w:tcPr>
            <w:tcW w:w="60" w:type="dxa"/>
            <w:vAlign w:val="bottom"/>
            <w:shd w:val="clear" w:color="auto" w:fill="CCEEFF"/>
          </w:tcPr>
          <w:p>
            <w:pPr>
              <w:spacing w:after="0"/>
              <w:rPr>
                <w:sz w:val="18"/>
                <w:szCs w:val="18"/>
                <w:color w:val="auto"/>
              </w:rPr>
            </w:pPr>
          </w:p>
        </w:tc>
        <w:tc>
          <w:tcPr>
            <w:tcW w:w="60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8,142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General and administrative</w:t>
            </w:r>
          </w:p>
        </w:tc>
        <w:tc>
          <w:tcPr>
            <w:tcW w:w="1820" w:type="dxa"/>
            <w:vAlign w:val="bottom"/>
          </w:tcPr>
          <w:p>
            <w:pPr>
              <w:spacing w:after="0"/>
              <w:rPr>
                <w:sz w:val="18"/>
                <w:szCs w:val="18"/>
                <w:color w:val="auto"/>
              </w:rPr>
            </w:pP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5,712</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gridSpan w:val="3"/>
          </w:tcPr>
          <w:p>
            <w:pPr>
              <w:jc w:val="right"/>
              <w:ind w:right="111"/>
              <w:spacing w:after="0"/>
              <w:rPr>
                <w:sz w:val="20"/>
                <w:szCs w:val="20"/>
                <w:color w:val="auto"/>
              </w:rPr>
            </w:pPr>
            <w:r>
              <w:rPr>
                <w:rFonts w:ascii="Arial" w:cs="Arial" w:eastAsia="Arial" w:hAnsi="Arial"/>
                <w:sz w:val="18"/>
                <w:szCs w:val="18"/>
                <w:color w:val="auto"/>
              </w:rPr>
              <w:t>2,241</w:t>
            </w:r>
          </w:p>
        </w:tc>
        <w:tc>
          <w:tcPr>
            <w:tcW w:w="120" w:type="dxa"/>
            <w:vAlign w:val="bottom"/>
          </w:tcPr>
          <w:p>
            <w:pPr>
              <w:spacing w:after="0"/>
              <w:rPr>
                <w:sz w:val="18"/>
                <w:szCs w:val="18"/>
                <w:color w:val="auto"/>
              </w:rPr>
            </w:pPr>
          </w:p>
        </w:tc>
        <w:tc>
          <w:tcPr>
            <w:tcW w:w="820" w:type="dxa"/>
            <w:vAlign w:val="bottom"/>
            <w:gridSpan w:val="4"/>
          </w:tcPr>
          <w:p>
            <w:pPr>
              <w:jc w:val="right"/>
              <w:ind w:right="181"/>
              <w:spacing w:after="0"/>
              <w:rPr>
                <w:sz w:val="20"/>
                <w:szCs w:val="20"/>
                <w:color w:val="auto"/>
              </w:rPr>
            </w:pPr>
            <w:r>
              <w:rPr>
                <w:rFonts w:ascii="Arial" w:cs="Arial" w:eastAsia="Arial" w:hAnsi="Arial"/>
                <w:sz w:val="18"/>
                <w:szCs w:val="18"/>
                <w:color w:val="auto"/>
                <w:w w:val="98"/>
              </w:rPr>
              <w:t>25,875</w:t>
            </w:r>
          </w:p>
        </w:tc>
        <w:tc>
          <w:tcPr>
            <w:tcW w:w="60" w:type="dxa"/>
            <w:vAlign w:val="bottom"/>
          </w:tcPr>
          <w:p>
            <w:pPr>
              <w:spacing w:after="0"/>
              <w:rPr>
                <w:sz w:val="18"/>
                <w:szCs w:val="18"/>
                <w:color w:val="auto"/>
              </w:rPr>
            </w:pPr>
          </w:p>
        </w:tc>
        <w:tc>
          <w:tcPr>
            <w:tcW w:w="600" w:type="dxa"/>
            <w:vAlign w:val="bottom"/>
            <w:gridSpan w:val="4"/>
          </w:tcPr>
          <w:p>
            <w:pPr>
              <w:jc w:val="right"/>
              <w:spacing w:after="0"/>
              <w:rPr>
                <w:sz w:val="20"/>
                <w:szCs w:val="20"/>
                <w:color w:val="auto"/>
              </w:rPr>
            </w:pPr>
            <w:r>
              <w:rPr>
                <w:rFonts w:ascii="Arial" w:cs="Arial" w:eastAsia="Arial" w:hAnsi="Arial"/>
                <w:sz w:val="18"/>
                <w:szCs w:val="18"/>
                <w:color w:val="auto"/>
              </w:rPr>
              <w:t>5,624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59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300" w:type="dxa"/>
            <w:vAlign w:val="bottom"/>
            <w:tcBorders>
              <w:right w:val="single" w:sz="8" w:color="auto"/>
            </w:tcBorders>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260" w:type="dxa"/>
            <w:vAlign w:val="bottom"/>
            <w:tcBorders>
              <w:right w:val="single" w:sz="8" w:color="auto"/>
            </w:tcBorders>
          </w:tcPr>
          <w:p>
            <w:pPr>
              <w:spacing w:after="0"/>
              <w:rPr>
                <w:sz w:val="2"/>
                <w:szCs w:val="2"/>
                <w:color w:val="auto"/>
              </w:rPr>
            </w:pPr>
          </w:p>
        </w:tc>
        <w:tc>
          <w:tcPr>
            <w:tcW w:w="6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59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Total operating expenses</w:t>
            </w:r>
          </w:p>
        </w:tc>
        <w:tc>
          <w:tcPr>
            <w:tcW w:w="182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12,016</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gridSpan w:val="3"/>
            <w:shd w:val="clear" w:color="auto" w:fill="CCEEFF"/>
          </w:tcPr>
          <w:p>
            <w:pPr>
              <w:jc w:val="right"/>
              <w:ind w:right="111"/>
              <w:spacing w:after="0"/>
              <w:rPr>
                <w:sz w:val="20"/>
                <w:szCs w:val="20"/>
                <w:color w:val="auto"/>
              </w:rPr>
            </w:pPr>
            <w:r>
              <w:rPr>
                <w:rFonts w:ascii="Arial" w:cs="Arial" w:eastAsia="Arial" w:hAnsi="Arial"/>
                <w:sz w:val="18"/>
                <w:szCs w:val="18"/>
                <w:color w:val="auto"/>
              </w:rPr>
              <w:t>5,303</w:t>
            </w:r>
          </w:p>
        </w:tc>
        <w:tc>
          <w:tcPr>
            <w:tcW w:w="120" w:type="dxa"/>
            <w:vAlign w:val="bottom"/>
            <w:tcBorders>
              <w:right w:val="single" w:sz="8" w:color="CCEEFF"/>
            </w:tcBorders>
            <w:shd w:val="clear" w:color="auto" w:fill="CCEEFF"/>
          </w:tcPr>
          <w:p>
            <w:pPr>
              <w:spacing w:after="0"/>
              <w:rPr>
                <w:sz w:val="18"/>
                <w:szCs w:val="18"/>
                <w:color w:val="auto"/>
              </w:rPr>
            </w:pPr>
          </w:p>
        </w:tc>
        <w:tc>
          <w:tcPr>
            <w:tcW w:w="820" w:type="dxa"/>
            <w:vAlign w:val="bottom"/>
            <w:tcBorders>
              <w:right w:val="single" w:sz="8" w:color="CCEEFF"/>
            </w:tcBorders>
            <w:gridSpan w:val="4"/>
            <w:shd w:val="clear" w:color="auto" w:fill="CCEEFF"/>
          </w:tcPr>
          <w:p>
            <w:pPr>
              <w:jc w:val="right"/>
              <w:ind w:right="181"/>
              <w:spacing w:after="0"/>
              <w:rPr>
                <w:sz w:val="20"/>
                <w:szCs w:val="20"/>
                <w:color w:val="auto"/>
              </w:rPr>
            </w:pPr>
            <w:r>
              <w:rPr>
                <w:rFonts w:ascii="Arial" w:cs="Arial" w:eastAsia="Arial" w:hAnsi="Arial"/>
                <w:sz w:val="18"/>
                <w:szCs w:val="18"/>
                <w:color w:val="auto"/>
                <w:w w:val="98"/>
              </w:rPr>
              <w:t>42,700</w:t>
            </w:r>
          </w:p>
        </w:tc>
        <w:tc>
          <w:tcPr>
            <w:tcW w:w="60" w:type="dxa"/>
            <w:vAlign w:val="bottom"/>
            <w:shd w:val="clear" w:color="auto" w:fill="CCEEFF"/>
          </w:tcPr>
          <w:p>
            <w:pPr>
              <w:spacing w:after="0"/>
              <w:rPr>
                <w:sz w:val="18"/>
                <w:szCs w:val="18"/>
                <w:color w:val="auto"/>
              </w:rPr>
            </w:pPr>
          </w:p>
        </w:tc>
        <w:tc>
          <w:tcPr>
            <w:tcW w:w="60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w w:val="94"/>
              </w:rPr>
              <w:t>13,766</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940" w:type="dxa"/>
            <w:vAlign w:val="bottom"/>
          </w:tcPr>
          <w:p>
            <w:pPr>
              <w:spacing w:after="0"/>
              <w:rPr>
                <w:sz w:val="20"/>
                <w:szCs w:val="20"/>
                <w:color w:val="auto"/>
              </w:rPr>
            </w:pPr>
            <w:r>
              <w:rPr>
                <w:rFonts w:ascii="Arial" w:cs="Arial" w:eastAsia="Arial" w:hAnsi="Arial"/>
                <w:sz w:val="18"/>
                <w:szCs w:val="18"/>
                <w:color w:val="auto"/>
              </w:rPr>
              <w:t>LOSS FROM OPERATIONS</w:t>
            </w:r>
          </w:p>
        </w:tc>
        <w:tc>
          <w:tcPr>
            <w:tcW w:w="1820" w:type="dxa"/>
            <w:vAlign w:val="bottom"/>
          </w:tcPr>
          <w:p>
            <w:pPr>
              <w:spacing w:after="0"/>
              <w:rPr>
                <w:sz w:val="20"/>
                <w:szCs w:val="20"/>
                <w:color w:val="auto"/>
              </w:rPr>
            </w:pPr>
          </w:p>
        </w:tc>
        <w:tc>
          <w:tcPr>
            <w:tcW w:w="60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(9,417)</w:t>
            </w:r>
          </w:p>
        </w:tc>
        <w:tc>
          <w:tcPr>
            <w:tcW w:w="120" w:type="dxa"/>
            <w:vAlign w:val="bottom"/>
            <w:gridSpan w:val="2"/>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Borders>
              <w:top w:val="single" w:sz="8" w:color="auto"/>
              <w:bottom w:val="single" w:sz="8" w:color="auto"/>
            </w:tcBorders>
          </w:tcPr>
          <w:p>
            <w:pPr>
              <w:spacing w:after="0"/>
              <w:rPr>
                <w:sz w:val="20"/>
                <w:szCs w:val="20"/>
                <w:color w:val="auto"/>
              </w:rPr>
            </w:pPr>
          </w:p>
        </w:tc>
        <w:tc>
          <w:tcPr>
            <w:tcW w:w="48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w w:val="80"/>
              </w:rPr>
              <w:t>(3,987)</w:t>
            </w: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color w:val="auto"/>
                <w:w w:val="80"/>
              </w:rPr>
              <w:t>(35,264)</w:t>
            </w:r>
          </w:p>
        </w:tc>
        <w:tc>
          <w:tcPr>
            <w:tcW w:w="260" w:type="dxa"/>
            <w:vAlign w:val="bottom"/>
          </w:tcPr>
          <w:p>
            <w:pPr>
              <w:spacing w:after="0"/>
              <w:rPr>
                <w:sz w:val="20"/>
                <w:szCs w:val="20"/>
                <w:color w:val="auto"/>
              </w:rPr>
            </w:pPr>
          </w:p>
        </w:tc>
        <w:tc>
          <w:tcPr>
            <w:tcW w:w="60" w:type="dxa"/>
            <w:vAlign w:val="bottom"/>
            <w:tcBorders>
              <w:top w:val="single" w:sz="8" w:color="auto"/>
              <w:bottom w:val="single" w:sz="8" w:color="auto"/>
            </w:tcBorders>
          </w:tcPr>
          <w:p>
            <w:pPr>
              <w:spacing w:after="0"/>
              <w:rPr>
                <w:sz w:val="20"/>
                <w:szCs w:val="20"/>
                <w:color w:val="auto"/>
              </w:rPr>
            </w:pPr>
          </w:p>
        </w:tc>
        <w:tc>
          <w:tcPr>
            <w:tcW w:w="54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color w:val="auto"/>
                <w:w w:val="77"/>
              </w:rPr>
              <w:t>(11,597)</w:t>
            </w: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INTEREST INCOME (EXPENSE), net</w:t>
            </w:r>
          </w:p>
        </w:tc>
        <w:tc>
          <w:tcPr>
            <w:tcW w:w="2540" w:type="dxa"/>
            <w:vAlign w:val="bottom"/>
            <w:gridSpan w:val="5"/>
            <w:shd w:val="clear" w:color="auto" w:fill="CCEEFF"/>
          </w:tcPr>
          <w:p>
            <w:pPr>
              <w:jc w:val="right"/>
              <w:spacing w:after="0"/>
              <w:rPr>
                <w:sz w:val="20"/>
                <w:szCs w:val="20"/>
                <w:color w:val="auto"/>
              </w:rPr>
            </w:pPr>
            <w:r>
              <w:rPr>
                <w:rFonts w:ascii="Arial" w:cs="Arial" w:eastAsia="Arial" w:hAnsi="Arial"/>
                <w:sz w:val="18"/>
                <w:szCs w:val="18"/>
                <w:color w:val="auto"/>
              </w:rPr>
              <w:t>(75)</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gridSpan w:val="3"/>
            <w:shd w:val="clear" w:color="auto" w:fill="CCEEFF"/>
          </w:tcPr>
          <w:p>
            <w:pPr>
              <w:jc w:val="right"/>
              <w:ind w:right="51"/>
              <w:spacing w:after="0"/>
              <w:rPr>
                <w:sz w:val="20"/>
                <w:szCs w:val="20"/>
                <w:color w:val="auto"/>
              </w:rPr>
            </w:pPr>
            <w:r>
              <w:rPr>
                <w:rFonts w:ascii="Arial" w:cs="Arial" w:eastAsia="Arial" w:hAnsi="Arial"/>
                <w:sz w:val="18"/>
                <w:szCs w:val="18"/>
                <w:color w:val="auto"/>
              </w:rPr>
              <w:t>(63)</w:t>
            </w:r>
          </w:p>
        </w:tc>
        <w:tc>
          <w:tcPr>
            <w:tcW w:w="1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tcBorders>
              <w:right w:val="single" w:sz="8" w:color="CCEEFF"/>
            </w:tcBorders>
            <w:gridSpan w:val="2"/>
            <w:shd w:val="clear" w:color="auto" w:fill="CCEEFF"/>
          </w:tcPr>
          <w:p>
            <w:pPr>
              <w:jc w:val="right"/>
              <w:ind w:right="121"/>
              <w:spacing w:after="0"/>
              <w:rPr>
                <w:sz w:val="20"/>
                <w:szCs w:val="20"/>
                <w:color w:val="auto"/>
              </w:rPr>
            </w:pPr>
            <w:r>
              <w:rPr>
                <w:rFonts w:ascii="Arial" w:cs="Arial" w:eastAsia="Arial" w:hAnsi="Arial"/>
                <w:sz w:val="18"/>
                <w:szCs w:val="18"/>
                <w:color w:val="auto"/>
                <w:w w:val="95"/>
              </w:rPr>
              <w:t>(199)</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w w:val="90"/>
              </w:rPr>
              <w:t>(172)</w:t>
            </w:r>
          </w:p>
        </w:tc>
        <w:tc>
          <w:tcPr>
            <w:tcW w:w="0" w:type="dxa"/>
            <w:vAlign w:val="bottom"/>
          </w:tcPr>
          <w:p>
            <w:pPr>
              <w:spacing w:after="0"/>
              <w:rPr>
                <w:sz w:val="1"/>
                <w:szCs w:val="1"/>
                <w:color w:val="auto"/>
              </w:rPr>
            </w:pPr>
          </w:p>
        </w:tc>
      </w:tr>
      <w:tr>
        <w:trPr>
          <w:trHeight w:val="223"/>
        </w:trPr>
        <w:tc>
          <w:tcPr>
            <w:tcW w:w="5940" w:type="dxa"/>
            <w:vAlign w:val="bottom"/>
          </w:tcPr>
          <w:p>
            <w:pPr>
              <w:spacing w:after="0"/>
              <w:rPr>
                <w:sz w:val="20"/>
                <w:szCs w:val="20"/>
                <w:color w:val="auto"/>
              </w:rPr>
            </w:pPr>
            <w:r>
              <w:rPr>
                <w:rFonts w:ascii="Arial" w:cs="Arial" w:eastAsia="Arial" w:hAnsi="Arial"/>
                <w:sz w:val="18"/>
                <w:szCs w:val="18"/>
                <w:color w:val="auto"/>
              </w:rPr>
              <w:t>LOSS BEFORE PROVISION FOR INCOME TAXES</w:t>
            </w:r>
          </w:p>
        </w:tc>
        <w:tc>
          <w:tcPr>
            <w:tcW w:w="1820" w:type="dxa"/>
            <w:vAlign w:val="bottom"/>
          </w:tcPr>
          <w:p>
            <w:pPr>
              <w:spacing w:after="0"/>
              <w:rPr>
                <w:sz w:val="19"/>
                <w:szCs w:val="19"/>
                <w:color w:val="auto"/>
              </w:rPr>
            </w:pPr>
          </w:p>
        </w:tc>
        <w:tc>
          <w:tcPr>
            <w:tcW w:w="60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(9,492)</w:t>
            </w:r>
          </w:p>
        </w:tc>
        <w:tc>
          <w:tcPr>
            <w:tcW w:w="120" w:type="dxa"/>
            <w:vAlign w:val="bottom"/>
            <w:gridSpan w:val="2"/>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w w:val="80"/>
              </w:rPr>
              <w:t>(4,050)</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Borders>
              <w:top w:val="single" w:sz="8" w:color="auto"/>
            </w:tcBorders>
            <w:gridSpan w:val="3"/>
          </w:tcPr>
          <w:p>
            <w:pPr>
              <w:jc w:val="right"/>
              <w:spacing w:after="0"/>
              <w:rPr>
                <w:sz w:val="20"/>
                <w:szCs w:val="20"/>
                <w:color w:val="auto"/>
              </w:rPr>
            </w:pPr>
            <w:r>
              <w:rPr>
                <w:rFonts w:ascii="Arial" w:cs="Arial" w:eastAsia="Arial" w:hAnsi="Arial"/>
                <w:sz w:val="18"/>
                <w:szCs w:val="18"/>
                <w:color w:val="auto"/>
                <w:w w:val="80"/>
              </w:rPr>
              <w:t>(35,463)</w:t>
            </w:r>
          </w:p>
        </w:tc>
        <w:tc>
          <w:tcPr>
            <w:tcW w:w="260" w:type="dxa"/>
            <w:vAlign w:val="bottom"/>
          </w:tcPr>
          <w:p>
            <w:pPr>
              <w:spacing w:after="0"/>
              <w:rPr>
                <w:sz w:val="19"/>
                <w:szCs w:val="19"/>
                <w:color w:val="auto"/>
              </w:rPr>
            </w:pPr>
          </w:p>
        </w:tc>
        <w:tc>
          <w:tcPr>
            <w:tcW w:w="6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gridSpan w:val="3"/>
          </w:tcPr>
          <w:p>
            <w:pPr>
              <w:jc w:val="right"/>
              <w:spacing w:after="0"/>
              <w:rPr>
                <w:sz w:val="20"/>
                <w:szCs w:val="20"/>
                <w:color w:val="auto"/>
              </w:rPr>
            </w:pPr>
            <w:r>
              <w:rPr>
                <w:rFonts w:ascii="Arial" w:cs="Arial" w:eastAsia="Arial" w:hAnsi="Arial"/>
                <w:sz w:val="18"/>
                <w:szCs w:val="18"/>
                <w:color w:val="auto"/>
                <w:w w:val="77"/>
              </w:rPr>
              <w:t>(11,769)</w:t>
            </w: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PROVISION FOR INCOME TAXES</w:t>
            </w:r>
          </w:p>
        </w:tc>
        <w:tc>
          <w:tcPr>
            <w:tcW w:w="244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00" w:type="dxa"/>
            <w:vAlign w:val="bottom"/>
            <w:tcBorders>
              <w:right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tcBorders>
              <w:right w:val="single" w:sz="8" w:color="CCEEFF"/>
            </w:tcBorders>
            <w:gridSpan w:val="2"/>
            <w:shd w:val="clear" w:color="auto" w:fill="CCEEFF"/>
          </w:tcPr>
          <w:p>
            <w:pPr>
              <w:jc w:val="right"/>
              <w:ind w:right="181"/>
              <w:spacing w:after="0"/>
              <w:rPr>
                <w:sz w:val="20"/>
                <w:szCs w:val="20"/>
                <w:color w:val="auto"/>
              </w:rPr>
            </w:pPr>
            <w:r>
              <w:rPr>
                <w:rFonts w:ascii="Arial" w:cs="Arial" w:eastAsia="Arial" w:hAnsi="Arial"/>
                <w:sz w:val="18"/>
                <w:szCs w:val="18"/>
                <w:color w:val="auto"/>
              </w:rPr>
              <w:t>37</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940" w:type="dxa"/>
            <w:vAlign w:val="bottom"/>
          </w:tcPr>
          <w:p>
            <w:pPr>
              <w:spacing w:after="0"/>
              <w:rPr>
                <w:sz w:val="20"/>
                <w:szCs w:val="20"/>
                <w:color w:val="auto"/>
              </w:rPr>
            </w:pPr>
            <w:r>
              <w:rPr>
                <w:rFonts w:ascii="Arial" w:cs="Arial" w:eastAsia="Arial" w:hAnsi="Arial"/>
                <w:sz w:val="18"/>
                <w:szCs w:val="18"/>
                <w:color w:val="auto"/>
              </w:rPr>
              <w:t>NET LOSS</w:t>
            </w:r>
          </w:p>
        </w:tc>
        <w:tc>
          <w:tcPr>
            <w:tcW w:w="1820" w:type="dxa"/>
            <w:vAlign w:val="bottom"/>
          </w:tcPr>
          <w:p>
            <w:pPr>
              <w:spacing w:after="0"/>
              <w:rPr>
                <w:sz w:val="19"/>
                <w:szCs w:val="19"/>
                <w:color w:val="auto"/>
              </w:rPr>
            </w:pPr>
          </w:p>
        </w:tc>
        <w:tc>
          <w:tcPr>
            <w:tcW w:w="60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w w:val="87"/>
              </w:rPr>
              <w:t>$ (9,505</w:t>
            </w:r>
          </w:p>
        </w:tc>
        <w:tc>
          <w:tcPr>
            <w:tcW w:w="120" w:type="dxa"/>
            <w:vAlign w:val="bottom"/>
            <w:gridSpan w:val="2"/>
          </w:tcPr>
          <w:p>
            <w:pPr>
              <w:jc w:val="right"/>
              <w:spacing w:after="0"/>
              <w:rPr>
                <w:sz w:val="20"/>
                <w:szCs w:val="20"/>
                <w:color w:val="auto"/>
              </w:rPr>
            </w:pPr>
            <w:r>
              <w:rPr>
                <w:rFonts w:ascii="Arial" w:cs="Arial" w:eastAsia="Arial" w:hAnsi="Arial"/>
                <w:sz w:val="16"/>
                <w:szCs w:val="16"/>
                <w:color w:val="auto"/>
                <w:w w:val="74"/>
              </w:rPr>
              <w:t>)</w:t>
            </w:r>
          </w:p>
        </w:tc>
        <w:tc>
          <w:tcPr>
            <w:tcW w:w="80" w:type="dxa"/>
            <w:vAlign w:val="bottom"/>
          </w:tcPr>
          <w:p>
            <w:pPr>
              <w:spacing w:after="0"/>
              <w:rPr>
                <w:sz w:val="19"/>
                <w:szCs w:val="19"/>
                <w:color w:val="auto"/>
              </w:rPr>
            </w:pPr>
          </w:p>
        </w:tc>
        <w:tc>
          <w:tcPr>
            <w:tcW w:w="60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color w:val="auto"/>
                <w:w w:val="87"/>
              </w:rPr>
              <w:t>$ (4,050</w:t>
            </w:r>
          </w:p>
        </w:tc>
        <w:tc>
          <w:tcPr>
            <w:tcW w:w="200" w:type="dxa"/>
            <w:vAlign w:val="bottom"/>
          </w:tcPr>
          <w:p>
            <w:pPr>
              <w:jc w:val="right"/>
              <w:ind w:right="51"/>
              <w:spacing w:after="0"/>
              <w:rPr>
                <w:sz w:val="20"/>
                <w:szCs w:val="20"/>
                <w:color w:val="auto"/>
              </w:rPr>
            </w:pPr>
            <w:r>
              <w:rPr>
                <w:rFonts w:ascii="Arial" w:cs="Arial" w:eastAsia="Arial" w:hAnsi="Arial"/>
                <w:sz w:val="16"/>
                <w:szCs w:val="16"/>
                <w:color w:val="auto"/>
                <w:w w:val="74"/>
              </w:rPr>
              <w:t>)</w:t>
            </w:r>
          </w:p>
        </w:tc>
        <w:tc>
          <w:tcPr>
            <w:tcW w:w="120" w:type="dxa"/>
            <w:vAlign w:val="bottom"/>
          </w:tcPr>
          <w:p>
            <w:pPr>
              <w:spacing w:after="0"/>
              <w:rPr>
                <w:sz w:val="19"/>
                <w:szCs w:val="19"/>
                <w:color w:val="auto"/>
              </w:rPr>
            </w:pPr>
          </w:p>
        </w:tc>
        <w:tc>
          <w:tcPr>
            <w:tcW w:w="56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u w:val="single" w:color="auto"/>
                <w:color w:val="auto"/>
                <w:w w:val="75"/>
              </w:rPr>
              <w:t>$</w:t>
            </w:r>
            <w:r>
              <w:rPr>
                <w:rFonts w:ascii="Arial" w:cs="Arial" w:eastAsia="Arial" w:hAnsi="Arial"/>
                <w:sz w:val="18"/>
                <w:szCs w:val="18"/>
                <w:color w:val="auto"/>
                <w:w w:val="75"/>
              </w:rPr>
              <w:t>(35,500</w:t>
            </w:r>
          </w:p>
        </w:tc>
        <w:tc>
          <w:tcPr>
            <w:tcW w:w="260" w:type="dxa"/>
            <w:vAlign w:val="bottom"/>
          </w:tcPr>
          <w:p>
            <w:pPr>
              <w:jc w:val="right"/>
              <w:ind w:right="121"/>
              <w:spacing w:after="0"/>
              <w:rPr>
                <w:sz w:val="20"/>
                <w:szCs w:val="20"/>
                <w:color w:val="auto"/>
              </w:rPr>
            </w:pPr>
            <w:r>
              <w:rPr>
                <w:rFonts w:ascii="Arial" w:cs="Arial" w:eastAsia="Arial" w:hAnsi="Arial"/>
                <w:sz w:val="16"/>
                <w:szCs w:val="16"/>
                <w:color w:val="auto"/>
                <w:w w:val="74"/>
              </w:rPr>
              <w:t>)</w:t>
            </w:r>
          </w:p>
        </w:tc>
        <w:tc>
          <w:tcPr>
            <w:tcW w:w="600" w:type="dxa"/>
            <w:vAlign w:val="bottom"/>
            <w:tcBorders>
              <w:top w:val="single" w:sz="8" w:color="auto"/>
              <w:bottom w:val="single" w:sz="8" w:color="auto"/>
            </w:tcBorders>
            <w:gridSpan w:val="4"/>
          </w:tcPr>
          <w:p>
            <w:pPr>
              <w:jc w:val="right"/>
              <w:spacing w:after="0"/>
              <w:rPr>
                <w:sz w:val="20"/>
                <w:szCs w:val="20"/>
                <w:color w:val="auto"/>
              </w:rPr>
            </w:pPr>
            <w:r>
              <w:rPr>
                <w:rFonts w:ascii="Arial" w:cs="Arial" w:eastAsia="Arial" w:hAnsi="Arial"/>
                <w:sz w:val="18"/>
                <w:szCs w:val="18"/>
                <w:u w:val="single" w:color="auto"/>
                <w:color w:val="auto"/>
                <w:w w:val="81"/>
              </w:rPr>
              <w:t>$</w:t>
            </w:r>
            <w:r>
              <w:rPr>
                <w:rFonts w:ascii="Arial" w:cs="Arial" w:eastAsia="Arial" w:hAnsi="Arial"/>
                <w:sz w:val="18"/>
                <w:szCs w:val="18"/>
                <w:color w:val="auto"/>
                <w:w w:val="81"/>
              </w:rPr>
              <w:t>(11,775</w:t>
            </w:r>
          </w:p>
        </w:tc>
        <w:tc>
          <w:tcPr>
            <w:tcW w:w="120" w:type="dxa"/>
            <w:vAlign w:val="bottom"/>
            <w:gridSpan w:val="2"/>
          </w:tcPr>
          <w:p>
            <w:pPr>
              <w:jc w:val="right"/>
              <w:ind w:right="60"/>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
        </w:trPr>
        <w:tc>
          <w:tcPr>
            <w:tcW w:w="594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NET LOSS PER SHARE:</w:t>
            </w:r>
          </w:p>
        </w:tc>
        <w:tc>
          <w:tcPr>
            <w:tcW w:w="18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0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60" w:type="dxa"/>
            <w:vAlign w:val="bottom"/>
            <w:tcBorders>
              <w:right w:val="single" w:sz="8" w:color="CCEEFF"/>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40" w:type="dxa"/>
            <w:vAlign w:val="bottom"/>
          </w:tcPr>
          <w:p>
            <w:pPr>
              <w:ind w:left="360"/>
              <w:spacing w:after="0"/>
              <w:rPr>
                <w:sz w:val="20"/>
                <w:szCs w:val="20"/>
                <w:color w:val="auto"/>
              </w:rPr>
            </w:pPr>
            <w:r>
              <w:rPr>
                <w:rFonts w:ascii="Arial" w:cs="Arial" w:eastAsia="Arial" w:hAnsi="Arial"/>
                <w:sz w:val="18"/>
                <w:szCs w:val="18"/>
                <w:color w:val="auto"/>
              </w:rPr>
              <w:t>Basic and diluted</w:t>
            </w:r>
          </w:p>
        </w:tc>
        <w:tc>
          <w:tcPr>
            <w:tcW w:w="2540" w:type="dxa"/>
            <w:vAlign w:val="bottom"/>
            <w:gridSpan w:val="5"/>
          </w:tcPr>
          <w:p>
            <w:pPr>
              <w:jc w:val="right"/>
              <w:spacing w:after="0"/>
              <w:rPr>
                <w:sz w:val="20"/>
                <w:szCs w:val="20"/>
                <w:color w:val="auto"/>
              </w:rPr>
            </w:pPr>
            <w:r>
              <w:rPr>
                <w:rFonts w:ascii="Arial" w:cs="Arial" w:eastAsia="Arial" w:hAnsi="Arial"/>
                <w:sz w:val="18"/>
                <w:szCs w:val="18"/>
                <w:color w:val="auto"/>
              </w:rPr>
              <w:t>$  (0.57)</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3"/>
          </w:tcPr>
          <w:p>
            <w:pPr>
              <w:jc w:val="right"/>
              <w:ind w:right="51"/>
              <w:spacing w:after="0"/>
              <w:rPr>
                <w:sz w:val="20"/>
                <w:szCs w:val="20"/>
                <w:color w:val="auto"/>
              </w:rPr>
            </w:pPr>
            <w:r>
              <w:rPr>
                <w:rFonts w:ascii="Arial" w:cs="Arial" w:eastAsia="Arial" w:hAnsi="Arial"/>
                <w:sz w:val="18"/>
                <w:szCs w:val="18"/>
                <w:color w:val="auto"/>
              </w:rPr>
              <w:t>(0.27)</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gridSpan w:val="4"/>
          </w:tcPr>
          <w:p>
            <w:pPr>
              <w:jc w:val="right"/>
              <w:ind w:right="121"/>
              <w:spacing w:after="0"/>
              <w:rPr>
                <w:sz w:val="20"/>
                <w:szCs w:val="20"/>
                <w:color w:val="auto"/>
              </w:rPr>
            </w:pPr>
            <w:r>
              <w:rPr>
                <w:rFonts w:ascii="Arial" w:cs="Arial" w:eastAsia="Arial" w:hAnsi="Arial"/>
                <w:sz w:val="18"/>
                <w:szCs w:val="18"/>
                <w:color w:val="auto"/>
              </w:rPr>
              <w:t>(1.98)</w:t>
            </w:r>
          </w:p>
        </w:tc>
        <w:tc>
          <w:tcPr>
            <w:tcW w:w="60" w:type="dxa"/>
            <w:vAlign w:val="bottom"/>
          </w:tcPr>
          <w:p>
            <w:pPr>
              <w:jc w:val="right"/>
              <w:spacing w:after="0"/>
              <w:rPr>
                <w:sz w:val="20"/>
                <w:szCs w:val="20"/>
                <w:color w:val="auto"/>
              </w:rPr>
            </w:pPr>
            <w:r>
              <w:rPr>
                <w:rFonts w:ascii="Arial" w:cs="Arial" w:eastAsia="Arial" w:hAnsi="Arial"/>
                <w:sz w:val="4"/>
                <w:szCs w:val="4"/>
                <w:color w:val="auto"/>
                <w:w w:val="87"/>
              </w:rPr>
              <w:t>$</w:t>
            </w:r>
          </w:p>
        </w:tc>
        <w:tc>
          <w:tcPr>
            <w:tcW w:w="660" w:type="dxa"/>
            <w:vAlign w:val="bottom"/>
            <w:gridSpan w:val="5"/>
          </w:tcPr>
          <w:p>
            <w:pPr>
              <w:jc w:val="right"/>
              <w:ind w:right="60"/>
              <w:spacing w:after="0"/>
              <w:rPr>
                <w:sz w:val="20"/>
                <w:szCs w:val="20"/>
                <w:color w:val="auto"/>
              </w:rPr>
            </w:pPr>
            <w:r>
              <w:rPr>
                <w:rFonts w:ascii="Arial" w:cs="Arial" w:eastAsia="Arial" w:hAnsi="Arial"/>
                <w:sz w:val="18"/>
                <w:szCs w:val="18"/>
                <w:color w:val="auto"/>
              </w:rPr>
              <w:t>(0.79)</w:t>
            </w:r>
          </w:p>
        </w:tc>
        <w:tc>
          <w:tcPr>
            <w:tcW w:w="0" w:type="dxa"/>
            <w:vAlign w:val="bottom"/>
          </w:tcPr>
          <w:p>
            <w:pPr>
              <w:spacing w:after="0"/>
              <w:rPr>
                <w:sz w:val="1"/>
                <w:szCs w:val="1"/>
                <w:color w:val="auto"/>
              </w:rPr>
            </w:pPr>
          </w:p>
        </w:tc>
      </w:tr>
      <w:tr>
        <w:trPr>
          <w:trHeight w:val="20"/>
        </w:trPr>
        <w:tc>
          <w:tcPr>
            <w:tcW w:w="594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SHARES USED IN PER-SHARE CALCULATION:</w:t>
            </w:r>
          </w:p>
        </w:tc>
        <w:tc>
          <w:tcPr>
            <w:tcW w:w="18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00" w:type="dxa"/>
            <w:vAlign w:val="bottom"/>
            <w:tcBorders>
              <w:right w:val="single" w:sz="8" w:color="CCEEFF"/>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60" w:type="dxa"/>
            <w:vAlign w:val="bottom"/>
            <w:tcBorders>
              <w:right w:val="single" w:sz="8" w:color="CCEEFF"/>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940" w:type="dxa"/>
            <w:vAlign w:val="bottom"/>
          </w:tcPr>
          <w:p>
            <w:pPr>
              <w:ind w:left="360"/>
              <w:spacing w:after="0"/>
              <w:rPr>
                <w:sz w:val="20"/>
                <w:szCs w:val="20"/>
                <w:color w:val="auto"/>
              </w:rPr>
            </w:pPr>
            <w:r>
              <w:rPr>
                <w:rFonts w:ascii="Arial" w:cs="Arial" w:eastAsia="Arial" w:hAnsi="Arial"/>
                <w:sz w:val="18"/>
                <w:szCs w:val="18"/>
                <w:color w:val="auto"/>
              </w:rPr>
              <w:t>Basic and diluted</w:t>
            </w:r>
          </w:p>
        </w:tc>
        <w:tc>
          <w:tcPr>
            <w:tcW w:w="2440" w:type="dxa"/>
            <w:vAlign w:val="bottom"/>
            <w:gridSpan w:val="4"/>
          </w:tcPr>
          <w:p>
            <w:pPr>
              <w:jc w:val="right"/>
              <w:spacing w:after="0"/>
              <w:rPr>
                <w:sz w:val="20"/>
                <w:szCs w:val="20"/>
                <w:color w:val="auto"/>
              </w:rPr>
            </w:pPr>
            <w:r>
              <w:rPr>
                <w:rFonts w:ascii="Arial" w:cs="Arial" w:eastAsia="Arial" w:hAnsi="Arial"/>
                <w:sz w:val="18"/>
                <w:szCs w:val="18"/>
                <w:color w:val="auto"/>
              </w:rPr>
              <w:t>16,726</w:t>
            </w:r>
          </w:p>
        </w:tc>
        <w:tc>
          <w:tcPr>
            <w:tcW w:w="100" w:type="dxa"/>
            <w:vAlign w:val="bottom"/>
          </w:tcPr>
          <w:p>
            <w:pPr>
              <w:spacing w:after="0"/>
              <w:rPr>
                <w:sz w:val="20"/>
                <w:szCs w:val="20"/>
                <w:color w:val="auto"/>
              </w:rPr>
            </w:pPr>
          </w:p>
        </w:tc>
        <w:tc>
          <w:tcPr>
            <w:tcW w:w="880" w:type="dxa"/>
            <w:vAlign w:val="bottom"/>
            <w:gridSpan w:val="5"/>
          </w:tcPr>
          <w:p>
            <w:pPr>
              <w:jc w:val="right"/>
              <w:ind w:right="111"/>
              <w:spacing w:after="0"/>
              <w:rPr>
                <w:sz w:val="20"/>
                <w:szCs w:val="20"/>
                <w:color w:val="auto"/>
              </w:rPr>
            </w:pPr>
            <w:r>
              <w:rPr>
                <w:rFonts w:ascii="Arial" w:cs="Arial" w:eastAsia="Arial" w:hAnsi="Arial"/>
                <w:sz w:val="18"/>
                <w:szCs w:val="18"/>
                <w:color w:val="auto"/>
              </w:rPr>
              <w:t>14,841</w:t>
            </w:r>
          </w:p>
        </w:tc>
        <w:tc>
          <w:tcPr>
            <w:tcW w:w="120" w:type="dxa"/>
            <w:vAlign w:val="bottom"/>
          </w:tcPr>
          <w:p>
            <w:pPr>
              <w:spacing w:after="0"/>
              <w:rPr>
                <w:sz w:val="20"/>
                <w:szCs w:val="20"/>
                <w:color w:val="auto"/>
              </w:rPr>
            </w:pPr>
          </w:p>
        </w:tc>
        <w:tc>
          <w:tcPr>
            <w:tcW w:w="820" w:type="dxa"/>
            <w:vAlign w:val="bottom"/>
            <w:gridSpan w:val="4"/>
          </w:tcPr>
          <w:p>
            <w:pPr>
              <w:jc w:val="right"/>
              <w:ind w:right="181"/>
              <w:spacing w:after="0"/>
              <w:rPr>
                <w:sz w:val="20"/>
                <w:szCs w:val="20"/>
                <w:color w:val="auto"/>
              </w:rPr>
            </w:pPr>
            <w:r>
              <w:rPr>
                <w:rFonts w:ascii="Arial" w:cs="Arial" w:eastAsia="Arial" w:hAnsi="Arial"/>
                <w:sz w:val="18"/>
                <w:szCs w:val="18"/>
                <w:color w:val="auto"/>
                <w:w w:val="98"/>
              </w:rPr>
              <w:t>17,949</w:t>
            </w:r>
          </w:p>
        </w:tc>
        <w:tc>
          <w:tcPr>
            <w:tcW w:w="60" w:type="dxa"/>
            <w:vAlign w:val="bottom"/>
          </w:tcPr>
          <w:p>
            <w:pPr>
              <w:spacing w:after="0"/>
              <w:rPr>
                <w:sz w:val="20"/>
                <w:szCs w:val="20"/>
                <w:color w:val="auto"/>
              </w:rPr>
            </w:pPr>
          </w:p>
        </w:tc>
        <w:tc>
          <w:tcPr>
            <w:tcW w:w="600" w:type="dxa"/>
            <w:vAlign w:val="bottom"/>
            <w:gridSpan w:val="4"/>
          </w:tcPr>
          <w:p>
            <w:pPr>
              <w:jc w:val="right"/>
              <w:spacing w:after="0"/>
              <w:rPr>
                <w:sz w:val="20"/>
                <w:szCs w:val="20"/>
                <w:color w:val="auto"/>
              </w:rPr>
            </w:pPr>
            <w:r>
              <w:rPr>
                <w:rFonts w:ascii="Arial" w:cs="Arial" w:eastAsia="Arial" w:hAnsi="Arial"/>
                <w:sz w:val="18"/>
                <w:szCs w:val="18"/>
                <w:color w:val="auto"/>
                <w:w w:val="94"/>
              </w:rPr>
              <w:t>14,827</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45"/>
        </w:trPr>
        <w:tc>
          <w:tcPr>
            <w:tcW w:w="5940" w:type="dxa"/>
            <w:vAlign w:val="bottom"/>
          </w:tcPr>
          <w:p>
            <w:pPr>
              <w:spacing w:after="0"/>
              <w:rPr>
                <w:sz w:val="20"/>
                <w:szCs w:val="20"/>
                <w:color w:val="auto"/>
              </w:rPr>
            </w:pPr>
            <w:r>
              <w:rPr>
                <w:rFonts w:ascii="Arial" w:cs="Arial" w:eastAsia="Arial" w:hAnsi="Arial"/>
                <w:sz w:val="18"/>
                <w:szCs w:val="18"/>
                <w:color w:val="auto"/>
              </w:rPr>
              <w:t>SUPPLEMENTAL INFORMATION:</w:t>
            </w:r>
          </w:p>
        </w:tc>
        <w:tc>
          <w:tcPr>
            <w:tcW w:w="18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2"/>
        </w:trPr>
        <w:tc>
          <w:tcPr>
            <w:tcW w:w="594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0" w:type="dxa"/>
            <w:vAlign w:val="bottom"/>
            <w:gridSpan w:val="8"/>
          </w:tcPr>
          <w:p>
            <w:pPr>
              <w:jc w:val="right"/>
              <w:spacing w:after="0"/>
              <w:rPr>
                <w:sz w:val="20"/>
                <w:szCs w:val="20"/>
                <w:color w:val="auto"/>
              </w:rPr>
            </w:pPr>
            <w:r>
              <w:rPr>
                <w:rFonts w:ascii="Arial" w:cs="Arial" w:eastAsia="Arial" w:hAnsi="Arial"/>
                <w:sz w:val="14"/>
                <w:szCs w:val="14"/>
                <w:b w:val="1"/>
                <w:bCs w:val="1"/>
                <w:color w:val="auto"/>
                <w:w w:val="98"/>
              </w:rPr>
              <w:t>Three Months Ended</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40" w:type="dxa"/>
            <w:vAlign w:val="bottom"/>
            <w:gridSpan w:val="9"/>
          </w:tcPr>
          <w:p>
            <w:pPr>
              <w:jc w:val="right"/>
              <w:ind w:right="140"/>
              <w:spacing w:after="0"/>
              <w:rPr>
                <w:sz w:val="20"/>
                <w:szCs w:val="20"/>
                <w:color w:val="auto"/>
              </w:rPr>
            </w:pPr>
            <w:r>
              <w:rPr>
                <w:rFonts w:ascii="Arial" w:cs="Arial" w:eastAsia="Arial" w:hAnsi="Arial"/>
                <w:sz w:val="14"/>
                <w:szCs w:val="14"/>
                <w:b w:val="1"/>
                <w:bCs w:val="1"/>
                <w:color w:val="auto"/>
                <w:w w:val="97"/>
              </w:rPr>
              <w:t>Nine Months Ended</w:t>
            </w:r>
          </w:p>
        </w:tc>
        <w:tc>
          <w:tcPr>
            <w:tcW w:w="0" w:type="dxa"/>
            <w:vAlign w:val="bottom"/>
          </w:tcPr>
          <w:p>
            <w:pPr>
              <w:spacing w:after="0"/>
              <w:rPr>
                <w:sz w:val="1"/>
                <w:szCs w:val="1"/>
                <w:color w:val="auto"/>
              </w:rPr>
            </w:pPr>
          </w:p>
        </w:tc>
      </w:tr>
      <w:tr>
        <w:trPr>
          <w:trHeight w:val="171"/>
        </w:trPr>
        <w:tc>
          <w:tcPr>
            <w:tcW w:w="594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0" w:type="dxa"/>
            <w:vAlign w:val="bottom"/>
            <w:gridSpan w:val="7"/>
          </w:tcPr>
          <w:p>
            <w:pPr>
              <w:jc w:val="right"/>
              <w:spacing w:after="0"/>
              <w:rPr>
                <w:sz w:val="20"/>
                <w:szCs w:val="20"/>
                <w:color w:val="auto"/>
              </w:rPr>
            </w:pPr>
            <w:r>
              <w:rPr>
                <w:rFonts w:ascii="Arial" w:cs="Arial" w:eastAsia="Arial" w:hAnsi="Arial"/>
                <w:sz w:val="14"/>
                <w:szCs w:val="14"/>
                <w:b w:val="1"/>
                <w:bCs w:val="1"/>
                <w:color w:val="auto"/>
              </w:rPr>
              <w:t>September 30,</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40" w:type="dxa"/>
            <w:vAlign w:val="bottom"/>
            <w:gridSpan w:val="8"/>
          </w:tcPr>
          <w:p>
            <w:pPr>
              <w:jc w:val="right"/>
              <w:ind w:right="320"/>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142"/>
        </w:trPr>
        <w:tc>
          <w:tcPr>
            <w:tcW w:w="5940" w:type="dxa"/>
            <w:vAlign w:val="bottom"/>
          </w:tcPr>
          <w:p>
            <w:pPr>
              <w:spacing w:after="0"/>
              <w:rPr>
                <w:sz w:val="12"/>
                <w:szCs w:val="12"/>
                <w:color w:val="auto"/>
              </w:rPr>
            </w:pPr>
          </w:p>
        </w:tc>
        <w:tc>
          <w:tcPr>
            <w:tcW w:w="2020" w:type="dxa"/>
            <w:vAlign w:val="bottom"/>
            <w:gridSpan w:val="2"/>
          </w:tcPr>
          <w:p>
            <w:pPr>
              <w:spacing w:after="0"/>
              <w:rPr>
                <w:sz w:val="12"/>
                <w:szCs w:val="12"/>
                <w:color w:val="auto"/>
              </w:rPr>
            </w:pPr>
          </w:p>
        </w:tc>
        <w:tc>
          <w:tcPr>
            <w:tcW w:w="520" w:type="dxa"/>
            <w:vAlign w:val="bottom"/>
            <w:tcBorders>
              <w:top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2021</w:t>
            </w:r>
          </w:p>
        </w:tc>
        <w:tc>
          <w:tcPr>
            <w:tcW w:w="8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2020</w:t>
            </w:r>
          </w:p>
        </w:tc>
        <w:tc>
          <w:tcPr>
            <w:tcW w:w="12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20" w:type="dxa"/>
            <w:vAlign w:val="bottom"/>
            <w:tcBorders>
              <w:top w:val="single" w:sz="8" w:color="auto"/>
            </w:tcBorders>
            <w:gridSpan w:val="2"/>
          </w:tcPr>
          <w:p>
            <w:pPr>
              <w:jc w:val="right"/>
              <w:ind w:right="141"/>
              <w:spacing w:after="0" w:line="142" w:lineRule="exact"/>
              <w:rPr>
                <w:sz w:val="20"/>
                <w:szCs w:val="20"/>
                <w:color w:val="auto"/>
              </w:rPr>
            </w:pPr>
            <w:r>
              <w:rPr>
                <w:rFonts w:ascii="Arial" w:cs="Arial" w:eastAsia="Arial" w:hAnsi="Arial"/>
                <w:sz w:val="14"/>
                <w:szCs w:val="14"/>
                <w:b w:val="1"/>
                <w:bCs w:val="1"/>
                <w:color w:val="auto"/>
              </w:rPr>
              <w:t>2021</w:t>
            </w:r>
          </w:p>
        </w:tc>
        <w:tc>
          <w:tcPr>
            <w:tcW w:w="6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34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9"/>
              </w:rPr>
              <w:t>2020</w:t>
            </w:r>
          </w:p>
        </w:tc>
        <w:tc>
          <w:tcPr>
            <w:tcW w:w="60" w:type="dxa"/>
            <w:vAlign w:val="bottom"/>
            <w:tcBorders>
              <w:top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594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Stock-based compensation expenses included in:</w:t>
            </w:r>
          </w:p>
        </w:tc>
        <w:tc>
          <w:tcPr>
            <w:tcW w:w="182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400" w:type="dxa"/>
            <w:vAlign w:val="bottom"/>
            <w:tcBorders>
              <w:top w:val="single" w:sz="8" w:color="auto"/>
            </w:tcBorders>
            <w:shd w:val="clear" w:color="auto" w:fill="CCEEFF"/>
          </w:tcPr>
          <w:p>
            <w:pPr>
              <w:spacing w:after="0"/>
              <w:rPr>
                <w:sz w:val="17"/>
                <w:szCs w:val="17"/>
                <w:color w:val="auto"/>
              </w:rPr>
            </w:pPr>
          </w:p>
        </w:tc>
        <w:tc>
          <w:tcPr>
            <w:tcW w:w="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180" w:type="dxa"/>
            <w:vAlign w:val="bottom"/>
            <w:tcBorders>
              <w:top w:val="single" w:sz="8" w:color="CCEEFF"/>
            </w:tcBorders>
            <w:shd w:val="clear" w:color="auto" w:fill="CCEEFF"/>
          </w:tcPr>
          <w:p>
            <w:pPr>
              <w:spacing w:after="0"/>
              <w:rPr>
                <w:sz w:val="17"/>
                <w:szCs w:val="17"/>
                <w:color w:val="auto"/>
              </w:rPr>
            </w:pPr>
          </w:p>
        </w:tc>
        <w:tc>
          <w:tcPr>
            <w:tcW w:w="300" w:type="dxa"/>
            <w:vAlign w:val="bottom"/>
            <w:tcBorders>
              <w:top w:val="single" w:sz="8" w:color="auto"/>
              <w:right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auto"/>
              <w:right w:val="single" w:sz="8" w:color="CCEEFF"/>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360" w:type="dxa"/>
            <w:vAlign w:val="bottom"/>
            <w:tcBorders>
              <w:top w:val="single" w:sz="8" w:color="auto"/>
            </w:tcBorders>
            <w:shd w:val="clear" w:color="auto" w:fill="CCEEFF"/>
          </w:tcPr>
          <w:p>
            <w:pPr>
              <w:spacing w:after="0"/>
              <w:rPr>
                <w:sz w:val="17"/>
                <w:szCs w:val="17"/>
                <w:color w:val="auto"/>
              </w:rPr>
            </w:pPr>
          </w:p>
        </w:tc>
        <w:tc>
          <w:tcPr>
            <w:tcW w:w="260" w:type="dxa"/>
            <w:vAlign w:val="bottom"/>
            <w:tcBorders>
              <w:top w:val="single" w:sz="8" w:color="auto"/>
              <w:right w:val="single" w:sz="8" w:color="CCEEFF"/>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34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940" w:type="dxa"/>
            <w:vAlign w:val="bottom"/>
          </w:tcPr>
          <w:p>
            <w:pPr>
              <w:ind w:left="360"/>
              <w:spacing w:after="0"/>
              <w:rPr>
                <w:sz w:val="20"/>
                <w:szCs w:val="20"/>
                <w:color w:val="auto"/>
              </w:rPr>
            </w:pPr>
            <w:r>
              <w:rPr>
                <w:rFonts w:ascii="Arial" w:cs="Arial" w:eastAsia="Arial" w:hAnsi="Arial"/>
                <w:sz w:val="18"/>
                <w:szCs w:val="18"/>
                <w:color w:val="auto"/>
              </w:rPr>
              <w:t>Net revenues</w:t>
            </w:r>
          </w:p>
        </w:tc>
        <w:tc>
          <w:tcPr>
            <w:tcW w:w="2420" w:type="dxa"/>
            <w:vAlign w:val="bottom"/>
            <w:gridSpan w:val="3"/>
          </w:tcPr>
          <w:p>
            <w:pPr>
              <w:jc w:val="right"/>
              <w:ind w:right="224"/>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300" w:type="dxa"/>
            <w:vAlign w:val="bottom"/>
            <w:gridSpan w:val="3"/>
          </w:tcPr>
          <w:p>
            <w:pPr>
              <w:jc w:val="right"/>
              <w:ind w:right="10"/>
              <w:spacing w:after="0"/>
              <w:rPr>
                <w:sz w:val="20"/>
                <w:szCs w:val="20"/>
                <w:color w:val="auto"/>
              </w:rPr>
            </w:pPr>
            <w:r>
              <w:rPr>
                <w:rFonts w:ascii="Arial" w:cs="Arial" w:eastAsia="Arial" w:hAnsi="Arial"/>
                <w:sz w:val="18"/>
                <w:szCs w:val="18"/>
                <w:color w:val="auto"/>
                <w:w w:val="99"/>
              </w:rPr>
              <w:t>—</w:t>
            </w:r>
          </w:p>
        </w:tc>
        <w:tc>
          <w:tcPr>
            <w:tcW w:w="48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18"/>
                <w:szCs w:val="18"/>
                <w:color w:val="auto"/>
              </w:rPr>
            </w:pPr>
          </w:p>
        </w:tc>
        <w:tc>
          <w:tcPr>
            <w:tcW w:w="200" w:type="dxa"/>
            <w:vAlign w:val="bottom"/>
            <w:gridSpan w:val="2"/>
          </w:tcPr>
          <w:p>
            <w:pPr>
              <w:ind w:left="100"/>
              <w:spacing w:after="0"/>
              <w:rPr>
                <w:sz w:val="20"/>
                <w:szCs w:val="20"/>
                <w:color w:val="auto"/>
              </w:rPr>
            </w:pPr>
            <w:r>
              <w:rPr>
                <w:rFonts w:ascii="Arial" w:cs="Arial" w:eastAsia="Arial" w:hAnsi="Arial"/>
                <w:sz w:val="18"/>
                <w:szCs w:val="18"/>
                <w:color w:val="auto"/>
                <w:w w:val="79"/>
              </w:rPr>
              <w:t>$</w:t>
            </w:r>
          </w:p>
        </w:tc>
        <w:tc>
          <w:tcPr>
            <w:tcW w:w="680" w:type="dxa"/>
            <w:vAlign w:val="bottom"/>
            <w:gridSpan w:val="3"/>
          </w:tcPr>
          <w:p>
            <w:pPr>
              <w:jc w:val="right"/>
              <w:ind w:right="15"/>
              <w:spacing w:after="0"/>
              <w:rPr>
                <w:sz w:val="20"/>
                <w:szCs w:val="20"/>
                <w:color w:val="auto"/>
              </w:rPr>
            </w:pPr>
            <w:r>
              <w:rPr>
                <w:rFonts w:ascii="Arial" w:cs="Arial" w:eastAsia="Arial" w:hAnsi="Arial"/>
                <w:sz w:val="18"/>
                <w:szCs w:val="18"/>
                <w:color w:val="auto"/>
              </w:rPr>
              <w:t>163</w:t>
            </w:r>
          </w:p>
        </w:tc>
        <w:tc>
          <w:tcPr>
            <w:tcW w:w="200" w:type="dxa"/>
            <w:vAlign w:val="bottom"/>
            <w:gridSpan w:val="2"/>
          </w:tcPr>
          <w:p>
            <w:pPr>
              <w:ind w:left="100"/>
              <w:spacing w:after="0"/>
              <w:rPr>
                <w:sz w:val="20"/>
                <w:szCs w:val="20"/>
                <w:color w:val="auto"/>
              </w:rPr>
            </w:pPr>
            <w:r>
              <w:rPr>
                <w:rFonts w:ascii="Arial" w:cs="Arial" w:eastAsia="Arial" w:hAnsi="Arial"/>
                <w:sz w:val="18"/>
                <w:szCs w:val="18"/>
                <w:color w:val="auto"/>
                <w:w w:val="79"/>
              </w:rPr>
              <w:t>$</w:t>
            </w:r>
          </w:p>
        </w:tc>
        <w:tc>
          <w:tcPr>
            <w:tcW w:w="460" w:type="dxa"/>
            <w:vAlign w:val="bottom"/>
            <w:gridSpan w:val="3"/>
          </w:tcPr>
          <w:p>
            <w:pPr>
              <w:ind w:lef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9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Research and development</w:t>
            </w:r>
          </w:p>
        </w:tc>
        <w:tc>
          <w:tcPr>
            <w:tcW w:w="18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9"/>
              </w:rPr>
              <w:t>68</w:t>
            </w:r>
          </w:p>
        </w:tc>
        <w:tc>
          <w:tcPr>
            <w:tcW w:w="180" w:type="dxa"/>
            <w:vAlign w:val="bottom"/>
            <w:shd w:val="clear" w:color="auto" w:fill="CCEEFF"/>
          </w:tcPr>
          <w:p>
            <w:pPr>
              <w:spacing w:after="0"/>
              <w:rPr>
                <w:sz w:val="18"/>
                <w:szCs w:val="18"/>
                <w:color w:val="auto"/>
              </w:rPr>
            </w:pPr>
          </w:p>
        </w:tc>
        <w:tc>
          <w:tcPr>
            <w:tcW w:w="300" w:type="dxa"/>
            <w:vAlign w:val="bottom"/>
            <w:tcBorders>
              <w:right w:val="single" w:sz="8" w:color="CCEEFF"/>
            </w:tcBorders>
            <w:shd w:val="clear" w:color="auto" w:fill="CCEEFF"/>
          </w:tcPr>
          <w:p>
            <w:pPr>
              <w:spacing w:after="0"/>
              <w:rPr>
                <w:sz w:val="18"/>
                <w:szCs w:val="18"/>
                <w:color w:val="auto"/>
              </w:rPr>
            </w:pPr>
          </w:p>
        </w:tc>
        <w:tc>
          <w:tcPr>
            <w:tcW w:w="32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w w:val="93"/>
              </w:rPr>
              <w:t>151</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3"/>
            <w:shd w:val="clear" w:color="auto" w:fill="CCEEFF"/>
          </w:tcPr>
          <w:p>
            <w:pPr>
              <w:jc w:val="right"/>
              <w:ind w:right="15"/>
              <w:spacing w:after="0"/>
              <w:rPr>
                <w:sz w:val="20"/>
                <w:szCs w:val="20"/>
                <w:color w:val="auto"/>
              </w:rPr>
            </w:pPr>
            <w:r>
              <w:rPr>
                <w:rFonts w:ascii="Arial" w:cs="Arial" w:eastAsia="Arial" w:hAnsi="Arial"/>
                <w:sz w:val="18"/>
                <w:szCs w:val="18"/>
                <w:color w:val="auto"/>
              </w:rPr>
              <w:t>1,698</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rPr>
              <w:t>175</w:t>
            </w:r>
          </w:p>
        </w:tc>
        <w:tc>
          <w:tcPr>
            <w:tcW w:w="0" w:type="dxa"/>
            <w:vAlign w:val="bottom"/>
          </w:tcPr>
          <w:p>
            <w:pPr>
              <w:spacing w:after="0"/>
              <w:rPr>
                <w:sz w:val="1"/>
                <w:szCs w:val="1"/>
                <w:color w:val="auto"/>
              </w:rPr>
            </w:pPr>
          </w:p>
        </w:tc>
      </w:tr>
      <w:tr>
        <w:trPr>
          <w:trHeight w:val="223"/>
        </w:trPr>
        <w:tc>
          <w:tcPr>
            <w:tcW w:w="5940" w:type="dxa"/>
            <w:vAlign w:val="bottom"/>
          </w:tcPr>
          <w:p>
            <w:pPr>
              <w:ind w:left="360"/>
              <w:spacing w:after="0"/>
              <w:rPr>
                <w:sz w:val="20"/>
                <w:szCs w:val="20"/>
                <w:color w:val="auto"/>
              </w:rPr>
            </w:pPr>
            <w:r>
              <w:rPr>
                <w:rFonts w:ascii="Arial" w:cs="Arial" w:eastAsia="Arial" w:hAnsi="Arial"/>
                <w:sz w:val="18"/>
                <w:szCs w:val="18"/>
                <w:color w:val="auto"/>
              </w:rPr>
              <w:t>General and administrative</w:t>
            </w:r>
          </w:p>
        </w:tc>
        <w:tc>
          <w:tcPr>
            <w:tcW w:w="18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30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color w:val="auto"/>
                <w:w w:val="93"/>
              </w:rPr>
              <w:t>495</w:t>
            </w:r>
          </w:p>
        </w:tc>
        <w:tc>
          <w:tcPr>
            <w:tcW w:w="18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32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12</w:t>
            </w: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13,266</w:t>
            </w: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46</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940" w:type="dxa"/>
            <w:vAlign w:val="bottom"/>
            <w:shd w:val="clear" w:color="auto" w:fill="CCEEFF"/>
          </w:tcPr>
          <w:p>
            <w:pPr>
              <w:ind w:left="720"/>
              <w:spacing w:after="0"/>
              <w:rPr>
                <w:sz w:val="20"/>
                <w:szCs w:val="20"/>
                <w:color w:val="auto"/>
              </w:rPr>
            </w:pPr>
            <w:r>
              <w:rPr>
                <w:rFonts w:ascii="Arial" w:cs="Arial" w:eastAsia="Arial" w:hAnsi="Arial"/>
                <w:sz w:val="18"/>
                <w:szCs w:val="18"/>
                <w:color w:val="auto"/>
              </w:rPr>
              <w:t>Total stock-based compensation expense</w:t>
            </w:r>
          </w:p>
        </w:tc>
        <w:tc>
          <w:tcPr>
            <w:tcW w:w="2420" w:type="dxa"/>
            <w:vAlign w:val="bottom"/>
            <w:gridSpan w:val="3"/>
            <w:shd w:val="clear" w:color="auto" w:fill="CCEEFF"/>
          </w:tcPr>
          <w:p>
            <w:pPr>
              <w:jc w:val="right"/>
              <w:ind w:right="224"/>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3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w w:val="93"/>
              </w:rPr>
              <w:t>563</w:t>
            </w:r>
          </w:p>
        </w:tc>
        <w:tc>
          <w:tcPr>
            <w:tcW w:w="480" w:type="dxa"/>
            <w:vAlign w:val="bottom"/>
            <w:tcBorders>
              <w:right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32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w w:val="93"/>
              </w:rPr>
              <w:t>163</w:t>
            </w:r>
          </w:p>
        </w:tc>
        <w:tc>
          <w:tcPr>
            <w:tcW w:w="20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79"/>
              </w:rPr>
              <w:t>$</w:t>
            </w:r>
          </w:p>
        </w:tc>
        <w:tc>
          <w:tcPr>
            <w:tcW w:w="680" w:type="dxa"/>
            <w:vAlign w:val="bottom"/>
            <w:gridSpan w:val="3"/>
            <w:shd w:val="clear" w:color="auto" w:fill="CCEEFF"/>
          </w:tcPr>
          <w:p>
            <w:pPr>
              <w:jc w:val="right"/>
              <w:ind w:right="15"/>
              <w:spacing w:after="0"/>
              <w:rPr>
                <w:sz w:val="20"/>
                <w:szCs w:val="20"/>
                <w:color w:val="auto"/>
              </w:rPr>
            </w:pPr>
            <w:r>
              <w:rPr>
                <w:rFonts w:ascii="Arial" w:cs="Arial" w:eastAsia="Arial" w:hAnsi="Arial"/>
                <w:sz w:val="18"/>
                <w:szCs w:val="18"/>
                <w:color w:val="auto"/>
              </w:rPr>
              <w:t>15,127</w:t>
            </w:r>
          </w:p>
        </w:tc>
        <w:tc>
          <w:tcPr>
            <w:tcW w:w="20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79"/>
              </w:rPr>
              <w:t>$</w:t>
            </w:r>
          </w:p>
        </w:tc>
        <w:tc>
          <w:tcPr>
            <w:tcW w:w="46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rPr>
              <w:t>221</w:t>
            </w:r>
          </w:p>
        </w:tc>
        <w:tc>
          <w:tcPr>
            <w:tcW w:w="0" w:type="dxa"/>
            <w:vAlign w:val="bottom"/>
          </w:tcPr>
          <w:p>
            <w:pPr>
              <w:spacing w:after="0"/>
              <w:rPr>
                <w:sz w:val="1"/>
                <w:szCs w:val="1"/>
                <w:color w:val="auto"/>
              </w:rPr>
            </w:pPr>
          </w:p>
        </w:tc>
      </w:tr>
      <w:tr>
        <w:trPr>
          <w:trHeight w:val="20"/>
        </w:trPr>
        <w:tc>
          <w:tcPr>
            <w:tcW w:w="5940" w:type="dxa"/>
            <w:vAlign w:val="bottom"/>
            <w:vMerge w:val="restart"/>
          </w:tcPr>
          <w:p>
            <w:pPr>
              <w:spacing w:after="0"/>
              <w:rPr>
                <w:sz w:val="20"/>
                <w:szCs w:val="20"/>
                <w:color w:val="auto"/>
              </w:rPr>
            </w:pPr>
            <w:r>
              <w:rPr>
                <w:rFonts w:ascii="Arial" w:cs="Arial" w:eastAsia="Arial" w:hAnsi="Arial"/>
                <w:sz w:val="18"/>
                <w:szCs w:val="18"/>
                <w:color w:val="auto"/>
              </w:rPr>
              <w:t>Research and development includes:</w:t>
            </w:r>
          </w:p>
        </w:tc>
        <w:tc>
          <w:tcPr>
            <w:tcW w:w="18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940" w:type="dxa"/>
            <w:vAlign w:val="bottom"/>
            <w:vMerge w:val="continue"/>
          </w:tcPr>
          <w:p>
            <w:pPr>
              <w:spacing w:after="0"/>
              <w:rPr>
                <w:sz w:val="18"/>
                <w:szCs w:val="18"/>
                <w:color w:val="auto"/>
              </w:rPr>
            </w:pPr>
          </w:p>
        </w:tc>
        <w:tc>
          <w:tcPr>
            <w:tcW w:w="1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Amortization of acquisition-related intangible assets</w:t>
            </w:r>
          </w:p>
        </w:tc>
        <w:tc>
          <w:tcPr>
            <w:tcW w:w="2420" w:type="dxa"/>
            <w:vAlign w:val="bottom"/>
            <w:gridSpan w:val="3"/>
            <w:shd w:val="clear" w:color="auto" w:fill="CCEEFF"/>
          </w:tcPr>
          <w:p>
            <w:pPr>
              <w:jc w:val="right"/>
              <w:ind w:right="224"/>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9"/>
              </w:rPr>
              <w:t>86</w:t>
            </w:r>
          </w:p>
        </w:tc>
        <w:tc>
          <w:tcPr>
            <w:tcW w:w="480" w:type="dxa"/>
            <w:vAlign w:val="bottom"/>
            <w:tcBorders>
              <w:right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320" w:type="dxa"/>
            <w:vAlign w:val="bottom"/>
            <w:tcBorders>
              <w:right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84</w:t>
            </w:r>
          </w:p>
        </w:tc>
        <w:tc>
          <w:tcPr>
            <w:tcW w:w="20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79"/>
              </w:rPr>
              <w:t>$</w:t>
            </w:r>
          </w:p>
        </w:tc>
        <w:tc>
          <w:tcPr>
            <w:tcW w:w="680" w:type="dxa"/>
            <w:vAlign w:val="bottom"/>
            <w:gridSpan w:val="3"/>
            <w:shd w:val="clear" w:color="auto" w:fill="CCEEFF"/>
          </w:tcPr>
          <w:p>
            <w:pPr>
              <w:jc w:val="right"/>
              <w:ind w:right="15"/>
              <w:spacing w:after="0"/>
              <w:rPr>
                <w:sz w:val="20"/>
                <w:szCs w:val="20"/>
                <w:color w:val="auto"/>
              </w:rPr>
            </w:pPr>
            <w:r>
              <w:rPr>
                <w:rFonts w:ascii="Arial" w:cs="Arial" w:eastAsia="Arial" w:hAnsi="Arial"/>
                <w:sz w:val="18"/>
                <w:szCs w:val="18"/>
                <w:color w:val="auto"/>
              </w:rPr>
              <w:t>274</w:t>
            </w:r>
          </w:p>
        </w:tc>
        <w:tc>
          <w:tcPr>
            <w:tcW w:w="20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79"/>
              </w:rPr>
              <w:t>$</w:t>
            </w:r>
          </w:p>
        </w:tc>
        <w:tc>
          <w:tcPr>
            <w:tcW w:w="4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84</w:t>
            </w:r>
          </w:p>
        </w:tc>
        <w:tc>
          <w:tcPr>
            <w:tcW w:w="0" w:type="dxa"/>
            <w:vAlign w:val="bottom"/>
          </w:tcPr>
          <w:p>
            <w:pPr>
              <w:spacing w:after="0"/>
              <w:rPr>
                <w:sz w:val="1"/>
                <w:szCs w:val="1"/>
                <w:color w:val="auto"/>
              </w:rPr>
            </w:pPr>
          </w:p>
        </w:tc>
      </w:tr>
      <w:tr>
        <w:trPr>
          <w:trHeight w:val="20"/>
        </w:trPr>
        <w:tc>
          <w:tcPr>
            <w:tcW w:w="5940" w:type="dxa"/>
            <w:vAlign w:val="bottom"/>
            <w:vMerge w:val="restart"/>
          </w:tcPr>
          <w:p>
            <w:pPr>
              <w:spacing w:after="0"/>
              <w:rPr>
                <w:sz w:val="20"/>
                <w:szCs w:val="20"/>
                <w:color w:val="auto"/>
              </w:rPr>
            </w:pPr>
            <w:r>
              <w:rPr>
                <w:rFonts w:ascii="Arial" w:cs="Arial" w:eastAsia="Arial" w:hAnsi="Arial"/>
                <w:sz w:val="18"/>
                <w:szCs w:val="18"/>
                <w:color w:val="auto"/>
              </w:rPr>
              <w:t>Other acquisition-related expenses included in:</w:t>
            </w:r>
          </w:p>
        </w:tc>
        <w:tc>
          <w:tcPr>
            <w:tcW w:w="18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940" w:type="dxa"/>
            <w:vAlign w:val="bottom"/>
            <w:vMerge w:val="continue"/>
          </w:tcPr>
          <w:p>
            <w:pPr>
              <w:spacing w:after="0"/>
              <w:rPr>
                <w:sz w:val="18"/>
                <w:szCs w:val="18"/>
                <w:color w:val="auto"/>
              </w:rPr>
            </w:pPr>
          </w:p>
        </w:tc>
        <w:tc>
          <w:tcPr>
            <w:tcW w:w="1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Research and development</w:t>
            </w:r>
          </w:p>
        </w:tc>
        <w:tc>
          <w:tcPr>
            <w:tcW w:w="2420" w:type="dxa"/>
            <w:vAlign w:val="bottom"/>
            <w:gridSpan w:val="3"/>
            <w:shd w:val="clear" w:color="auto" w:fill="CCEEFF"/>
          </w:tcPr>
          <w:p>
            <w:pPr>
              <w:jc w:val="right"/>
              <w:ind w:right="224"/>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3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w w:val="93"/>
              </w:rPr>
              <w:t>500</w:t>
            </w:r>
          </w:p>
        </w:tc>
        <w:tc>
          <w:tcPr>
            <w:tcW w:w="480" w:type="dxa"/>
            <w:vAlign w:val="bottom"/>
            <w:tcBorders>
              <w:right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20" w:type="dxa"/>
            <w:vAlign w:val="bottom"/>
            <w:tcBorders>
              <w:right w:val="single" w:sz="8" w:color="CCEEFF"/>
            </w:tcBorders>
            <w:shd w:val="clear" w:color="auto" w:fill="CCEEFF"/>
          </w:tcPr>
          <w:p>
            <w:pPr>
              <w:spacing w:after="0"/>
              <w:rPr>
                <w:sz w:val="18"/>
                <w:szCs w:val="18"/>
                <w:color w:val="auto"/>
              </w:rPr>
            </w:pPr>
          </w:p>
        </w:tc>
        <w:tc>
          <w:tcPr>
            <w:tcW w:w="20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79"/>
              </w:rPr>
              <w:t>$</w:t>
            </w:r>
          </w:p>
        </w:tc>
        <w:tc>
          <w:tcPr>
            <w:tcW w:w="680" w:type="dxa"/>
            <w:vAlign w:val="bottom"/>
            <w:gridSpan w:val="3"/>
            <w:shd w:val="clear" w:color="auto" w:fill="CCEEFF"/>
          </w:tcPr>
          <w:p>
            <w:pPr>
              <w:jc w:val="right"/>
              <w:ind w:right="15"/>
              <w:spacing w:after="0"/>
              <w:rPr>
                <w:sz w:val="20"/>
                <w:szCs w:val="20"/>
                <w:color w:val="auto"/>
              </w:rPr>
            </w:pPr>
            <w:r>
              <w:rPr>
                <w:rFonts w:ascii="Arial" w:cs="Arial" w:eastAsia="Arial" w:hAnsi="Arial"/>
                <w:sz w:val="18"/>
                <w:szCs w:val="18"/>
                <w:color w:val="auto"/>
              </w:rPr>
              <w:t>500</w:t>
            </w:r>
          </w:p>
        </w:tc>
        <w:tc>
          <w:tcPr>
            <w:tcW w:w="20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79"/>
              </w:rPr>
              <w:t>$</w:t>
            </w:r>
          </w:p>
        </w:tc>
        <w:tc>
          <w:tcPr>
            <w:tcW w:w="46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5940" w:type="dxa"/>
            <w:vAlign w:val="bottom"/>
          </w:tcPr>
          <w:p>
            <w:pPr>
              <w:ind w:left="360"/>
              <w:spacing w:after="0"/>
              <w:rPr>
                <w:sz w:val="20"/>
                <w:szCs w:val="20"/>
                <w:color w:val="auto"/>
              </w:rPr>
            </w:pPr>
            <w:r>
              <w:rPr>
                <w:rFonts w:ascii="Arial" w:cs="Arial" w:eastAsia="Arial" w:hAnsi="Arial"/>
                <w:sz w:val="18"/>
                <w:szCs w:val="18"/>
                <w:color w:val="auto"/>
              </w:rPr>
              <w:t>General and administrative</w:t>
            </w:r>
          </w:p>
        </w:tc>
        <w:tc>
          <w:tcPr>
            <w:tcW w:w="2020" w:type="dxa"/>
            <w:vAlign w:val="bottom"/>
            <w:gridSpan w:val="2"/>
          </w:tcPr>
          <w:p>
            <w:pPr>
              <w:spacing w:after="0"/>
              <w:rPr>
                <w:sz w:val="19"/>
                <w:szCs w:val="19"/>
                <w:color w:val="auto"/>
              </w:rPr>
            </w:pPr>
          </w:p>
        </w:tc>
        <w:tc>
          <w:tcPr>
            <w:tcW w:w="720" w:type="dxa"/>
            <w:vAlign w:val="bottom"/>
            <w:tcBorders>
              <w:bottom w:val="single" w:sz="8" w:color="auto"/>
            </w:tcBorders>
            <w:gridSpan w:val="5"/>
          </w:tcPr>
          <w:p>
            <w:pPr>
              <w:jc w:val="right"/>
              <w:spacing w:after="0"/>
              <w:rPr>
                <w:sz w:val="20"/>
                <w:szCs w:val="20"/>
                <w:color w:val="auto"/>
              </w:rPr>
            </w:pPr>
            <w:r>
              <w:rPr>
                <w:rFonts w:ascii="Arial" w:cs="Arial" w:eastAsia="Arial" w:hAnsi="Arial"/>
                <w:sz w:val="18"/>
                <w:szCs w:val="18"/>
                <w:color w:val="auto"/>
              </w:rPr>
              <w:t>1,800</w:t>
            </w:r>
          </w:p>
        </w:tc>
        <w:tc>
          <w:tcPr>
            <w:tcW w:w="18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12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1,800</w:t>
            </w: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gridSpan w:val="2"/>
          </w:tcPr>
          <w:p>
            <w:pPr>
              <w:ind w:lef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940" w:type="dxa"/>
            <w:vAlign w:val="bottom"/>
            <w:shd w:val="clear" w:color="auto" w:fill="CCEEFF"/>
          </w:tcPr>
          <w:p>
            <w:pPr>
              <w:ind w:left="720"/>
              <w:spacing w:after="0"/>
              <w:rPr>
                <w:sz w:val="20"/>
                <w:szCs w:val="20"/>
                <w:color w:val="auto"/>
              </w:rPr>
            </w:pPr>
            <w:r>
              <w:rPr>
                <w:rFonts w:ascii="Arial" w:cs="Arial" w:eastAsia="Arial" w:hAnsi="Arial"/>
                <w:sz w:val="18"/>
                <w:szCs w:val="18"/>
                <w:color w:val="auto"/>
              </w:rPr>
              <w:t>Total other acquisition-related expenses</w:t>
            </w:r>
          </w:p>
        </w:tc>
        <w:tc>
          <w:tcPr>
            <w:tcW w:w="2740" w:type="dxa"/>
            <w:vAlign w:val="bottom"/>
            <w:gridSpan w:val="7"/>
            <w:shd w:val="clear" w:color="auto" w:fill="CCEEFF"/>
          </w:tcPr>
          <w:p>
            <w:pPr>
              <w:jc w:val="right"/>
              <w:spacing w:after="0"/>
              <w:rPr>
                <w:sz w:val="20"/>
                <w:szCs w:val="20"/>
                <w:color w:val="auto"/>
              </w:rPr>
            </w:pPr>
            <w:r>
              <w:rPr>
                <w:rFonts w:ascii="Arial" w:cs="Arial" w:eastAsia="Arial" w:hAnsi="Arial"/>
                <w:sz w:val="18"/>
                <w:szCs w:val="18"/>
                <w:color w:val="auto"/>
              </w:rPr>
              <w:t>$   2,300</w:t>
            </w:r>
          </w:p>
        </w:tc>
        <w:tc>
          <w:tcPr>
            <w:tcW w:w="480" w:type="dxa"/>
            <w:vAlign w:val="bottom"/>
            <w:tcBorders>
              <w:right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20" w:type="dxa"/>
            <w:vAlign w:val="bottom"/>
            <w:tcBorders>
              <w:right w:val="single" w:sz="8" w:color="CCEEFF"/>
            </w:tcBorders>
            <w:shd w:val="clear" w:color="auto" w:fill="CCEEFF"/>
          </w:tcPr>
          <w:p>
            <w:pPr>
              <w:spacing w:after="0"/>
              <w:rPr>
                <w:sz w:val="18"/>
                <w:szCs w:val="18"/>
                <w:color w:val="auto"/>
              </w:rPr>
            </w:pPr>
          </w:p>
        </w:tc>
        <w:tc>
          <w:tcPr>
            <w:tcW w:w="20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79"/>
              </w:rPr>
              <w:t>$</w:t>
            </w:r>
          </w:p>
        </w:tc>
        <w:tc>
          <w:tcPr>
            <w:tcW w:w="680" w:type="dxa"/>
            <w:vAlign w:val="bottom"/>
            <w:gridSpan w:val="3"/>
            <w:shd w:val="clear" w:color="auto" w:fill="CCEEFF"/>
          </w:tcPr>
          <w:p>
            <w:pPr>
              <w:jc w:val="right"/>
              <w:ind w:right="15"/>
              <w:spacing w:after="0"/>
              <w:rPr>
                <w:sz w:val="20"/>
                <w:szCs w:val="20"/>
                <w:color w:val="auto"/>
              </w:rPr>
            </w:pPr>
            <w:r>
              <w:rPr>
                <w:rFonts w:ascii="Arial" w:cs="Arial" w:eastAsia="Arial" w:hAnsi="Arial"/>
                <w:sz w:val="18"/>
                <w:szCs w:val="18"/>
                <w:color w:val="auto"/>
              </w:rPr>
              <w:t>2,300</w:t>
            </w:r>
          </w:p>
        </w:tc>
        <w:tc>
          <w:tcPr>
            <w:tcW w:w="20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79"/>
              </w:rPr>
              <w:t>$</w:t>
            </w:r>
          </w:p>
        </w:tc>
        <w:tc>
          <w:tcPr>
            <w:tcW w:w="46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594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020"/>
          </w:cols>
          <w:pgMar w:left="440" w:top="270" w:right="439" w:bottom="1440" w:gutter="0" w:footer="0" w:header="0"/>
        </w:sectPr>
      </w:pPr>
    </w:p>
    <w:bookmarkStart w:id="8" w:name="page9"/>
    <w:bookmarkEnd w:id="8"/>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NAVITAS SEMICONDUCTOR LIMITED</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RECONCILIATION OF NON-GAAP FINANCIAL MEASURES TO GAAP RESULTS</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(in thousands, except per-share amounts)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8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40" w:type="dxa"/>
            <w:vAlign w:val="bottom"/>
            <w:gridSpan w:val="5"/>
          </w:tcPr>
          <w:p>
            <w:pPr>
              <w:jc w:val="right"/>
              <w:ind w:right="400"/>
              <w:spacing w:after="0"/>
              <w:rPr>
                <w:sz w:val="20"/>
                <w:szCs w:val="20"/>
                <w:color w:val="auto"/>
              </w:rPr>
            </w:pPr>
            <w:r>
              <w:rPr>
                <w:rFonts w:ascii="Arial" w:cs="Arial" w:eastAsia="Arial" w:hAnsi="Arial"/>
                <w:sz w:val="14"/>
                <w:szCs w:val="14"/>
                <w:b w:val="1"/>
                <w:bCs w:val="1"/>
                <w:color w:val="auto"/>
                <w:w w:val="95"/>
              </w:rPr>
              <w:t>Three Months Ended</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20" w:type="dxa"/>
            <w:vAlign w:val="bottom"/>
            <w:gridSpan w:val="6"/>
          </w:tcPr>
          <w:p>
            <w:pPr>
              <w:jc w:val="right"/>
              <w:ind w:right="440"/>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71"/>
        </w:trPr>
        <w:tc>
          <w:tcPr>
            <w:tcW w:w="68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40" w:type="dxa"/>
            <w:vAlign w:val="bottom"/>
            <w:gridSpan w:val="5"/>
          </w:tcPr>
          <w:p>
            <w:pPr>
              <w:jc w:val="right"/>
              <w:ind w:right="620"/>
              <w:spacing w:after="0"/>
              <w:rPr>
                <w:sz w:val="20"/>
                <w:szCs w:val="20"/>
                <w:color w:val="auto"/>
              </w:rPr>
            </w:pPr>
            <w:r>
              <w:rPr>
                <w:rFonts w:ascii="Arial" w:cs="Arial" w:eastAsia="Arial" w:hAnsi="Arial"/>
                <w:sz w:val="14"/>
                <w:szCs w:val="14"/>
                <w:b w:val="1"/>
                <w:bCs w:val="1"/>
                <w:color w:val="auto"/>
              </w:rPr>
              <w:t>September 30,</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20" w:type="dxa"/>
            <w:vAlign w:val="bottom"/>
            <w:gridSpan w:val="6"/>
          </w:tcPr>
          <w:p>
            <w:pPr>
              <w:jc w:val="right"/>
              <w:ind w:right="620"/>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142"/>
        </w:trPr>
        <w:tc>
          <w:tcPr>
            <w:tcW w:w="6840" w:type="dxa"/>
            <w:vAlign w:val="bottom"/>
            <w:tcBorders>
              <w:bottom w:val="single" w:sz="8" w:color="CCEEFF"/>
            </w:tcBorders>
          </w:tcPr>
          <w:p>
            <w:pPr>
              <w:spacing w:after="0"/>
              <w:rPr>
                <w:sz w:val="12"/>
                <w:szCs w:val="12"/>
                <w:color w:val="auto"/>
              </w:rPr>
            </w:pPr>
          </w:p>
        </w:tc>
        <w:tc>
          <w:tcPr>
            <w:tcW w:w="30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72"/>
              <w:spacing w:after="0" w:line="142" w:lineRule="exact"/>
              <w:rPr>
                <w:sz w:val="20"/>
                <w:szCs w:val="20"/>
                <w:color w:val="auto"/>
              </w:rPr>
            </w:pPr>
            <w:r>
              <w:rPr>
                <w:rFonts w:ascii="Arial" w:cs="Arial" w:eastAsia="Arial" w:hAnsi="Arial"/>
                <w:sz w:val="14"/>
                <w:szCs w:val="14"/>
                <w:b w:val="1"/>
                <w:bCs w:val="1"/>
                <w:color w:val="auto"/>
              </w:rPr>
              <w:t>2021</w:t>
            </w:r>
          </w:p>
        </w:tc>
        <w:tc>
          <w:tcPr>
            <w:tcW w:w="38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00" w:type="dxa"/>
            <w:vAlign w:val="bottom"/>
            <w:tcBorders>
              <w:top w:val="single" w:sz="8" w:color="auto"/>
              <w:bottom w:val="single" w:sz="8" w:color="auto"/>
            </w:tcBorders>
          </w:tcPr>
          <w:p>
            <w:pPr>
              <w:jc w:val="right"/>
              <w:ind w:right="71"/>
              <w:spacing w:after="0" w:line="142" w:lineRule="exact"/>
              <w:rPr>
                <w:sz w:val="20"/>
                <w:szCs w:val="20"/>
                <w:color w:val="auto"/>
              </w:rPr>
            </w:pPr>
            <w:r>
              <w:rPr>
                <w:rFonts w:ascii="Arial" w:cs="Arial" w:eastAsia="Arial" w:hAnsi="Arial"/>
                <w:sz w:val="14"/>
                <w:szCs w:val="14"/>
                <w:b w:val="1"/>
                <w:bCs w:val="1"/>
                <w:color w:val="auto"/>
              </w:rPr>
              <w:t>2020</w:t>
            </w:r>
          </w:p>
        </w:tc>
        <w:tc>
          <w:tcPr>
            <w:tcW w:w="260" w:type="dxa"/>
            <w:vAlign w:val="bottom"/>
            <w:tcBorders>
              <w:bottom w:val="single" w:sz="8" w:color="CCEEFF"/>
            </w:tcBorders>
          </w:tcPr>
          <w:p>
            <w:pPr>
              <w:spacing w:after="0"/>
              <w:rPr>
                <w:sz w:val="12"/>
                <w:szCs w:val="12"/>
                <w:color w:val="auto"/>
              </w:rPr>
            </w:pPr>
          </w:p>
        </w:tc>
        <w:tc>
          <w:tcPr>
            <w:tcW w:w="120" w:type="dxa"/>
            <w:vAlign w:val="bottom"/>
            <w:tcBorders>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60" w:type="dxa"/>
            <w:vAlign w:val="bottom"/>
            <w:tcBorders>
              <w:top w:val="single" w:sz="8" w:color="auto"/>
              <w:bottom w:val="single" w:sz="8" w:color="auto"/>
            </w:tcBorders>
          </w:tcPr>
          <w:p>
            <w:pPr>
              <w:ind w:left="100"/>
              <w:spacing w:after="0" w:line="142" w:lineRule="exact"/>
              <w:rPr>
                <w:sz w:val="20"/>
                <w:szCs w:val="20"/>
                <w:color w:val="auto"/>
              </w:rPr>
            </w:pPr>
            <w:r>
              <w:rPr>
                <w:rFonts w:ascii="Arial" w:cs="Arial" w:eastAsia="Arial" w:hAnsi="Arial"/>
                <w:sz w:val="14"/>
                <w:szCs w:val="14"/>
                <w:b w:val="1"/>
                <w:bCs w:val="1"/>
                <w:color w:val="auto"/>
              </w:rPr>
              <w:t>2021</w:t>
            </w:r>
          </w:p>
        </w:tc>
        <w:tc>
          <w:tcPr>
            <w:tcW w:w="280" w:type="dxa"/>
            <w:vAlign w:val="bottom"/>
            <w:tcBorders>
              <w:top w:val="single" w:sz="8" w:color="auto"/>
              <w:bottom w:val="single" w:sz="8" w:color="CCEEFF"/>
            </w:tcBorders>
          </w:tcPr>
          <w:p>
            <w:pPr>
              <w:spacing w:after="0"/>
              <w:rPr>
                <w:sz w:val="12"/>
                <w:szCs w:val="12"/>
                <w:color w:val="auto"/>
              </w:rPr>
            </w:pPr>
          </w:p>
        </w:tc>
        <w:tc>
          <w:tcPr>
            <w:tcW w:w="12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540" w:type="dxa"/>
            <w:vAlign w:val="bottom"/>
            <w:tcBorders>
              <w:top w:val="single" w:sz="8" w:color="auto"/>
              <w:bottom w:val="single" w:sz="8" w:color="auto"/>
            </w:tcBorders>
          </w:tcPr>
          <w:p>
            <w:pPr>
              <w:jc w:val="right"/>
              <w:ind w:right="91"/>
              <w:spacing w:after="0" w:line="142" w:lineRule="exact"/>
              <w:rPr>
                <w:sz w:val="20"/>
                <w:szCs w:val="20"/>
                <w:color w:val="auto"/>
              </w:rPr>
            </w:pPr>
            <w:r>
              <w:rPr>
                <w:rFonts w:ascii="Arial" w:cs="Arial" w:eastAsia="Arial" w:hAnsi="Arial"/>
                <w:sz w:val="14"/>
                <w:szCs w:val="14"/>
                <w:b w:val="1"/>
                <w:bCs w:val="1"/>
                <w:color w:val="auto"/>
              </w:rPr>
              <w:t>2020</w:t>
            </w:r>
          </w:p>
        </w:tc>
        <w:tc>
          <w:tcPr>
            <w:tcW w:w="22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684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RECONCILIATION OF LOSS FROM OPERATIONS</w:t>
            </w:r>
          </w:p>
        </w:tc>
        <w:tc>
          <w:tcPr>
            <w:tcW w:w="3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840" w:type="dxa"/>
            <w:vAlign w:val="bottom"/>
          </w:tcPr>
          <w:p>
            <w:pPr>
              <w:ind w:left="360"/>
              <w:spacing w:after="0"/>
              <w:rPr>
                <w:sz w:val="20"/>
                <w:szCs w:val="20"/>
                <w:color w:val="auto"/>
              </w:rPr>
            </w:pPr>
            <w:r>
              <w:rPr>
                <w:rFonts w:ascii="Arial" w:cs="Arial" w:eastAsia="Arial" w:hAnsi="Arial"/>
                <w:sz w:val="18"/>
                <w:szCs w:val="18"/>
                <w:color w:val="auto"/>
              </w:rPr>
              <w:t>GAAP loss from operations</w:t>
            </w:r>
          </w:p>
        </w:tc>
        <w:tc>
          <w:tcPr>
            <w:tcW w:w="4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320"/>
              <w:spacing w:after="0"/>
              <w:rPr>
                <w:sz w:val="20"/>
                <w:szCs w:val="20"/>
                <w:color w:val="auto"/>
              </w:rPr>
            </w:pPr>
            <w:r>
              <w:rPr>
                <w:rFonts w:ascii="Arial" w:cs="Arial" w:eastAsia="Arial" w:hAnsi="Arial"/>
                <w:sz w:val="18"/>
                <w:szCs w:val="18"/>
                <w:color w:val="auto"/>
                <w:w w:val="94"/>
              </w:rPr>
              <w:t>(9,417)</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tcPr>
          <w:p>
            <w:pPr>
              <w:jc w:val="right"/>
              <w:ind w:right="200"/>
              <w:spacing w:after="0"/>
              <w:rPr>
                <w:sz w:val="20"/>
                <w:szCs w:val="20"/>
                <w:color w:val="auto"/>
              </w:rPr>
            </w:pPr>
            <w:r>
              <w:rPr>
                <w:rFonts w:ascii="Arial" w:cs="Arial" w:eastAsia="Arial" w:hAnsi="Arial"/>
                <w:sz w:val="18"/>
                <w:szCs w:val="18"/>
                <w:color w:val="auto"/>
                <w:w w:val="94"/>
              </w:rPr>
              <w:t>(3,987)</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w w:val="92"/>
              </w:rPr>
              <w:t>(35,264)</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w w:val="86"/>
              </w:rPr>
              <w:t>(11,597)</w:t>
            </w:r>
          </w:p>
        </w:tc>
        <w:tc>
          <w:tcPr>
            <w:tcW w:w="0" w:type="dxa"/>
            <w:vAlign w:val="bottom"/>
          </w:tcPr>
          <w:p>
            <w:pPr>
              <w:spacing w:after="0"/>
              <w:rPr>
                <w:sz w:val="1"/>
                <w:szCs w:val="1"/>
                <w:color w:val="auto"/>
              </w:rPr>
            </w:pPr>
          </w:p>
        </w:tc>
      </w:tr>
      <w:tr>
        <w:trPr>
          <w:trHeight w:val="216"/>
        </w:trPr>
        <w:tc>
          <w:tcPr>
            <w:tcW w:w="6840" w:type="dxa"/>
            <w:vAlign w:val="bottom"/>
            <w:shd w:val="clear" w:color="auto" w:fill="CCEEFF"/>
          </w:tcPr>
          <w:p>
            <w:pPr>
              <w:ind w:left="720"/>
              <w:spacing w:after="0"/>
              <w:rPr>
                <w:sz w:val="20"/>
                <w:szCs w:val="20"/>
                <w:color w:val="auto"/>
              </w:rPr>
            </w:pPr>
            <w:r>
              <w:rPr>
                <w:rFonts w:ascii="Arial" w:cs="Arial" w:eastAsia="Arial" w:hAnsi="Arial"/>
                <w:sz w:val="18"/>
                <w:szCs w:val="18"/>
                <w:i w:val="1"/>
                <w:iCs w:val="1"/>
                <w:color w:val="auto"/>
              </w:rPr>
              <w:t>GAAP operating margin</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i w:val="1"/>
                <w:iCs w:val="1"/>
                <w:color w:val="auto"/>
              </w:rPr>
              <w:t>-167%</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i w:val="1"/>
                <w:iCs w:val="1"/>
                <w:color w:val="auto"/>
              </w:rPr>
              <w:t>-114%</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i w:val="1"/>
                <w:iCs w:val="1"/>
                <w:color w:val="auto"/>
              </w:rPr>
              <w:t>-215%</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i w:val="1"/>
                <w:iCs w:val="1"/>
                <w:color w:val="auto"/>
              </w:rPr>
              <w:t>-161%</w:t>
            </w:r>
          </w:p>
        </w:tc>
        <w:tc>
          <w:tcPr>
            <w:tcW w:w="0" w:type="dxa"/>
            <w:vAlign w:val="bottom"/>
          </w:tcPr>
          <w:p>
            <w:pPr>
              <w:spacing w:after="0"/>
              <w:rPr>
                <w:sz w:val="1"/>
                <w:szCs w:val="1"/>
                <w:color w:val="auto"/>
              </w:rPr>
            </w:pPr>
          </w:p>
        </w:tc>
      </w:tr>
      <w:tr>
        <w:trPr>
          <w:trHeight w:val="216"/>
        </w:trPr>
        <w:tc>
          <w:tcPr>
            <w:tcW w:w="6840" w:type="dxa"/>
            <w:vAlign w:val="bottom"/>
          </w:tcPr>
          <w:p>
            <w:pPr>
              <w:ind w:left="360"/>
              <w:spacing w:after="0"/>
              <w:rPr>
                <w:sz w:val="20"/>
                <w:szCs w:val="20"/>
                <w:color w:val="auto"/>
              </w:rPr>
            </w:pPr>
            <w:r>
              <w:rPr>
                <w:rFonts w:ascii="Arial" w:cs="Arial" w:eastAsia="Arial" w:hAnsi="Arial"/>
                <w:sz w:val="18"/>
                <w:szCs w:val="18"/>
                <w:color w:val="auto"/>
              </w:rPr>
              <w:t>Add: Stock-based compensation expenses included in:</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40" w:type="dxa"/>
            <w:vAlign w:val="bottom"/>
            <w:shd w:val="clear" w:color="auto" w:fill="CCEEFF"/>
          </w:tcPr>
          <w:p>
            <w:pPr>
              <w:ind w:left="720"/>
              <w:spacing w:after="0"/>
              <w:rPr>
                <w:sz w:val="20"/>
                <w:szCs w:val="20"/>
                <w:color w:val="auto"/>
              </w:rPr>
            </w:pPr>
            <w:r>
              <w:rPr>
                <w:rFonts w:ascii="Arial" w:cs="Arial" w:eastAsia="Arial" w:hAnsi="Arial"/>
                <w:sz w:val="18"/>
                <w:szCs w:val="18"/>
                <w:color w:val="auto"/>
              </w:rPr>
              <w:t>Net revenues</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163</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840" w:type="dxa"/>
            <w:vAlign w:val="bottom"/>
          </w:tcPr>
          <w:p>
            <w:pPr>
              <w:ind w:left="720"/>
              <w:spacing w:after="0"/>
              <w:rPr>
                <w:sz w:val="20"/>
                <w:szCs w:val="20"/>
                <w:color w:val="auto"/>
              </w:rPr>
            </w:pPr>
            <w:r>
              <w:rPr>
                <w:rFonts w:ascii="Arial" w:cs="Arial" w:eastAsia="Arial" w:hAnsi="Arial"/>
                <w:sz w:val="18"/>
                <w:szCs w:val="18"/>
                <w:color w:val="auto"/>
              </w:rPr>
              <w:t>Research and development</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380"/>
              <w:spacing w:after="0"/>
              <w:rPr>
                <w:sz w:val="20"/>
                <w:szCs w:val="20"/>
                <w:color w:val="auto"/>
              </w:rPr>
            </w:pPr>
            <w:r>
              <w:rPr>
                <w:rFonts w:ascii="Arial" w:cs="Arial" w:eastAsia="Arial" w:hAnsi="Arial"/>
                <w:sz w:val="18"/>
                <w:szCs w:val="18"/>
                <w:color w:val="auto"/>
              </w:rPr>
              <w:t>68</w:t>
            </w:r>
          </w:p>
        </w:tc>
        <w:tc>
          <w:tcPr>
            <w:tcW w:w="100" w:type="dxa"/>
            <w:vAlign w:val="bottom"/>
          </w:tcPr>
          <w:p>
            <w:pPr>
              <w:spacing w:after="0"/>
              <w:rPr>
                <w:sz w:val="18"/>
                <w:szCs w:val="18"/>
                <w:color w:val="auto"/>
              </w:rPr>
            </w:pPr>
          </w:p>
        </w:tc>
        <w:tc>
          <w:tcPr>
            <w:tcW w:w="760" w:type="dxa"/>
            <w:vAlign w:val="bottom"/>
            <w:gridSpan w:val="2"/>
          </w:tcPr>
          <w:p>
            <w:pPr>
              <w:jc w:val="right"/>
              <w:ind w:right="260"/>
              <w:spacing w:after="0"/>
              <w:rPr>
                <w:sz w:val="20"/>
                <w:szCs w:val="20"/>
                <w:color w:val="auto"/>
              </w:rPr>
            </w:pPr>
            <w:r>
              <w:rPr>
                <w:rFonts w:ascii="Arial" w:cs="Arial" w:eastAsia="Arial" w:hAnsi="Arial"/>
                <w:sz w:val="18"/>
                <w:szCs w:val="18"/>
                <w:color w:val="auto"/>
              </w:rPr>
              <w:t>151</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8"/>
                <w:szCs w:val="18"/>
                <w:color w:val="auto"/>
              </w:rPr>
              <w:t>1,698</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8"/>
                <w:szCs w:val="18"/>
                <w:color w:val="auto"/>
              </w:rPr>
              <w:t>175</w:t>
            </w:r>
          </w:p>
        </w:tc>
        <w:tc>
          <w:tcPr>
            <w:tcW w:w="0" w:type="dxa"/>
            <w:vAlign w:val="bottom"/>
          </w:tcPr>
          <w:p>
            <w:pPr>
              <w:spacing w:after="0"/>
              <w:rPr>
                <w:sz w:val="1"/>
                <w:szCs w:val="1"/>
                <w:color w:val="auto"/>
              </w:rPr>
            </w:pPr>
          </w:p>
        </w:tc>
      </w:tr>
      <w:tr>
        <w:trPr>
          <w:trHeight w:val="216"/>
        </w:trPr>
        <w:tc>
          <w:tcPr>
            <w:tcW w:w="6840" w:type="dxa"/>
            <w:vAlign w:val="bottom"/>
            <w:shd w:val="clear" w:color="auto" w:fill="CCEEFF"/>
          </w:tcPr>
          <w:p>
            <w:pPr>
              <w:ind w:left="720"/>
              <w:spacing w:after="0"/>
              <w:rPr>
                <w:sz w:val="20"/>
                <w:szCs w:val="20"/>
                <w:color w:val="auto"/>
              </w:rPr>
            </w:pPr>
            <w:r>
              <w:rPr>
                <w:rFonts w:ascii="Arial" w:cs="Arial" w:eastAsia="Arial" w:hAnsi="Arial"/>
                <w:sz w:val="18"/>
                <w:szCs w:val="18"/>
                <w:color w:val="auto"/>
              </w:rPr>
              <w:t>General and administrative</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495</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12</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13,266</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46</w:t>
            </w:r>
          </w:p>
        </w:tc>
        <w:tc>
          <w:tcPr>
            <w:tcW w:w="0" w:type="dxa"/>
            <w:vAlign w:val="bottom"/>
          </w:tcPr>
          <w:p>
            <w:pPr>
              <w:spacing w:after="0"/>
              <w:rPr>
                <w:sz w:val="1"/>
                <w:szCs w:val="1"/>
                <w:color w:val="auto"/>
              </w:rPr>
            </w:pPr>
          </w:p>
        </w:tc>
      </w:tr>
      <w:tr>
        <w:trPr>
          <w:trHeight w:val="230"/>
        </w:trPr>
        <w:tc>
          <w:tcPr>
            <w:tcW w:w="6840" w:type="dxa"/>
            <w:vAlign w:val="bottom"/>
          </w:tcPr>
          <w:p>
            <w:pPr>
              <w:ind w:left="1080"/>
              <w:spacing w:after="0"/>
              <w:rPr>
                <w:sz w:val="20"/>
                <w:szCs w:val="20"/>
                <w:color w:val="auto"/>
              </w:rPr>
            </w:pPr>
            <w:r>
              <w:rPr>
                <w:rFonts w:ascii="Arial" w:cs="Arial" w:eastAsia="Arial" w:hAnsi="Arial"/>
                <w:sz w:val="18"/>
                <w:szCs w:val="18"/>
                <w:color w:val="auto"/>
              </w:rPr>
              <w:t>Total</w:t>
            </w:r>
          </w:p>
        </w:tc>
        <w:tc>
          <w:tcPr>
            <w:tcW w:w="30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563</w:t>
            </w:r>
          </w:p>
        </w:tc>
        <w:tc>
          <w:tcPr>
            <w:tcW w:w="38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163</w:t>
            </w:r>
          </w:p>
        </w:tc>
        <w:tc>
          <w:tcPr>
            <w:tcW w:w="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560" w:type="dxa"/>
            <w:vAlign w:val="bottom"/>
            <w:tcBorders>
              <w:top w:val="single" w:sz="8" w:color="auto"/>
              <w:bottom w:val="single" w:sz="8" w:color="auto"/>
            </w:tcBorders>
          </w:tcPr>
          <w:p>
            <w:pPr>
              <w:ind w:left="80"/>
              <w:spacing w:after="0"/>
              <w:rPr>
                <w:sz w:val="20"/>
                <w:szCs w:val="20"/>
                <w:color w:val="auto"/>
              </w:rPr>
            </w:pPr>
            <w:r>
              <w:rPr>
                <w:rFonts w:ascii="Arial" w:cs="Arial" w:eastAsia="Arial" w:hAnsi="Arial"/>
                <w:sz w:val="18"/>
                <w:szCs w:val="18"/>
                <w:color w:val="auto"/>
                <w:w w:val="83"/>
              </w:rPr>
              <w:t>15,127</w:t>
            </w: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540" w:type="dxa"/>
            <w:vAlign w:val="bottom"/>
            <w:tcBorders>
              <w:top w:val="single" w:sz="8" w:color="auto"/>
              <w:bottom w:val="single" w:sz="8" w:color="auto"/>
            </w:tcBorders>
          </w:tcPr>
          <w:p>
            <w:pPr>
              <w:ind w:left="280"/>
              <w:spacing w:after="0"/>
              <w:rPr>
                <w:sz w:val="20"/>
                <w:szCs w:val="20"/>
                <w:color w:val="auto"/>
              </w:rPr>
            </w:pPr>
            <w:r>
              <w:rPr>
                <w:rFonts w:ascii="Arial" w:cs="Arial" w:eastAsia="Arial" w:hAnsi="Arial"/>
                <w:sz w:val="18"/>
                <w:szCs w:val="18"/>
                <w:color w:val="auto"/>
                <w:w w:val="79"/>
              </w:rPr>
              <w:t>221</w:t>
            </w: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6840" w:type="dxa"/>
            <w:vAlign w:val="bottom"/>
            <w:shd w:val="clear" w:color="auto" w:fill="CCEEFF"/>
          </w:tcPr>
          <w:p>
            <w:pPr>
              <w:ind w:left="720"/>
              <w:spacing w:after="0"/>
              <w:rPr>
                <w:sz w:val="20"/>
                <w:szCs w:val="20"/>
                <w:color w:val="auto"/>
              </w:rPr>
            </w:pPr>
            <w:r>
              <w:rPr>
                <w:rFonts w:ascii="Arial" w:cs="Arial" w:eastAsia="Arial" w:hAnsi="Arial"/>
                <w:sz w:val="18"/>
                <w:szCs w:val="18"/>
                <w:color w:val="auto"/>
              </w:rPr>
              <w:t>Other acquisition-related expenses</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2,300</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2,300</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840" w:type="dxa"/>
            <w:vAlign w:val="bottom"/>
          </w:tcPr>
          <w:p>
            <w:pPr>
              <w:ind w:left="720"/>
              <w:spacing w:after="0"/>
              <w:rPr>
                <w:sz w:val="20"/>
                <w:szCs w:val="20"/>
                <w:color w:val="auto"/>
              </w:rPr>
            </w:pPr>
            <w:r>
              <w:rPr>
                <w:rFonts w:ascii="Arial" w:cs="Arial" w:eastAsia="Arial" w:hAnsi="Arial"/>
                <w:sz w:val="18"/>
                <w:szCs w:val="18"/>
                <w:color w:val="auto"/>
              </w:rPr>
              <w:t>Amortization of acquisition-related intangible assets</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86</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84</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8"/>
                <w:szCs w:val="18"/>
                <w:color w:val="auto"/>
              </w:rPr>
              <w:t>274</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8"/>
                <w:szCs w:val="18"/>
                <w:color w:val="auto"/>
              </w:rPr>
              <w:t>84</w:t>
            </w:r>
          </w:p>
        </w:tc>
        <w:tc>
          <w:tcPr>
            <w:tcW w:w="0" w:type="dxa"/>
            <w:vAlign w:val="bottom"/>
          </w:tcPr>
          <w:p>
            <w:pPr>
              <w:spacing w:after="0"/>
              <w:rPr>
                <w:sz w:val="1"/>
                <w:szCs w:val="1"/>
                <w:color w:val="auto"/>
              </w:rPr>
            </w:pPr>
          </w:p>
        </w:tc>
      </w:tr>
      <w:tr>
        <w:trPr>
          <w:trHeight w:val="27"/>
        </w:trPr>
        <w:tc>
          <w:tcPr>
            <w:tcW w:w="68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68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Non-GAAP loss from operations</w:t>
            </w:r>
          </w:p>
        </w:tc>
        <w:tc>
          <w:tcPr>
            <w:tcW w:w="4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94"/>
              </w:rPr>
              <w:t>(6,468)</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4"/>
              </w:rPr>
              <w:t>(3,740)</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2"/>
              </w:rPr>
              <w:t>(17,563)</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86"/>
              </w:rPr>
              <w:t>(11,292)</w:t>
            </w:r>
          </w:p>
        </w:tc>
        <w:tc>
          <w:tcPr>
            <w:tcW w:w="0" w:type="dxa"/>
            <w:vAlign w:val="bottom"/>
          </w:tcPr>
          <w:p>
            <w:pPr>
              <w:spacing w:after="0"/>
              <w:rPr>
                <w:sz w:val="1"/>
                <w:szCs w:val="1"/>
                <w:color w:val="auto"/>
              </w:rPr>
            </w:pPr>
          </w:p>
        </w:tc>
      </w:tr>
      <w:tr>
        <w:trPr>
          <w:trHeight w:val="216"/>
        </w:trPr>
        <w:tc>
          <w:tcPr>
            <w:tcW w:w="6840" w:type="dxa"/>
            <w:vAlign w:val="bottom"/>
          </w:tcPr>
          <w:p>
            <w:pPr>
              <w:ind w:left="720"/>
              <w:spacing w:after="0"/>
              <w:rPr>
                <w:sz w:val="20"/>
                <w:szCs w:val="20"/>
                <w:color w:val="auto"/>
              </w:rPr>
            </w:pPr>
            <w:r>
              <w:rPr>
                <w:rFonts w:ascii="Arial" w:cs="Arial" w:eastAsia="Arial" w:hAnsi="Arial"/>
                <w:sz w:val="18"/>
                <w:szCs w:val="18"/>
                <w:i w:val="1"/>
                <w:iCs w:val="1"/>
                <w:color w:val="auto"/>
              </w:rPr>
              <w:t>Non-GAAP operating margin</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8"/>
                <w:szCs w:val="18"/>
                <w:i w:val="1"/>
                <w:iCs w:val="1"/>
                <w:color w:val="auto"/>
              </w:rPr>
              <w:t>-115%</w:t>
            </w:r>
          </w:p>
        </w:tc>
        <w:tc>
          <w:tcPr>
            <w:tcW w:w="100" w:type="dxa"/>
            <w:vAlign w:val="bottom"/>
          </w:tcPr>
          <w:p>
            <w:pPr>
              <w:spacing w:after="0"/>
              <w:rPr>
                <w:sz w:val="18"/>
                <w:szCs w:val="18"/>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8"/>
                <w:szCs w:val="18"/>
                <w:i w:val="1"/>
                <w:iCs w:val="1"/>
                <w:color w:val="auto"/>
              </w:rPr>
              <w:t>-107%</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120"/>
              <w:spacing w:after="0"/>
              <w:rPr>
                <w:sz w:val="20"/>
                <w:szCs w:val="20"/>
                <w:color w:val="auto"/>
              </w:rPr>
            </w:pPr>
            <w:r>
              <w:rPr>
                <w:rFonts w:ascii="Arial" w:cs="Arial" w:eastAsia="Arial" w:hAnsi="Arial"/>
                <w:sz w:val="18"/>
                <w:szCs w:val="18"/>
                <w:i w:val="1"/>
                <w:iCs w:val="1"/>
                <w:color w:val="auto"/>
              </w:rPr>
              <w:t>-107%</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8"/>
                <w:szCs w:val="18"/>
                <w:i w:val="1"/>
                <w:iCs w:val="1"/>
                <w:color w:val="auto"/>
              </w:rPr>
              <w:t>-157%</w:t>
            </w:r>
          </w:p>
        </w:tc>
        <w:tc>
          <w:tcPr>
            <w:tcW w:w="0" w:type="dxa"/>
            <w:vAlign w:val="bottom"/>
          </w:tcPr>
          <w:p>
            <w:pPr>
              <w:spacing w:after="0"/>
              <w:rPr>
                <w:sz w:val="1"/>
                <w:szCs w:val="1"/>
                <w:color w:val="auto"/>
              </w:rPr>
            </w:pPr>
          </w:p>
        </w:tc>
      </w:tr>
      <w:tr>
        <w:trPr>
          <w:trHeight w:val="216"/>
        </w:trPr>
        <w:tc>
          <w:tcPr>
            <w:tcW w:w="68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RECONCILIATION OF NET LOSS PER SHARE</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40" w:type="dxa"/>
            <w:vAlign w:val="bottom"/>
          </w:tcPr>
          <w:p>
            <w:pPr>
              <w:ind w:left="360"/>
              <w:spacing w:after="0"/>
              <w:rPr>
                <w:sz w:val="20"/>
                <w:szCs w:val="20"/>
                <w:color w:val="auto"/>
              </w:rPr>
            </w:pPr>
            <w:r>
              <w:rPr>
                <w:rFonts w:ascii="Arial" w:cs="Arial" w:eastAsia="Arial" w:hAnsi="Arial"/>
                <w:sz w:val="18"/>
                <w:szCs w:val="18"/>
                <w:color w:val="auto"/>
              </w:rPr>
              <w:t>GAAP net loss</w:t>
            </w:r>
          </w:p>
        </w:tc>
        <w:tc>
          <w:tcPr>
            <w:tcW w:w="4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320"/>
              <w:spacing w:after="0"/>
              <w:rPr>
                <w:sz w:val="20"/>
                <w:szCs w:val="20"/>
                <w:color w:val="auto"/>
              </w:rPr>
            </w:pPr>
            <w:r>
              <w:rPr>
                <w:rFonts w:ascii="Arial" w:cs="Arial" w:eastAsia="Arial" w:hAnsi="Arial"/>
                <w:sz w:val="18"/>
                <w:szCs w:val="18"/>
                <w:color w:val="auto"/>
                <w:w w:val="94"/>
              </w:rPr>
              <w:t>(9,505)</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tcPr>
          <w:p>
            <w:pPr>
              <w:jc w:val="right"/>
              <w:ind w:right="200"/>
              <w:spacing w:after="0"/>
              <w:rPr>
                <w:sz w:val="20"/>
                <w:szCs w:val="20"/>
                <w:color w:val="auto"/>
              </w:rPr>
            </w:pPr>
            <w:r>
              <w:rPr>
                <w:rFonts w:ascii="Arial" w:cs="Arial" w:eastAsia="Arial" w:hAnsi="Arial"/>
                <w:sz w:val="18"/>
                <w:szCs w:val="18"/>
                <w:color w:val="auto"/>
                <w:w w:val="94"/>
              </w:rPr>
              <w:t>(4,050)</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w w:val="92"/>
              </w:rPr>
              <w:t>(35,500)</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w w:val="86"/>
              </w:rPr>
              <w:t>(11,775)</w:t>
            </w:r>
          </w:p>
        </w:tc>
        <w:tc>
          <w:tcPr>
            <w:tcW w:w="0" w:type="dxa"/>
            <w:vAlign w:val="bottom"/>
          </w:tcPr>
          <w:p>
            <w:pPr>
              <w:spacing w:after="0"/>
              <w:rPr>
                <w:sz w:val="1"/>
                <w:szCs w:val="1"/>
                <w:color w:val="auto"/>
              </w:rPr>
            </w:pPr>
          </w:p>
        </w:tc>
      </w:tr>
      <w:tr>
        <w:trPr>
          <w:trHeight w:val="216"/>
        </w:trPr>
        <w:tc>
          <w:tcPr>
            <w:tcW w:w="68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Adjustments to GAAP net loss</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40" w:type="dxa"/>
            <w:vAlign w:val="bottom"/>
          </w:tcPr>
          <w:p>
            <w:pPr>
              <w:ind w:left="720"/>
              <w:spacing w:after="0"/>
              <w:rPr>
                <w:sz w:val="20"/>
                <w:szCs w:val="20"/>
                <w:color w:val="auto"/>
              </w:rPr>
            </w:pPr>
            <w:r>
              <w:rPr>
                <w:rFonts w:ascii="Arial" w:cs="Arial" w:eastAsia="Arial" w:hAnsi="Arial"/>
                <w:sz w:val="18"/>
                <w:szCs w:val="18"/>
                <w:color w:val="auto"/>
              </w:rPr>
              <w:t>Total stock-based compensation</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380"/>
              <w:spacing w:after="0"/>
              <w:rPr>
                <w:sz w:val="20"/>
                <w:szCs w:val="20"/>
                <w:color w:val="auto"/>
              </w:rPr>
            </w:pPr>
            <w:r>
              <w:rPr>
                <w:rFonts w:ascii="Arial" w:cs="Arial" w:eastAsia="Arial" w:hAnsi="Arial"/>
                <w:sz w:val="18"/>
                <w:szCs w:val="18"/>
                <w:color w:val="auto"/>
              </w:rPr>
              <w:t>563</w:t>
            </w:r>
          </w:p>
        </w:tc>
        <w:tc>
          <w:tcPr>
            <w:tcW w:w="100" w:type="dxa"/>
            <w:vAlign w:val="bottom"/>
          </w:tcPr>
          <w:p>
            <w:pPr>
              <w:spacing w:after="0"/>
              <w:rPr>
                <w:sz w:val="18"/>
                <w:szCs w:val="18"/>
                <w:color w:val="auto"/>
              </w:rPr>
            </w:pPr>
          </w:p>
        </w:tc>
        <w:tc>
          <w:tcPr>
            <w:tcW w:w="760" w:type="dxa"/>
            <w:vAlign w:val="bottom"/>
            <w:gridSpan w:val="2"/>
          </w:tcPr>
          <w:p>
            <w:pPr>
              <w:jc w:val="right"/>
              <w:ind w:right="260"/>
              <w:spacing w:after="0"/>
              <w:rPr>
                <w:sz w:val="20"/>
                <w:szCs w:val="20"/>
                <w:color w:val="auto"/>
              </w:rPr>
            </w:pPr>
            <w:r>
              <w:rPr>
                <w:rFonts w:ascii="Arial" w:cs="Arial" w:eastAsia="Arial" w:hAnsi="Arial"/>
                <w:sz w:val="18"/>
                <w:szCs w:val="18"/>
                <w:color w:val="auto"/>
              </w:rPr>
              <w:t>163</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8"/>
                <w:szCs w:val="18"/>
                <w:color w:val="auto"/>
              </w:rPr>
              <w:t>15,127</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8"/>
                <w:szCs w:val="18"/>
                <w:color w:val="auto"/>
              </w:rPr>
              <w:t>221</w:t>
            </w:r>
          </w:p>
        </w:tc>
        <w:tc>
          <w:tcPr>
            <w:tcW w:w="0" w:type="dxa"/>
            <w:vAlign w:val="bottom"/>
          </w:tcPr>
          <w:p>
            <w:pPr>
              <w:spacing w:after="0"/>
              <w:rPr>
                <w:sz w:val="1"/>
                <w:szCs w:val="1"/>
                <w:color w:val="auto"/>
              </w:rPr>
            </w:pPr>
          </w:p>
        </w:tc>
      </w:tr>
      <w:tr>
        <w:trPr>
          <w:trHeight w:val="216"/>
        </w:trPr>
        <w:tc>
          <w:tcPr>
            <w:tcW w:w="6840" w:type="dxa"/>
            <w:vAlign w:val="bottom"/>
            <w:shd w:val="clear" w:color="auto" w:fill="CCEEFF"/>
          </w:tcPr>
          <w:p>
            <w:pPr>
              <w:ind w:left="720"/>
              <w:spacing w:after="0"/>
              <w:rPr>
                <w:sz w:val="20"/>
                <w:szCs w:val="20"/>
                <w:color w:val="auto"/>
              </w:rPr>
            </w:pPr>
            <w:r>
              <w:rPr>
                <w:rFonts w:ascii="Arial" w:cs="Arial" w:eastAsia="Arial" w:hAnsi="Arial"/>
                <w:sz w:val="18"/>
                <w:szCs w:val="18"/>
                <w:color w:val="auto"/>
              </w:rPr>
              <w:t>Amortization of acquisition-related intangible assets</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86</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84</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274</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84</w:t>
            </w:r>
          </w:p>
        </w:tc>
        <w:tc>
          <w:tcPr>
            <w:tcW w:w="0" w:type="dxa"/>
            <w:vAlign w:val="bottom"/>
          </w:tcPr>
          <w:p>
            <w:pPr>
              <w:spacing w:after="0"/>
              <w:rPr>
                <w:sz w:val="1"/>
                <w:szCs w:val="1"/>
                <w:color w:val="auto"/>
              </w:rPr>
            </w:pPr>
          </w:p>
        </w:tc>
      </w:tr>
      <w:tr>
        <w:trPr>
          <w:trHeight w:val="216"/>
        </w:trPr>
        <w:tc>
          <w:tcPr>
            <w:tcW w:w="6840" w:type="dxa"/>
            <w:vAlign w:val="bottom"/>
          </w:tcPr>
          <w:p>
            <w:pPr>
              <w:ind w:left="720"/>
              <w:spacing w:after="0"/>
              <w:rPr>
                <w:sz w:val="20"/>
                <w:szCs w:val="20"/>
                <w:color w:val="auto"/>
              </w:rPr>
            </w:pPr>
            <w:r>
              <w:rPr>
                <w:rFonts w:ascii="Arial" w:cs="Arial" w:eastAsia="Arial" w:hAnsi="Arial"/>
                <w:sz w:val="18"/>
                <w:szCs w:val="18"/>
                <w:color w:val="auto"/>
              </w:rPr>
              <w:t>Other acquisition-related expenses</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2,300</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8"/>
                <w:szCs w:val="18"/>
                <w:color w:val="auto"/>
              </w:rPr>
              <w:t>2,300</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ind w:left="2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8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68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Non-GAAP net loss</w:t>
            </w:r>
          </w:p>
        </w:tc>
        <w:tc>
          <w:tcPr>
            <w:tcW w:w="4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94"/>
              </w:rPr>
              <w:t>(6,556)</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4"/>
              </w:rPr>
              <w:t>(3,803)</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2"/>
              </w:rPr>
              <w:t>(17,799)</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86"/>
              </w:rPr>
              <w:t>(11,470)</w:t>
            </w:r>
          </w:p>
        </w:tc>
        <w:tc>
          <w:tcPr>
            <w:tcW w:w="0" w:type="dxa"/>
            <w:vAlign w:val="bottom"/>
          </w:tcPr>
          <w:p>
            <w:pPr>
              <w:spacing w:after="0"/>
              <w:rPr>
                <w:sz w:val="1"/>
                <w:szCs w:val="1"/>
                <w:color w:val="auto"/>
              </w:rPr>
            </w:pPr>
          </w:p>
        </w:tc>
      </w:tr>
      <w:tr>
        <w:trPr>
          <w:trHeight w:val="202"/>
        </w:trPr>
        <w:tc>
          <w:tcPr>
            <w:tcW w:w="6840" w:type="dxa"/>
            <w:vAlign w:val="bottom"/>
          </w:tcPr>
          <w:p>
            <w:pPr>
              <w:ind w:left="360"/>
              <w:spacing w:after="0" w:line="201" w:lineRule="exact"/>
              <w:rPr>
                <w:sz w:val="20"/>
                <w:szCs w:val="20"/>
                <w:color w:val="auto"/>
              </w:rPr>
            </w:pPr>
            <w:r>
              <w:rPr>
                <w:rFonts w:ascii="Arial" w:cs="Arial" w:eastAsia="Arial" w:hAnsi="Arial"/>
                <w:sz w:val="18"/>
                <w:szCs w:val="18"/>
                <w:color w:val="auto"/>
                <w:w w:val="93"/>
              </w:rPr>
              <w:t>Average shares outstanding for calculation of non-GAAP net loss per share (basic and</w:t>
            </w:r>
          </w:p>
        </w:tc>
        <w:tc>
          <w:tcPr>
            <w:tcW w:w="3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840" w:type="dxa"/>
            <w:vAlign w:val="bottom"/>
          </w:tcPr>
          <w:p>
            <w:pPr>
              <w:ind w:left="540"/>
              <w:spacing w:after="0"/>
              <w:rPr>
                <w:sz w:val="20"/>
                <w:szCs w:val="20"/>
                <w:color w:val="auto"/>
              </w:rPr>
            </w:pPr>
            <w:r>
              <w:rPr>
                <w:rFonts w:ascii="Arial" w:cs="Arial" w:eastAsia="Arial" w:hAnsi="Arial"/>
                <w:sz w:val="18"/>
                <w:szCs w:val="18"/>
                <w:color w:val="auto"/>
              </w:rPr>
              <w:t>diluted)</w:t>
            </w: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80" w:type="dxa"/>
            <w:vAlign w:val="bottom"/>
            <w:gridSpan w:val="2"/>
          </w:tcPr>
          <w:p>
            <w:pPr>
              <w:jc w:val="right"/>
              <w:ind w:right="380"/>
              <w:spacing w:after="0"/>
              <w:rPr>
                <w:sz w:val="20"/>
                <w:szCs w:val="20"/>
                <w:color w:val="auto"/>
              </w:rPr>
            </w:pPr>
            <w:r>
              <w:rPr>
                <w:rFonts w:ascii="Arial" w:cs="Arial" w:eastAsia="Arial" w:hAnsi="Arial"/>
                <w:sz w:val="18"/>
                <w:szCs w:val="18"/>
                <w:color w:val="auto"/>
                <w:w w:val="87"/>
              </w:rPr>
              <w:t>16,726</w:t>
            </w:r>
          </w:p>
        </w:tc>
        <w:tc>
          <w:tcPr>
            <w:tcW w:w="100" w:type="dxa"/>
            <w:vAlign w:val="bottom"/>
          </w:tcPr>
          <w:p>
            <w:pPr>
              <w:spacing w:after="0"/>
              <w:rPr>
                <w:sz w:val="20"/>
                <w:szCs w:val="20"/>
                <w:color w:val="auto"/>
              </w:rPr>
            </w:pPr>
          </w:p>
        </w:tc>
        <w:tc>
          <w:tcPr>
            <w:tcW w:w="760" w:type="dxa"/>
            <w:vAlign w:val="bottom"/>
            <w:gridSpan w:val="2"/>
          </w:tcPr>
          <w:p>
            <w:pPr>
              <w:jc w:val="right"/>
              <w:ind w:right="260"/>
              <w:spacing w:after="0"/>
              <w:rPr>
                <w:sz w:val="20"/>
                <w:szCs w:val="20"/>
                <w:color w:val="auto"/>
              </w:rPr>
            </w:pPr>
            <w:r>
              <w:rPr>
                <w:rFonts w:ascii="Arial" w:cs="Arial" w:eastAsia="Arial" w:hAnsi="Arial"/>
                <w:sz w:val="18"/>
                <w:szCs w:val="18"/>
                <w:color w:val="auto"/>
                <w:w w:val="87"/>
              </w:rPr>
              <w:t>14,841</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8"/>
                <w:szCs w:val="18"/>
                <w:color w:val="auto"/>
              </w:rPr>
              <w:t>17,949</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8"/>
                <w:szCs w:val="18"/>
                <w:color w:val="auto"/>
                <w:w w:val="94"/>
              </w:rPr>
              <w:t>14,827</w:t>
            </w:r>
          </w:p>
        </w:tc>
        <w:tc>
          <w:tcPr>
            <w:tcW w:w="0" w:type="dxa"/>
            <w:vAlign w:val="bottom"/>
          </w:tcPr>
          <w:p>
            <w:pPr>
              <w:spacing w:after="0"/>
              <w:rPr>
                <w:sz w:val="1"/>
                <w:szCs w:val="1"/>
                <w:color w:val="auto"/>
              </w:rPr>
            </w:pPr>
          </w:p>
        </w:tc>
      </w:tr>
      <w:tr>
        <w:trPr>
          <w:trHeight w:val="216"/>
        </w:trPr>
        <w:tc>
          <w:tcPr>
            <w:tcW w:w="68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Non-GAAP net loss per share</w:t>
            </w:r>
          </w:p>
        </w:tc>
        <w:tc>
          <w:tcPr>
            <w:tcW w:w="4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(0.39)</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(0.26)</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(0.99)</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(0.77)</w:t>
            </w:r>
          </w:p>
        </w:tc>
        <w:tc>
          <w:tcPr>
            <w:tcW w:w="0" w:type="dxa"/>
            <w:vAlign w:val="bottom"/>
          </w:tcPr>
          <w:p>
            <w:pPr>
              <w:spacing w:after="0"/>
              <w:rPr>
                <w:sz w:val="1"/>
                <w:szCs w:val="1"/>
                <w:color w:val="auto"/>
              </w:rPr>
            </w:pPr>
          </w:p>
        </w:tc>
      </w:tr>
      <w:tr>
        <w:trPr>
          <w:trHeight w:val="20"/>
        </w:trPr>
        <w:tc>
          <w:tcPr>
            <w:tcW w:w="6840" w:type="dxa"/>
            <w:vAlign w:val="bottom"/>
            <w:vMerge w:val="restart"/>
          </w:tcPr>
          <w:p>
            <w:pPr>
              <w:spacing w:after="0"/>
              <w:rPr>
                <w:sz w:val="20"/>
                <w:szCs w:val="20"/>
                <w:color w:val="auto"/>
              </w:rPr>
            </w:pPr>
            <w:r>
              <w:rPr>
                <w:rFonts w:ascii="Arial" w:cs="Arial" w:eastAsia="Arial" w:hAnsi="Arial"/>
                <w:sz w:val="18"/>
                <w:szCs w:val="18"/>
                <w:b w:val="1"/>
                <w:bCs w:val="1"/>
                <w:color w:val="auto"/>
              </w:rPr>
              <w:t>RECONCILIATION OF GROSS PROFIT MARGIN</w:t>
            </w: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84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GAAP gross profit</w:t>
            </w:r>
          </w:p>
        </w:tc>
        <w:tc>
          <w:tcPr>
            <w:tcW w:w="4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2,599</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1,316</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7,436</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2,169</w:t>
            </w:r>
          </w:p>
        </w:tc>
        <w:tc>
          <w:tcPr>
            <w:tcW w:w="0" w:type="dxa"/>
            <w:vAlign w:val="bottom"/>
          </w:tcPr>
          <w:p>
            <w:pPr>
              <w:spacing w:after="0"/>
              <w:rPr>
                <w:sz w:val="1"/>
                <w:szCs w:val="1"/>
                <w:color w:val="auto"/>
              </w:rPr>
            </w:pPr>
          </w:p>
        </w:tc>
      </w:tr>
      <w:tr>
        <w:trPr>
          <w:trHeight w:val="216"/>
        </w:trPr>
        <w:tc>
          <w:tcPr>
            <w:tcW w:w="6840" w:type="dxa"/>
            <w:vAlign w:val="bottom"/>
          </w:tcPr>
          <w:p>
            <w:pPr>
              <w:ind w:left="720"/>
              <w:spacing w:after="0"/>
              <w:rPr>
                <w:sz w:val="20"/>
                <w:szCs w:val="20"/>
                <w:color w:val="auto"/>
              </w:rPr>
            </w:pPr>
            <w:r>
              <w:rPr>
                <w:rFonts w:ascii="Arial" w:cs="Arial" w:eastAsia="Arial" w:hAnsi="Arial"/>
                <w:sz w:val="18"/>
                <w:szCs w:val="18"/>
                <w:i w:val="1"/>
                <w:iCs w:val="1"/>
                <w:color w:val="auto"/>
              </w:rPr>
              <w:t>GAAP gross profit margin</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8"/>
                <w:szCs w:val="18"/>
                <w:i w:val="1"/>
                <w:iCs w:val="1"/>
                <w:color w:val="auto"/>
              </w:rPr>
              <w:t>46.2%</w:t>
            </w:r>
          </w:p>
        </w:tc>
        <w:tc>
          <w:tcPr>
            <w:tcW w:w="100" w:type="dxa"/>
            <w:vAlign w:val="bottom"/>
          </w:tcPr>
          <w:p>
            <w:pPr>
              <w:spacing w:after="0"/>
              <w:rPr>
                <w:sz w:val="18"/>
                <w:szCs w:val="18"/>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8"/>
                <w:szCs w:val="18"/>
                <w:i w:val="1"/>
                <w:iCs w:val="1"/>
                <w:color w:val="auto"/>
              </w:rPr>
              <w:t>37.6%</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120"/>
              <w:spacing w:after="0"/>
              <w:rPr>
                <w:sz w:val="20"/>
                <w:szCs w:val="20"/>
                <w:color w:val="auto"/>
              </w:rPr>
            </w:pPr>
            <w:r>
              <w:rPr>
                <w:rFonts w:ascii="Arial" w:cs="Arial" w:eastAsia="Arial" w:hAnsi="Arial"/>
                <w:sz w:val="18"/>
                <w:szCs w:val="18"/>
                <w:i w:val="1"/>
                <w:iCs w:val="1"/>
                <w:color w:val="auto"/>
              </w:rPr>
              <w:t>45.3%</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8"/>
                <w:szCs w:val="18"/>
                <w:i w:val="1"/>
                <w:iCs w:val="1"/>
                <w:color w:val="auto"/>
              </w:rPr>
              <w:t>30.1%</w:t>
            </w:r>
          </w:p>
        </w:tc>
        <w:tc>
          <w:tcPr>
            <w:tcW w:w="0" w:type="dxa"/>
            <w:vAlign w:val="bottom"/>
          </w:tcPr>
          <w:p>
            <w:pPr>
              <w:spacing w:after="0"/>
              <w:rPr>
                <w:sz w:val="1"/>
                <w:szCs w:val="1"/>
                <w:color w:val="auto"/>
              </w:rPr>
            </w:pPr>
          </w:p>
        </w:tc>
      </w:tr>
      <w:tr>
        <w:trPr>
          <w:trHeight w:val="216"/>
        </w:trPr>
        <w:tc>
          <w:tcPr>
            <w:tcW w:w="68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Stock-based compensation expense included in net revenues</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163</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840" w:type="dxa"/>
            <w:vAlign w:val="bottom"/>
          </w:tcPr>
          <w:p>
            <w:pPr>
              <w:ind w:left="360"/>
              <w:spacing w:after="0"/>
              <w:rPr>
                <w:sz w:val="20"/>
                <w:szCs w:val="20"/>
                <w:color w:val="auto"/>
              </w:rPr>
            </w:pPr>
            <w:r>
              <w:rPr>
                <w:rFonts w:ascii="Arial" w:cs="Arial" w:eastAsia="Arial" w:hAnsi="Arial"/>
                <w:sz w:val="18"/>
                <w:szCs w:val="18"/>
                <w:color w:val="auto"/>
              </w:rPr>
              <w:t>Non-GAAP gross profit</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2,599</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1,316</w:t>
            </w: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8"/>
                <w:szCs w:val="18"/>
                <w:color w:val="auto"/>
              </w:rPr>
              <w:t>7,599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8"/>
                <w:szCs w:val="18"/>
                <w:color w:val="auto"/>
              </w:rPr>
              <w:t>2,169</w:t>
            </w:r>
          </w:p>
        </w:tc>
        <w:tc>
          <w:tcPr>
            <w:tcW w:w="0" w:type="dxa"/>
            <w:vAlign w:val="bottom"/>
          </w:tcPr>
          <w:p>
            <w:pPr>
              <w:spacing w:after="0"/>
              <w:rPr>
                <w:sz w:val="1"/>
                <w:szCs w:val="1"/>
                <w:color w:val="auto"/>
              </w:rPr>
            </w:pPr>
          </w:p>
        </w:tc>
      </w:tr>
      <w:tr>
        <w:trPr>
          <w:trHeight w:val="27"/>
        </w:trPr>
        <w:tc>
          <w:tcPr>
            <w:tcW w:w="68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6840" w:type="dxa"/>
            <w:vAlign w:val="bottom"/>
            <w:shd w:val="clear" w:color="auto" w:fill="CCEEFF"/>
          </w:tcPr>
          <w:p>
            <w:pPr>
              <w:ind w:left="720"/>
              <w:spacing w:after="0"/>
              <w:rPr>
                <w:sz w:val="20"/>
                <w:szCs w:val="20"/>
                <w:color w:val="auto"/>
              </w:rPr>
            </w:pPr>
            <w:r>
              <w:rPr>
                <w:rFonts w:ascii="Arial" w:cs="Arial" w:eastAsia="Arial" w:hAnsi="Arial"/>
                <w:sz w:val="18"/>
                <w:szCs w:val="18"/>
                <w:i w:val="1"/>
                <w:iCs w:val="1"/>
                <w:color w:val="auto"/>
              </w:rPr>
              <w:t>Non-GAAP gross profit margin</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i w:val="1"/>
                <w:iCs w:val="1"/>
                <w:color w:val="auto"/>
              </w:rPr>
              <w:t>46.2%</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i w:val="1"/>
                <w:iCs w:val="1"/>
                <w:color w:val="auto"/>
              </w:rPr>
              <w:t>37.6%</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i w:val="1"/>
                <w:iCs w:val="1"/>
                <w:color w:val="auto"/>
              </w:rPr>
              <w:t>45.9%</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i w:val="1"/>
                <w:iCs w:val="1"/>
                <w:color w:val="auto"/>
              </w:rPr>
              <w:t>30.1%</w:t>
            </w:r>
          </w:p>
        </w:tc>
        <w:tc>
          <w:tcPr>
            <w:tcW w:w="0" w:type="dxa"/>
            <w:vAlign w:val="bottom"/>
          </w:tcPr>
          <w:p>
            <w:pPr>
              <w:spacing w:after="0"/>
              <w:rPr>
                <w:sz w:val="1"/>
                <w:szCs w:val="1"/>
                <w:color w:val="auto"/>
              </w:rPr>
            </w:pPr>
          </w:p>
        </w:tc>
      </w:tr>
    </w:tbl>
    <w:p>
      <w:pPr>
        <w:sectPr>
          <w:pgSz w:w="11900" w:h="16838" w:orient="portrait"/>
          <w:cols w:equalWidth="0" w:num="1">
            <w:col w:w="11020"/>
          </w:cols>
          <w:pgMar w:left="440" w:top="270" w:right="439" w:bottom="1440" w:gutter="0" w:footer="0" w:header="0"/>
        </w:sectPr>
      </w:pPr>
    </w:p>
    <w:bookmarkStart w:id="9" w:name="page10"/>
    <w:bookmarkEnd w:id="9"/>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NAVITAS SEMICONDUCTOR LIMITED</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(in thousands)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780" w:type="dxa"/>
            <w:vAlign w:val="bottom"/>
          </w:tcPr>
          <w:p>
            <w:pPr>
              <w:spacing w:after="0"/>
              <w:rPr>
                <w:sz w:val="14"/>
                <w:szCs w:val="14"/>
                <w:color w:val="auto"/>
              </w:rPr>
            </w:pPr>
          </w:p>
        </w:tc>
        <w:tc>
          <w:tcPr>
            <w:tcW w:w="1280" w:type="dxa"/>
            <w:vAlign w:val="bottom"/>
            <w:gridSpan w:val="4"/>
          </w:tcPr>
          <w:p>
            <w:pPr>
              <w:ind w:left="60"/>
              <w:spacing w:after="0"/>
              <w:rPr>
                <w:sz w:val="20"/>
                <w:szCs w:val="20"/>
                <w:color w:val="auto"/>
              </w:rPr>
            </w:pPr>
            <w:r>
              <w:rPr>
                <w:rFonts w:ascii="Arial" w:cs="Arial" w:eastAsia="Arial" w:hAnsi="Arial"/>
                <w:sz w:val="14"/>
                <w:szCs w:val="14"/>
                <w:b w:val="1"/>
                <w:bCs w:val="1"/>
                <w:color w:val="auto"/>
              </w:rPr>
              <w:t>(Unaudited)</w:t>
            </w:r>
          </w:p>
        </w:tc>
        <w:tc>
          <w:tcPr>
            <w:tcW w:w="9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48"/>
        </w:trPr>
        <w:tc>
          <w:tcPr>
            <w:tcW w:w="8780" w:type="dxa"/>
            <w:vAlign w:val="bottom"/>
          </w:tcPr>
          <w:p>
            <w:pPr>
              <w:spacing w:after="0"/>
              <w:rPr>
                <w:sz w:val="12"/>
                <w:szCs w:val="12"/>
                <w:color w:val="auto"/>
              </w:rPr>
            </w:pPr>
          </w:p>
        </w:tc>
        <w:tc>
          <w:tcPr>
            <w:tcW w:w="1280" w:type="dxa"/>
            <w:vAlign w:val="bottom"/>
            <w:gridSpan w:val="4"/>
          </w:tcPr>
          <w:p>
            <w:pPr>
              <w:spacing w:after="0" w:line="149" w:lineRule="exact"/>
              <w:rPr>
                <w:sz w:val="20"/>
                <w:szCs w:val="20"/>
                <w:color w:val="auto"/>
              </w:rPr>
            </w:pPr>
            <w:r>
              <w:rPr>
                <w:rFonts w:ascii="Arial" w:cs="Arial" w:eastAsia="Arial" w:hAnsi="Arial"/>
                <w:sz w:val="14"/>
                <w:szCs w:val="14"/>
                <w:b w:val="1"/>
                <w:bCs w:val="1"/>
                <w:color w:val="auto"/>
              </w:rPr>
              <w:t>September 30,</w:t>
            </w:r>
          </w:p>
        </w:tc>
        <w:tc>
          <w:tcPr>
            <w:tcW w:w="96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878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91"/>
              <w:spacing w:after="0"/>
              <w:rPr>
                <w:sz w:val="20"/>
                <w:szCs w:val="20"/>
                <w:color w:val="auto"/>
              </w:rPr>
            </w:pPr>
            <w:r>
              <w:rPr>
                <w:rFonts w:ascii="Arial" w:cs="Arial" w:eastAsia="Arial" w:hAnsi="Arial"/>
                <w:sz w:val="14"/>
                <w:szCs w:val="14"/>
                <w:b w:val="1"/>
                <w:bCs w:val="1"/>
                <w:color w:val="auto"/>
              </w:rPr>
              <w:t>2021</w:t>
            </w:r>
          </w:p>
        </w:tc>
        <w:tc>
          <w:tcPr>
            <w:tcW w:w="20" w:type="dxa"/>
            <w:vAlign w:val="bottom"/>
            <w:tcBorders>
              <w:bottom w:val="single" w:sz="8" w:color="CCEEFF"/>
            </w:tcBorders>
          </w:tcPr>
          <w:p>
            <w:pPr>
              <w:spacing w:after="0"/>
              <w:rPr>
                <w:sz w:val="14"/>
                <w:szCs w:val="14"/>
                <w:color w:val="auto"/>
              </w:rPr>
            </w:pPr>
          </w:p>
        </w:tc>
        <w:tc>
          <w:tcPr>
            <w:tcW w:w="40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191"/>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878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ASSETS</w:t>
            </w:r>
          </w:p>
        </w:tc>
        <w:tc>
          <w:tcPr>
            <w:tcW w:w="1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780" w:type="dxa"/>
            <w:vAlign w:val="bottom"/>
          </w:tcPr>
          <w:p>
            <w:pPr>
              <w:ind w:left="360"/>
              <w:spacing w:after="0"/>
              <w:rPr>
                <w:sz w:val="20"/>
                <w:szCs w:val="20"/>
                <w:color w:val="auto"/>
              </w:rPr>
            </w:pPr>
            <w:r>
              <w:rPr>
                <w:rFonts w:ascii="Arial" w:cs="Arial" w:eastAsia="Arial" w:hAnsi="Arial"/>
                <w:sz w:val="18"/>
                <w:szCs w:val="18"/>
                <w:color w:val="auto"/>
              </w:rPr>
              <w:t>CURRENT ASSETS:</w:t>
            </w: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780" w:type="dxa"/>
            <w:vAlign w:val="bottom"/>
            <w:shd w:val="clear" w:color="auto" w:fill="CCEEFF"/>
          </w:tcPr>
          <w:p>
            <w:pPr>
              <w:ind w:left="720"/>
              <w:spacing w:after="0"/>
              <w:rPr>
                <w:sz w:val="20"/>
                <w:szCs w:val="20"/>
                <w:color w:val="auto"/>
              </w:rPr>
            </w:pPr>
            <w:r>
              <w:rPr>
                <w:rFonts w:ascii="Arial" w:cs="Arial" w:eastAsia="Arial" w:hAnsi="Arial"/>
                <w:sz w:val="18"/>
                <w:szCs w:val="18"/>
                <w:color w:val="auto"/>
              </w:rPr>
              <w:t>Cash and cash equivalents</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11,075</w:t>
            </w: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38,869</w:t>
            </w:r>
          </w:p>
        </w:tc>
        <w:tc>
          <w:tcPr>
            <w:tcW w:w="0" w:type="dxa"/>
            <w:vAlign w:val="bottom"/>
          </w:tcPr>
          <w:p>
            <w:pPr>
              <w:spacing w:after="0"/>
              <w:rPr>
                <w:sz w:val="1"/>
                <w:szCs w:val="1"/>
                <w:color w:val="auto"/>
              </w:rPr>
            </w:pPr>
          </w:p>
        </w:tc>
      </w:tr>
      <w:tr>
        <w:trPr>
          <w:trHeight w:val="216"/>
        </w:trPr>
        <w:tc>
          <w:tcPr>
            <w:tcW w:w="8780" w:type="dxa"/>
            <w:vAlign w:val="bottom"/>
          </w:tcPr>
          <w:p>
            <w:pPr>
              <w:ind w:left="720"/>
              <w:spacing w:after="0"/>
              <w:rPr>
                <w:sz w:val="20"/>
                <w:szCs w:val="20"/>
                <w:color w:val="auto"/>
              </w:rPr>
            </w:pPr>
            <w:r>
              <w:rPr>
                <w:rFonts w:ascii="Arial" w:cs="Arial" w:eastAsia="Arial" w:hAnsi="Arial"/>
                <w:sz w:val="18"/>
                <w:szCs w:val="18"/>
                <w:color w:val="auto"/>
              </w:rPr>
              <w:t>Accounts receivable, net</w:t>
            </w:r>
          </w:p>
        </w:tc>
        <w:tc>
          <w:tcPr>
            <w:tcW w:w="160" w:type="dxa"/>
            <w:vAlign w:val="bottom"/>
          </w:tcPr>
          <w:p>
            <w:pPr>
              <w:spacing w:after="0"/>
              <w:rPr>
                <w:sz w:val="18"/>
                <w:szCs w:val="18"/>
                <w:color w:val="auto"/>
              </w:rPr>
            </w:pPr>
          </w:p>
        </w:tc>
        <w:tc>
          <w:tcPr>
            <w:tcW w:w="720" w:type="dxa"/>
            <w:vAlign w:val="bottom"/>
            <w:gridSpan w:val="2"/>
          </w:tcPr>
          <w:p>
            <w:pPr>
              <w:jc w:val="right"/>
              <w:ind w:right="20"/>
              <w:spacing w:after="0"/>
              <w:rPr>
                <w:sz w:val="20"/>
                <w:szCs w:val="20"/>
                <w:color w:val="auto"/>
              </w:rPr>
            </w:pPr>
            <w:r>
              <w:rPr>
                <w:rFonts w:ascii="Arial" w:cs="Arial" w:eastAsia="Arial" w:hAnsi="Arial"/>
                <w:sz w:val="18"/>
                <w:szCs w:val="18"/>
                <w:color w:val="auto"/>
              </w:rPr>
              <w:t>5,570</w:t>
            </w: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4,152</w:t>
            </w:r>
          </w:p>
        </w:tc>
        <w:tc>
          <w:tcPr>
            <w:tcW w:w="0" w:type="dxa"/>
            <w:vAlign w:val="bottom"/>
          </w:tcPr>
          <w:p>
            <w:pPr>
              <w:spacing w:after="0"/>
              <w:rPr>
                <w:sz w:val="1"/>
                <w:szCs w:val="1"/>
                <w:color w:val="auto"/>
              </w:rPr>
            </w:pPr>
          </w:p>
        </w:tc>
      </w:tr>
      <w:tr>
        <w:trPr>
          <w:trHeight w:val="216"/>
        </w:trPr>
        <w:tc>
          <w:tcPr>
            <w:tcW w:w="8780" w:type="dxa"/>
            <w:vAlign w:val="bottom"/>
            <w:shd w:val="clear" w:color="auto" w:fill="CCEEFF"/>
          </w:tcPr>
          <w:p>
            <w:pPr>
              <w:ind w:left="720"/>
              <w:spacing w:after="0"/>
              <w:rPr>
                <w:sz w:val="20"/>
                <w:szCs w:val="20"/>
                <w:color w:val="auto"/>
              </w:rPr>
            </w:pPr>
            <w:r>
              <w:rPr>
                <w:rFonts w:ascii="Arial" w:cs="Arial" w:eastAsia="Arial" w:hAnsi="Arial"/>
                <w:sz w:val="18"/>
                <w:szCs w:val="18"/>
                <w:color w:val="auto"/>
              </w:rPr>
              <w:t>Inventories</w:t>
            </w: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11,719</w:t>
            </w: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3,404</w:t>
            </w:r>
          </w:p>
        </w:tc>
        <w:tc>
          <w:tcPr>
            <w:tcW w:w="0" w:type="dxa"/>
            <w:vAlign w:val="bottom"/>
          </w:tcPr>
          <w:p>
            <w:pPr>
              <w:spacing w:after="0"/>
              <w:rPr>
                <w:sz w:val="1"/>
                <w:szCs w:val="1"/>
                <w:color w:val="auto"/>
              </w:rPr>
            </w:pPr>
          </w:p>
        </w:tc>
      </w:tr>
      <w:tr>
        <w:trPr>
          <w:trHeight w:val="216"/>
        </w:trPr>
        <w:tc>
          <w:tcPr>
            <w:tcW w:w="8780" w:type="dxa"/>
            <w:vAlign w:val="bottom"/>
          </w:tcPr>
          <w:p>
            <w:pPr>
              <w:ind w:left="720"/>
              <w:spacing w:after="0"/>
              <w:rPr>
                <w:sz w:val="20"/>
                <w:szCs w:val="20"/>
                <w:color w:val="auto"/>
              </w:rPr>
            </w:pPr>
            <w:r>
              <w:rPr>
                <w:rFonts w:ascii="Arial" w:cs="Arial" w:eastAsia="Arial" w:hAnsi="Arial"/>
                <w:sz w:val="18"/>
                <w:szCs w:val="18"/>
                <w:color w:val="auto"/>
              </w:rPr>
              <w:t>Prepaid expenses and other current assets</w:t>
            </w: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4,737</w:t>
            </w: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522</w:t>
            </w:r>
          </w:p>
        </w:tc>
        <w:tc>
          <w:tcPr>
            <w:tcW w:w="0" w:type="dxa"/>
            <w:vAlign w:val="bottom"/>
          </w:tcPr>
          <w:p>
            <w:pPr>
              <w:spacing w:after="0"/>
              <w:rPr>
                <w:sz w:val="1"/>
                <w:szCs w:val="1"/>
                <w:color w:val="auto"/>
              </w:rPr>
            </w:pPr>
          </w:p>
        </w:tc>
      </w:tr>
      <w:tr>
        <w:trPr>
          <w:trHeight w:val="27"/>
        </w:trPr>
        <w:tc>
          <w:tcPr>
            <w:tcW w:w="87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8780" w:type="dxa"/>
            <w:vAlign w:val="bottom"/>
            <w:shd w:val="clear" w:color="auto" w:fill="CCEEFF"/>
          </w:tcPr>
          <w:p>
            <w:pPr>
              <w:ind w:left="720"/>
              <w:spacing w:after="0"/>
              <w:rPr>
                <w:sz w:val="20"/>
                <w:szCs w:val="20"/>
                <w:color w:val="auto"/>
              </w:rPr>
            </w:pPr>
            <w:r>
              <w:rPr>
                <w:rFonts w:ascii="Arial" w:cs="Arial" w:eastAsia="Arial" w:hAnsi="Arial"/>
                <w:sz w:val="18"/>
                <w:szCs w:val="18"/>
                <w:color w:val="auto"/>
              </w:rPr>
              <w:t>Total current assets</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33,101</w:t>
            </w: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46,947</w:t>
            </w:r>
          </w:p>
        </w:tc>
        <w:tc>
          <w:tcPr>
            <w:tcW w:w="0" w:type="dxa"/>
            <w:vAlign w:val="bottom"/>
          </w:tcPr>
          <w:p>
            <w:pPr>
              <w:spacing w:after="0"/>
              <w:rPr>
                <w:sz w:val="1"/>
                <w:szCs w:val="1"/>
                <w:color w:val="auto"/>
              </w:rPr>
            </w:pPr>
          </w:p>
        </w:tc>
      </w:tr>
      <w:tr>
        <w:trPr>
          <w:trHeight w:val="223"/>
        </w:trPr>
        <w:tc>
          <w:tcPr>
            <w:tcW w:w="8780" w:type="dxa"/>
            <w:vAlign w:val="bottom"/>
          </w:tcPr>
          <w:p>
            <w:pPr>
              <w:ind w:left="360"/>
              <w:spacing w:after="0"/>
              <w:rPr>
                <w:sz w:val="20"/>
                <w:szCs w:val="20"/>
                <w:color w:val="auto"/>
              </w:rPr>
            </w:pPr>
            <w:r>
              <w:rPr>
                <w:rFonts w:ascii="Arial" w:cs="Arial" w:eastAsia="Arial" w:hAnsi="Arial"/>
                <w:sz w:val="18"/>
                <w:szCs w:val="18"/>
                <w:color w:val="auto"/>
              </w:rPr>
              <w:t>PROPERTY AND EQUIPMENT, net</w:t>
            </w:r>
          </w:p>
        </w:tc>
        <w:tc>
          <w:tcPr>
            <w:tcW w:w="16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1,616</w:t>
            </w: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722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INTANGIBLE ASSETS, net</w:t>
            </w: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258</w:t>
            </w: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515</w:t>
            </w:r>
          </w:p>
        </w:tc>
        <w:tc>
          <w:tcPr>
            <w:tcW w:w="0" w:type="dxa"/>
            <w:vAlign w:val="bottom"/>
          </w:tcPr>
          <w:p>
            <w:pPr>
              <w:spacing w:after="0"/>
              <w:rPr>
                <w:sz w:val="1"/>
                <w:szCs w:val="1"/>
                <w:color w:val="auto"/>
              </w:rPr>
            </w:pPr>
          </w:p>
        </w:tc>
      </w:tr>
      <w:tr>
        <w:trPr>
          <w:trHeight w:val="216"/>
        </w:trPr>
        <w:tc>
          <w:tcPr>
            <w:tcW w:w="8780" w:type="dxa"/>
            <w:vAlign w:val="bottom"/>
          </w:tcPr>
          <w:p>
            <w:pPr>
              <w:ind w:left="360"/>
              <w:spacing w:after="0"/>
              <w:rPr>
                <w:sz w:val="20"/>
                <w:szCs w:val="20"/>
                <w:color w:val="auto"/>
              </w:rPr>
            </w:pPr>
            <w:r>
              <w:rPr>
                <w:rFonts w:ascii="Arial" w:cs="Arial" w:eastAsia="Arial" w:hAnsi="Arial"/>
                <w:sz w:val="18"/>
                <w:szCs w:val="18"/>
                <w:color w:val="auto"/>
              </w:rPr>
              <w:t>OTHER ASSETS</w:t>
            </w: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450</w:t>
            </w: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323</w:t>
            </w:r>
          </w:p>
        </w:tc>
        <w:tc>
          <w:tcPr>
            <w:tcW w:w="0" w:type="dxa"/>
            <w:vAlign w:val="bottom"/>
          </w:tcPr>
          <w:p>
            <w:pPr>
              <w:spacing w:after="0"/>
              <w:rPr>
                <w:sz w:val="1"/>
                <w:szCs w:val="1"/>
                <w:color w:val="auto"/>
              </w:rPr>
            </w:pPr>
          </w:p>
        </w:tc>
      </w:tr>
      <w:tr>
        <w:trPr>
          <w:trHeight w:val="27"/>
        </w:trPr>
        <w:tc>
          <w:tcPr>
            <w:tcW w:w="87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8780" w:type="dxa"/>
            <w:vAlign w:val="bottom"/>
            <w:shd w:val="clear" w:color="auto" w:fill="CCEEFF"/>
          </w:tcPr>
          <w:p>
            <w:pPr>
              <w:ind w:left="720"/>
              <w:spacing w:after="0"/>
              <w:rPr>
                <w:sz w:val="20"/>
                <w:szCs w:val="20"/>
                <w:color w:val="auto"/>
              </w:rPr>
            </w:pPr>
            <w:r>
              <w:rPr>
                <w:rFonts w:ascii="Arial" w:cs="Arial" w:eastAsia="Arial" w:hAnsi="Arial"/>
                <w:sz w:val="18"/>
                <w:szCs w:val="18"/>
                <w:color w:val="auto"/>
              </w:rPr>
              <w:t>Total assets</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35,425</w:t>
            </w: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48,507</w:t>
            </w:r>
          </w:p>
        </w:tc>
        <w:tc>
          <w:tcPr>
            <w:tcW w:w="0" w:type="dxa"/>
            <w:vAlign w:val="bottom"/>
          </w:tcPr>
          <w:p>
            <w:pPr>
              <w:spacing w:after="0"/>
              <w:rPr>
                <w:sz w:val="1"/>
                <w:szCs w:val="1"/>
                <w:color w:val="auto"/>
              </w:rPr>
            </w:pPr>
          </w:p>
        </w:tc>
      </w:tr>
      <w:tr>
        <w:trPr>
          <w:trHeight w:val="20"/>
        </w:trPr>
        <w:tc>
          <w:tcPr>
            <w:tcW w:w="8780" w:type="dxa"/>
            <w:vAlign w:val="bottom"/>
            <w:vMerge w:val="restart"/>
          </w:tcPr>
          <w:p>
            <w:pPr>
              <w:spacing w:after="0"/>
              <w:rPr>
                <w:sz w:val="20"/>
                <w:szCs w:val="20"/>
                <w:color w:val="auto"/>
              </w:rPr>
            </w:pPr>
            <w:r>
              <w:rPr>
                <w:rFonts w:ascii="Arial" w:cs="Arial" w:eastAsia="Arial" w:hAnsi="Arial"/>
                <w:sz w:val="18"/>
                <w:szCs w:val="18"/>
                <w:b w:val="1"/>
                <w:bCs w:val="1"/>
                <w:color w:val="auto"/>
              </w:rPr>
              <w:t>LIABILITIES, REDEEMABLE CONVERTIBLE PREFERRED STOCK AND STOCKHOLDERS’</w:t>
            </w:r>
          </w:p>
        </w:tc>
        <w:tc>
          <w:tcPr>
            <w:tcW w:w="1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2"/>
        </w:trPr>
        <w:tc>
          <w:tcPr>
            <w:tcW w:w="8780" w:type="dxa"/>
            <w:vAlign w:val="bottom"/>
            <w:vMerge w:val="continue"/>
          </w:tcPr>
          <w:p>
            <w:pPr>
              <w:spacing w:after="0"/>
              <w:rPr>
                <w:sz w:val="16"/>
                <w:szCs w:val="16"/>
                <w:color w:val="auto"/>
              </w:rPr>
            </w:pPr>
          </w:p>
        </w:tc>
        <w:tc>
          <w:tcPr>
            <w:tcW w:w="1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8780" w:type="dxa"/>
            <w:vAlign w:val="bottom"/>
          </w:tcPr>
          <w:p>
            <w:pPr>
              <w:ind w:left="180"/>
              <w:spacing w:after="0"/>
              <w:rPr>
                <w:sz w:val="20"/>
                <w:szCs w:val="20"/>
                <w:color w:val="auto"/>
              </w:rPr>
            </w:pPr>
            <w:r>
              <w:rPr>
                <w:rFonts w:ascii="Arial" w:cs="Arial" w:eastAsia="Arial" w:hAnsi="Arial"/>
                <w:sz w:val="18"/>
                <w:szCs w:val="18"/>
                <w:b w:val="1"/>
                <w:bCs w:val="1"/>
                <w:color w:val="auto"/>
              </w:rPr>
              <w:t>EQUITY (DEFICIT)</w:t>
            </w:r>
          </w:p>
        </w:tc>
        <w:tc>
          <w:tcPr>
            <w:tcW w:w="1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CURRENT LIABILITIES:</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780" w:type="dxa"/>
            <w:vAlign w:val="bottom"/>
          </w:tcPr>
          <w:p>
            <w:pPr>
              <w:ind w:left="720"/>
              <w:spacing w:after="0"/>
              <w:rPr>
                <w:sz w:val="20"/>
                <w:szCs w:val="20"/>
                <w:color w:val="auto"/>
              </w:rPr>
            </w:pPr>
            <w:r>
              <w:rPr>
                <w:rFonts w:ascii="Arial" w:cs="Arial" w:eastAsia="Arial" w:hAnsi="Arial"/>
                <w:sz w:val="18"/>
                <w:szCs w:val="18"/>
                <w:color w:val="auto"/>
              </w:rPr>
              <w:t>Accounts payable and other accrued expenses</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20"/>
              <w:spacing w:after="0"/>
              <w:rPr>
                <w:sz w:val="20"/>
                <w:szCs w:val="20"/>
                <w:color w:val="auto"/>
              </w:rPr>
            </w:pPr>
            <w:r>
              <w:rPr>
                <w:rFonts w:ascii="Arial" w:cs="Arial" w:eastAsia="Arial" w:hAnsi="Arial"/>
                <w:sz w:val="18"/>
                <w:szCs w:val="18"/>
                <w:color w:val="auto"/>
              </w:rPr>
              <w:t>6,118</w:t>
            </w:r>
          </w:p>
        </w:tc>
        <w:tc>
          <w:tcPr>
            <w:tcW w:w="400" w:type="dxa"/>
            <w:vAlign w:val="bottom"/>
          </w:tcPr>
          <w:p>
            <w:pPr>
              <w:spacing w:after="0"/>
              <w:rPr>
                <w:sz w:val="18"/>
                <w:szCs w:val="18"/>
                <w:color w:val="auto"/>
              </w:rPr>
            </w:pP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3,698</w:t>
            </w:r>
          </w:p>
        </w:tc>
        <w:tc>
          <w:tcPr>
            <w:tcW w:w="0" w:type="dxa"/>
            <w:vAlign w:val="bottom"/>
          </w:tcPr>
          <w:p>
            <w:pPr>
              <w:spacing w:after="0"/>
              <w:rPr>
                <w:sz w:val="1"/>
                <w:szCs w:val="1"/>
                <w:color w:val="auto"/>
              </w:rPr>
            </w:pPr>
          </w:p>
        </w:tc>
      </w:tr>
      <w:tr>
        <w:trPr>
          <w:trHeight w:val="216"/>
        </w:trPr>
        <w:tc>
          <w:tcPr>
            <w:tcW w:w="8780" w:type="dxa"/>
            <w:vAlign w:val="bottom"/>
            <w:shd w:val="clear" w:color="auto" w:fill="CCEEFF"/>
          </w:tcPr>
          <w:p>
            <w:pPr>
              <w:ind w:left="720"/>
              <w:spacing w:after="0"/>
              <w:rPr>
                <w:sz w:val="20"/>
                <w:szCs w:val="20"/>
                <w:color w:val="auto"/>
              </w:rPr>
            </w:pPr>
            <w:r>
              <w:rPr>
                <w:rFonts w:ascii="Arial" w:cs="Arial" w:eastAsia="Arial" w:hAnsi="Arial"/>
                <w:sz w:val="18"/>
                <w:szCs w:val="18"/>
                <w:color w:val="auto"/>
              </w:rPr>
              <w:t>Accrued compensation expenses</w:t>
            </w: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4,506</w:t>
            </w: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1,668</w:t>
            </w:r>
          </w:p>
        </w:tc>
        <w:tc>
          <w:tcPr>
            <w:tcW w:w="0" w:type="dxa"/>
            <w:vAlign w:val="bottom"/>
          </w:tcPr>
          <w:p>
            <w:pPr>
              <w:spacing w:after="0"/>
              <w:rPr>
                <w:sz w:val="1"/>
                <w:szCs w:val="1"/>
                <w:color w:val="auto"/>
              </w:rPr>
            </w:pPr>
          </w:p>
        </w:tc>
      </w:tr>
      <w:tr>
        <w:trPr>
          <w:trHeight w:val="216"/>
        </w:trPr>
        <w:tc>
          <w:tcPr>
            <w:tcW w:w="8780" w:type="dxa"/>
            <w:vAlign w:val="bottom"/>
          </w:tcPr>
          <w:p>
            <w:pPr>
              <w:ind w:left="720"/>
              <w:spacing w:after="0"/>
              <w:rPr>
                <w:sz w:val="20"/>
                <w:szCs w:val="20"/>
                <w:color w:val="auto"/>
              </w:rPr>
            </w:pPr>
            <w:r>
              <w:rPr>
                <w:rFonts w:ascii="Arial" w:cs="Arial" w:eastAsia="Arial" w:hAnsi="Arial"/>
                <w:sz w:val="18"/>
                <w:szCs w:val="18"/>
                <w:color w:val="auto"/>
              </w:rPr>
              <w:t>Current portion of long-term debt</w:t>
            </w:r>
          </w:p>
        </w:tc>
        <w:tc>
          <w:tcPr>
            <w:tcW w:w="160" w:type="dxa"/>
            <w:vAlign w:val="bottom"/>
          </w:tcPr>
          <w:p>
            <w:pPr>
              <w:spacing w:after="0"/>
              <w:rPr>
                <w:sz w:val="18"/>
                <w:szCs w:val="18"/>
                <w:color w:val="auto"/>
              </w:rPr>
            </w:pPr>
          </w:p>
        </w:tc>
        <w:tc>
          <w:tcPr>
            <w:tcW w:w="720" w:type="dxa"/>
            <w:vAlign w:val="bottom"/>
            <w:gridSpan w:val="2"/>
          </w:tcPr>
          <w:p>
            <w:pPr>
              <w:jc w:val="right"/>
              <w:ind w:right="20"/>
              <w:spacing w:after="0"/>
              <w:rPr>
                <w:sz w:val="20"/>
                <w:szCs w:val="20"/>
                <w:color w:val="auto"/>
              </w:rPr>
            </w:pPr>
            <w:r>
              <w:rPr>
                <w:rFonts w:ascii="Arial" w:cs="Arial" w:eastAsia="Arial" w:hAnsi="Arial"/>
                <w:sz w:val="18"/>
                <w:szCs w:val="18"/>
                <w:color w:val="auto"/>
              </w:rPr>
              <w:t>3,200</w:t>
            </w: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16"/>
        </w:trPr>
        <w:tc>
          <w:tcPr>
            <w:tcW w:w="8780" w:type="dxa"/>
            <w:vAlign w:val="bottom"/>
            <w:shd w:val="clear" w:color="auto" w:fill="CCEEFF"/>
          </w:tcPr>
          <w:p>
            <w:pPr>
              <w:ind w:left="720"/>
              <w:spacing w:after="0"/>
              <w:rPr>
                <w:sz w:val="20"/>
                <w:szCs w:val="20"/>
                <w:color w:val="auto"/>
              </w:rPr>
            </w:pPr>
            <w:r>
              <w:rPr>
                <w:rFonts w:ascii="Arial" w:cs="Arial" w:eastAsia="Arial" w:hAnsi="Arial"/>
                <w:sz w:val="18"/>
                <w:szCs w:val="18"/>
                <w:color w:val="auto"/>
              </w:rPr>
              <w:t>Other liabilities</w:t>
            </w: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59</w:t>
            </w: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8780" w:type="dxa"/>
            <w:vAlign w:val="bottom"/>
          </w:tcPr>
          <w:p>
            <w:pPr>
              <w:ind w:left="720"/>
              <w:spacing w:after="0"/>
              <w:rPr>
                <w:sz w:val="20"/>
                <w:szCs w:val="20"/>
                <w:color w:val="auto"/>
              </w:rPr>
            </w:pPr>
            <w:r>
              <w:rPr>
                <w:rFonts w:ascii="Arial" w:cs="Arial" w:eastAsia="Arial" w:hAnsi="Arial"/>
                <w:sz w:val="18"/>
                <w:szCs w:val="18"/>
                <w:color w:val="auto"/>
              </w:rPr>
              <w:t>Total current liabilities</w:t>
            </w:r>
          </w:p>
        </w:tc>
        <w:tc>
          <w:tcPr>
            <w:tcW w:w="16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13,883</w:t>
            </w: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6,366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LONG-TERM LIABILITIES:</w:t>
            </w: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780" w:type="dxa"/>
            <w:vAlign w:val="bottom"/>
          </w:tcPr>
          <w:p>
            <w:pPr>
              <w:ind w:left="360"/>
              <w:spacing w:after="0"/>
              <w:rPr>
                <w:sz w:val="20"/>
                <w:szCs w:val="20"/>
                <w:color w:val="auto"/>
              </w:rPr>
            </w:pPr>
            <w:r>
              <w:rPr>
                <w:rFonts w:ascii="Arial" w:cs="Arial" w:eastAsia="Arial" w:hAnsi="Arial"/>
                <w:sz w:val="18"/>
                <w:szCs w:val="18"/>
                <w:color w:val="auto"/>
              </w:rPr>
              <w:t>LONG-TERM DEBT</w:t>
            </w:r>
          </w:p>
        </w:tc>
        <w:tc>
          <w:tcPr>
            <w:tcW w:w="160" w:type="dxa"/>
            <w:vAlign w:val="bottom"/>
          </w:tcPr>
          <w:p>
            <w:pPr>
              <w:spacing w:after="0"/>
              <w:rPr>
                <w:sz w:val="18"/>
                <w:szCs w:val="18"/>
                <w:color w:val="auto"/>
              </w:rPr>
            </w:pPr>
          </w:p>
        </w:tc>
        <w:tc>
          <w:tcPr>
            <w:tcW w:w="720" w:type="dxa"/>
            <w:vAlign w:val="bottom"/>
            <w:gridSpan w:val="2"/>
          </w:tcPr>
          <w:p>
            <w:pPr>
              <w:jc w:val="right"/>
              <w:ind w:right="20"/>
              <w:spacing w:after="0"/>
              <w:rPr>
                <w:sz w:val="20"/>
                <w:szCs w:val="20"/>
                <w:color w:val="auto"/>
              </w:rPr>
            </w:pPr>
            <w:r>
              <w:rPr>
                <w:rFonts w:ascii="Arial" w:cs="Arial" w:eastAsia="Arial" w:hAnsi="Arial"/>
                <w:sz w:val="18"/>
                <w:szCs w:val="18"/>
                <w:color w:val="auto"/>
              </w:rPr>
              <w:t>4,513</w:t>
            </w: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4,971</w:t>
            </w:r>
          </w:p>
        </w:tc>
        <w:tc>
          <w:tcPr>
            <w:tcW w:w="0" w:type="dxa"/>
            <w:vAlign w:val="bottom"/>
          </w:tcPr>
          <w:p>
            <w:pPr>
              <w:spacing w:after="0"/>
              <w:rPr>
                <w:sz w:val="1"/>
                <w:szCs w:val="1"/>
                <w:color w:val="auto"/>
              </w:rPr>
            </w:pPr>
          </w:p>
        </w:tc>
      </w:tr>
      <w:tr>
        <w:trPr>
          <w:trHeight w:val="216"/>
        </w:trPr>
        <w:tc>
          <w:tcPr>
            <w:tcW w:w="8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OTHER LIABILITIES</w:t>
            </w: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75</w:t>
            </w: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88</w:t>
            </w:r>
          </w:p>
        </w:tc>
        <w:tc>
          <w:tcPr>
            <w:tcW w:w="0" w:type="dxa"/>
            <w:vAlign w:val="bottom"/>
          </w:tcPr>
          <w:p>
            <w:pPr>
              <w:spacing w:after="0"/>
              <w:rPr>
                <w:sz w:val="1"/>
                <w:szCs w:val="1"/>
                <w:color w:val="auto"/>
              </w:rPr>
            </w:pPr>
          </w:p>
        </w:tc>
      </w:tr>
      <w:tr>
        <w:trPr>
          <w:trHeight w:val="230"/>
        </w:trPr>
        <w:tc>
          <w:tcPr>
            <w:tcW w:w="8780" w:type="dxa"/>
            <w:vAlign w:val="bottom"/>
          </w:tcPr>
          <w:p>
            <w:pPr>
              <w:ind w:left="1080"/>
              <w:spacing w:after="0"/>
              <w:rPr>
                <w:sz w:val="20"/>
                <w:szCs w:val="20"/>
                <w:color w:val="auto"/>
              </w:rPr>
            </w:pPr>
            <w:r>
              <w:rPr>
                <w:rFonts w:ascii="Arial" w:cs="Arial" w:eastAsia="Arial" w:hAnsi="Arial"/>
                <w:sz w:val="18"/>
                <w:szCs w:val="18"/>
                <w:color w:val="auto"/>
              </w:rPr>
              <w:t>Total liabilities</w:t>
            </w:r>
          </w:p>
        </w:tc>
        <w:tc>
          <w:tcPr>
            <w:tcW w:w="16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18,471</w:t>
            </w:r>
          </w:p>
        </w:tc>
        <w:tc>
          <w:tcPr>
            <w:tcW w:w="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8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11,425</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REDEEMABLE CONVERTIBLE PREFERRED STOCK</w:t>
            </w: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109,506</w:t>
            </w: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8"/>
              </w:rPr>
              <w:t>109,506</w:t>
            </w:r>
          </w:p>
        </w:tc>
        <w:tc>
          <w:tcPr>
            <w:tcW w:w="0" w:type="dxa"/>
            <w:vAlign w:val="bottom"/>
          </w:tcPr>
          <w:p>
            <w:pPr>
              <w:spacing w:after="0"/>
              <w:rPr>
                <w:sz w:val="1"/>
                <w:szCs w:val="1"/>
                <w:color w:val="auto"/>
              </w:rPr>
            </w:pPr>
          </w:p>
        </w:tc>
      </w:tr>
      <w:tr>
        <w:trPr>
          <w:trHeight w:val="216"/>
        </w:trPr>
        <w:tc>
          <w:tcPr>
            <w:tcW w:w="8780" w:type="dxa"/>
            <w:vAlign w:val="bottom"/>
          </w:tcPr>
          <w:p>
            <w:pPr>
              <w:ind w:left="360"/>
              <w:spacing w:after="0"/>
              <w:rPr>
                <w:sz w:val="20"/>
                <w:szCs w:val="20"/>
                <w:color w:val="auto"/>
              </w:rPr>
            </w:pPr>
            <w:r>
              <w:rPr>
                <w:rFonts w:ascii="Arial" w:cs="Arial" w:eastAsia="Arial" w:hAnsi="Arial"/>
                <w:sz w:val="18"/>
                <w:szCs w:val="18"/>
                <w:color w:val="auto"/>
              </w:rPr>
              <w:t>STOCKHOLDERS’ EQUITY (DEFICIT):</w:t>
            </w: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780" w:type="dxa"/>
            <w:vAlign w:val="bottom"/>
            <w:shd w:val="clear" w:color="auto" w:fill="CCEEFF"/>
          </w:tcPr>
          <w:p>
            <w:pPr>
              <w:ind w:left="720"/>
              <w:spacing w:after="0"/>
              <w:rPr>
                <w:sz w:val="20"/>
                <w:szCs w:val="20"/>
                <w:color w:val="auto"/>
              </w:rPr>
            </w:pPr>
            <w:r>
              <w:rPr>
                <w:rFonts w:ascii="Arial" w:cs="Arial" w:eastAsia="Arial" w:hAnsi="Arial"/>
                <w:sz w:val="18"/>
                <w:szCs w:val="18"/>
                <w:color w:val="auto"/>
              </w:rPr>
              <w:t>Common stock</w:t>
            </w:r>
          </w:p>
        </w:tc>
        <w:tc>
          <w:tcPr>
            <w:tcW w:w="1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w:t>
            </w: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8780" w:type="dxa"/>
            <w:vAlign w:val="bottom"/>
          </w:tcPr>
          <w:p>
            <w:pPr>
              <w:ind w:left="720"/>
              <w:spacing w:after="0"/>
              <w:rPr>
                <w:sz w:val="20"/>
                <w:szCs w:val="20"/>
                <w:color w:val="auto"/>
              </w:rPr>
            </w:pPr>
            <w:r>
              <w:rPr>
                <w:rFonts w:ascii="Arial" w:cs="Arial" w:eastAsia="Arial" w:hAnsi="Arial"/>
                <w:sz w:val="18"/>
                <w:szCs w:val="18"/>
                <w:color w:val="auto"/>
              </w:rPr>
              <w:t>Additional paid-in capital</w:t>
            </w:r>
          </w:p>
        </w:tc>
        <w:tc>
          <w:tcPr>
            <w:tcW w:w="160" w:type="dxa"/>
            <w:vAlign w:val="bottom"/>
          </w:tcPr>
          <w:p>
            <w:pPr>
              <w:spacing w:after="0"/>
              <w:rPr>
                <w:sz w:val="18"/>
                <w:szCs w:val="18"/>
                <w:color w:val="auto"/>
              </w:rPr>
            </w:pPr>
          </w:p>
        </w:tc>
        <w:tc>
          <w:tcPr>
            <w:tcW w:w="720" w:type="dxa"/>
            <w:vAlign w:val="bottom"/>
            <w:gridSpan w:val="2"/>
          </w:tcPr>
          <w:p>
            <w:pPr>
              <w:jc w:val="right"/>
              <w:ind w:right="20"/>
              <w:spacing w:after="0"/>
              <w:rPr>
                <w:sz w:val="20"/>
                <w:szCs w:val="20"/>
                <w:color w:val="auto"/>
              </w:rPr>
            </w:pPr>
            <w:r>
              <w:rPr>
                <w:rFonts w:ascii="Arial" w:cs="Arial" w:eastAsia="Arial" w:hAnsi="Arial"/>
                <w:sz w:val="18"/>
                <w:szCs w:val="18"/>
                <w:color w:val="auto"/>
              </w:rPr>
              <w:t>18,929</w:t>
            </w:r>
          </w:p>
        </w:tc>
        <w:tc>
          <w:tcPr>
            <w:tcW w:w="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3,557</w:t>
            </w:r>
          </w:p>
        </w:tc>
        <w:tc>
          <w:tcPr>
            <w:tcW w:w="0" w:type="dxa"/>
            <w:vAlign w:val="bottom"/>
          </w:tcPr>
          <w:p>
            <w:pPr>
              <w:spacing w:after="0"/>
              <w:rPr>
                <w:sz w:val="1"/>
                <w:szCs w:val="1"/>
                <w:color w:val="auto"/>
              </w:rPr>
            </w:pPr>
          </w:p>
        </w:tc>
      </w:tr>
      <w:tr>
        <w:trPr>
          <w:trHeight w:val="216"/>
        </w:trPr>
        <w:tc>
          <w:tcPr>
            <w:tcW w:w="8780" w:type="dxa"/>
            <w:vAlign w:val="bottom"/>
            <w:shd w:val="clear" w:color="auto" w:fill="CCEEFF"/>
          </w:tcPr>
          <w:p>
            <w:pPr>
              <w:ind w:left="720"/>
              <w:spacing w:after="0"/>
              <w:rPr>
                <w:sz w:val="20"/>
                <w:szCs w:val="20"/>
                <w:color w:val="auto"/>
              </w:rPr>
            </w:pPr>
            <w:r>
              <w:rPr>
                <w:rFonts w:ascii="Arial" w:cs="Arial" w:eastAsia="Arial" w:hAnsi="Arial"/>
                <w:sz w:val="18"/>
                <w:szCs w:val="18"/>
                <w:color w:val="auto"/>
              </w:rPr>
              <w:t>Accumulated other comprehensive loss</w:t>
            </w:r>
          </w:p>
        </w:tc>
        <w:tc>
          <w:tcPr>
            <w:tcW w:w="16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(2)</w:t>
            </w:r>
          </w:p>
        </w:tc>
        <w:tc>
          <w:tcPr>
            <w:tcW w:w="1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8780" w:type="dxa"/>
            <w:vAlign w:val="bottom"/>
          </w:tcPr>
          <w:p>
            <w:pPr>
              <w:ind w:left="720"/>
              <w:spacing w:after="0"/>
              <w:rPr>
                <w:sz w:val="20"/>
                <w:szCs w:val="20"/>
                <w:color w:val="auto"/>
              </w:rPr>
            </w:pPr>
            <w:r>
              <w:rPr>
                <w:rFonts w:ascii="Arial" w:cs="Arial" w:eastAsia="Arial" w:hAnsi="Arial"/>
                <w:sz w:val="18"/>
                <w:szCs w:val="18"/>
                <w:color w:val="auto"/>
              </w:rPr>
              <w:t>Accumulated deficit</w:t>
            </w:r>
          </w:p>
        </w:tc>
        <w:tc>
          <w:tcPr>
            <w:tcW w:w="160" w:type="dxa"/>
            <w:vAlign w:val="bottom"/>
          </w:tcPr>
          <w:p>
            <w:pPr>
              <w:spacing w:after="0"/>
              <w:rPr>
                <w:sz w:val="18"/>
                <w:szCs w:val="18"/>
                <w:color w:val="auto"/>
              </w:rPr>
            </w:pPr>
          </w:p>
        </w:tc>
        <w:tc>
          <w:tcPr>
            <w:tcW w:w="1120" w:type="dxa"/>
            <w:vAlign w:val="bottom"/>
            <w:gridSpan w:val="3"/>
          </w:tcPr>
          <w:p>
            <w:pPr>
              <w:jc w:val="right"/>
              <w:ind w:right="360"/>
              <w:spacing w:after="0"/>
              <w:rPr>
                <w:sz w:val="20"/>
                <w:szCs w:val="20"/>
                <w:color w:val="auto"/>
              </w:rPr>
            </w:pPr>
            <w:r>
              <w:rPr>
                <w:rFonts w:ascii="Arial" w:cs="Arial" w:eastAsia="Arial" w:hAnsi="Arial"/>
                <w:sz w:val="18"/>
                <w:szCs w:val="18"/>
                <w:color w:val="auto"/>
                <w:w w:val="95"/>
              </w:rPr>
              <w:t>(111,482)</w:t>
            </w:r>
          </w:p>
        </w:tc>
        <w:tc>
          <w:tcPr>
            <w:tcW w:w="18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(75,982)</w:t>
            </w:r>
          </w:p>
        </w:tc>
        <w:tc>
          <w:tcPr>
            <w:tcW w:w="0" w:type="dxa"/>
            <w:vAlign w:val="bottom"/>
          </w:tcPr>
          <w:p>
            <w:pPr>
              <w:spacing w:after="0"/>
              <w:rPr>
                <w:sz w:val="1"/>
                <w:szCs w:val="1"/>
                <w:color w:val="auto"/>
              </w:rPr>
            </w:pPr>
          </w:p>
        </w:tc>
      </w:tr>
      <w:tr>
        <w:trPr>
          <w:trHeight w:val="27"/>
        </w:trPr>
        <w:tc>
          <w:tcPr>
            <w:tcW w:w="87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8780" w:type="dxa"/>
            <w:vAlign w:val="bottom"/>
            <w:shd w:val="clear" w:color="auto" w:fill="CCEEFF"/>
          </w:tcPr>
          <w:p>
            <w:pPr>
              <w:ind w:left="720"/>
              <w:spacing w:after="0"/>
              <w:rPr>
                <w:sz w:val="20"/>
                <w:szCs w:val="20"/>
                <w:color w:val="auto"/>
              </w:rPr>
            </w:pPr>
            <w:r>
              <w:rPr>
                <w:rFonts w:ascii="Arial" w:cs="Arial" w:eastAsia="Arial" w:hAnsi="Arial"/>
                <w:sz w:val="18"/>
                <w:szCs w:val="18"/>
                <w:color w:val="auto"/>
              </w:rPr>
              <w:t>Total stockholders’ equity (deficit)</w:t>
            </w:r>
          </w:p>
        </w:tc>
        <w:tc>
          <w:tcPr>
            <w:tcW w:w="16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(92,552)</w:t>
            </w:r>
          </w:p>
        </w:tc>
        <w:tc>
          <w:tcPr>
            <w:tcW w:w="1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(72,424)</w:t>
            </w:r>
          </w:p>
        </w:tc>
        <w:tc>
          <w:tcPr>
            <w:tcW w:w="0" w:type="dxa"/>
            <w:vAlign w:val="bottom"/>
          </w:tcPr>
          <w:p>
            <w:pPr>
              <w:spacing w:after="0"/>
              <w:rPr>
                <w:sz w:val="1"/>
                <w:szCs w:val="1"/>
                <w:color w:val="auto"/>
              </w:rPr>
            </w:pPr>
          </w:p>
        </w:tc>
      </w:tr>
      <w:tr>
        <w:trPr>
          <w:trHeight w:val="223"/>
        </w:trPr>
        <w:tc>
          <w:tcPr>
            <w:tcW w:w="8780" w:type="dxa"/>
            <w:vAlign w:val="bottom"/>
          </w:tcPr>
          <w:p>
            <w:pPr>
              <w:ind w:left="720"/>
              <w:spacing w:after="0"/>
              <w:rPr>
                <w:sz w:val="20"/>
                <w:szCs w:val="20"/>
                <w:color w:val="auto"/>
              </w:rPr>
            </w:pPr>
            <w:r>
              <w:rPr>
                <w:rFonts w:ascii="Arial" w:cs="Arial" w:eastAsia="Arial" w:hAnsi="Arial"/>
                <w:sz w:val="18"/>
                <w:szCs w:val="18"/>
                <w:color w:val="auto"/>
              </w:rPr>
              <w:t>Total liabilities, redeemable convertible preferred stock and stockholders’ equity (deficit)</w:t>
            </w:r>
          </w:p>
        </w:tc>
        <w:tc>
          <w:tcPr>
            <w:tcW w:w="1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35,425</w:t>
            </w:r>
          </w:p>
        </w:tc>
        <w:tc>
          <w:tcPr>
            <w:tcW w:w="20" w:type="dxa"/>
            <w:vAlign w:val="bottom"/>
            <w:tcBorders>
              <w:bottom w:val="single" w:sz="8" w:color="auto"/>
            </w:tcBorders>
          </w:tcPr>
          <w:p>
            <w:pPr>
              <w:spacing w:after="0"/>
              <w:rPr>
                <w:sz w:val="19"/>
                <w:szCs w:val="19"/>
                <w:color w:val="auto"/>
              </w:rPr>
            </w:pPr>
          </w:p>
        </w:tc>
        <w:tc>
          <w:tcPr>
            <w:tcW w:w="40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48,507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87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020"/>
          </w:cols>
          <w:pgMar w:left="440" w:top="270" w:right="439" w:bottom="1440" w:gutter="0" w:footer="0" w:header="0"/>
        </w:sectPr>
      </w:pPr>
    </w:p>
    <w:bookmarkStart w:id="10" w:name="page11"/>
    <w:bookmarkEnd w:id="10"/>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NAVITAS SEMICONDUCTOR LIMITED</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CONDENSED CONSOLIDATED STATEMENTS OF CASH FLOWS - UNAUDITED</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(in thousands)</w:t>
      </w:r>
    </w:p>
    <w:p>
      <w:pPr>
        <w:spacing w:after="0" w:line="229" w:lineRule="exact"/>
        <w:rPr>
          <w:sz w:val="20"/>
          <w:szCs w:val="20"/>
          <w:color w:val="auto"/>
        </w:rPr>
      </w:pPr>
    </w:p>
    <w:p>
      <w:pPr>
        <w:jc w:val="center"/>
        <w:ind w:left="9240"/>
        <w:spacing w:after="0"/>
        <w:rPr>
          <w:sz w:val="20"/>
          <w:szCs w:val="20"/>
          <w:color w:val="auto"/>
        </w:rPr>
      </w:pPr>
      <w:r>
        <w:rPr>
          <w:rFonts w:ascii="Arial" w:cs="Arial" w:eastAsia="Arial" w:hAnsi="Arial"/>
          <w:sz w:val="14"/>
          <w:szCs w:val="14"/>
          <w:b w:val="1"/>
          <w:bCs w:val="1"/>
          <w:color w:val="auto"/>
        </w:rPr>
        <w:t>Nine Months Ended</w:t>
      </w:r>
    </w:p>
    <w:p>
      <w:pPr>
        <w:jc w:val="center"/>
        <w:ind w:left="9240"/>
        <w:spacing w:after="0" w:line="236" w:lineRule="auto"/>
        <w:rPr>
          <w:sz w:val="20"/>
          <w:szCs w:val="20"/>
          <w:color w:val="auto"/>
        </w:rPr>
      </w:pPr>
      <w:r>
        <w:rPr>
          <w:rFonts w:ascii="Arial" w:cs="Arial" w:eastAsia="Arial" w:hAnsi="Arial"/>
          <w:sz w:val="14"/>
          <w:szCs w:val="14"/>
          <w:b w:val="1"/>
          <w:bCs w:val="1"/>
          <w:color w:val="auto"/>
        </w:rPr>
        <w:t>September 30,</w:t>
      </w:r>
    </w:p>
    <w:tbl>
      <w:tblPr>
        <w:tblLayout w:type="fixed"/>
        <w:tblInd w:w="0" w:type="dxa"/>
        <w:tblCellMar>
          <w:top w:w="0" w:type="dxa"/>
          <w:left w:w="0" w:type="dxa"/>
          <w:bottom w:w="0" w:type="dxa"/>
          <w:right w:w="0" w:type="dxa"/>
        </w:tblCellMar>
      </w:tblPr>
      <w:tr>
        <w:trPr>
          <w:trHeight w:val="142"/>
        </w:trPr>
        <w:tc>
          <w:tcPr>
            <w:tcW w:w="93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60" w:type="dxa"/>
            <w:vAlign w:val="bottom"/>
            <w:tcBorders>
              <w:top w:val="single" w:sz="8" w:color="auto"/>
            </w:tcBorders>
          </w:tcPr>
          <w:p>
            <w:pPr>
              <w:jc w:val="right"/>
              <w:ind w:right="91"/>
              <w:spacing w:after="0" w:line="142" w:lineRule="exact"/>
              <w:rPr>
                <w:sz w:val="20"/>
                <w:szCs w:val="20"/>
                <w:color w:val="auto"/>
              </w:rPr>
            </w:pPr>
            <w:r>
              <w:rPr>
                <w:rFonts w:ascii="Arial" w:cs="Arial" w:eastAsia="Arial" w:hAnsi="Arial"/>
                <w:sz w:val="14"/>
                <w:szCs w:val="14"/>
                <w:b w:val="1"/>
                <w:bCs w:val="1"/>
                <w:color w:val="auto"/>
              </w:rPr>
              <w:t>2021</w:t>
            </w:r>
          </w:p>
        </w:tc>
        <w:tc>
          <w:tcPr>
            <w:tcW w:w="14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gridSpan w:val="2"/>
          </w:tcPr>
          <w:p>
            <w:pPr>
              <w:jc w:val="right"/>
              <w:ind w:right="90"/>
              <w:spacing w:after="0" w:line="142" w:lineRule="exact"/>
              <w:rPr>
                <w:sz w:val="20"/>
                <w:szCs w:val="20"/>
                <w:color w:val="auto"/>
              </w:rPr>
            </w:pPr>
            <w:r>
              <w:rPr>
                <w:rFonts w:ascii="Arial" w:cs="Arial" w:eastAsia="Arial" w:hAnsi="Arial"/>
                <w:sz w:val="14"/>
                <w:szCs w:val="14"/>
                <w:b w:val="1"/>
                <w:bCs w:val="1"/>
                <w:color w:val="auto"/>
              </w:rPr>
              <w:t>2020</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936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CASH FLOWS FROM OPERATING ACTIVITIES:</w:t>
            </w:r>
          </w:p>
        </w:tc>
        <w:tc>
          <w:tcPr>
            <w:tcW w:w="100" w:type="dxa"/>
            <w:vAlign w:val="bottom"/>
            <w:tcBorders>
              <w:top w:val="single" w:sz="8" w:color="auto"/>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9360" w:type="dxa"/>
            <w:vAlign w:val="bottom"/>
          </w:tcPr>
          <w:p>
            <w:pPr>
              <w:spacing w:after="0"/>
              <w:rPr>
                <w:sz w:val="20"/>
                <w:szCs w:val="20"/>
                <w:color w:val="auto"/>
              </w:rPr>
            </w:pPr>
            <w:r>
              <w:rPr>
                <w:rFonts w:ascii="Arial" w:cs="Arial" w:eastAsia="Arial" w:hAnsi="Arial"/>
                <w:sz w:val="18"/>
                <w:szCs w:val="18"/>
                <w:color w:val="auto"/>
              </w:rPr>
              <w:t>Net loss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w w:val="89"/>
              </w:rPr>
              <w:t>(35,500)</w:t>
            </w:r>
          </w:p>
        </w:tc>
        <w:tc>
          <w:tcPr>
            <w:tcW w:w="860" w:type="dxa"/>
            <w:vAlign w:val="bottom"/>
            <w:gridSpan w:val="3"/>
          </w:tcPr>
          <w:p>
            <w:pPr>
              <w:jc w:val="right"/>
              <w:ind w:right="60"/>
              <w:spacing w:after="0"/>
              <w:rPr>
                <w:sz w:val="20"/>
                <w:szCs w:val="20"/>
                <w:color w:val="auto"/>
              </w:rPr>
            </w:pPr>
            <w:r>
              <w:rPr>
                <w:rFonts w:ascii="Arial" w:cs="Arial" w:eastAsia="Arial" w:hAnsi="Arial"/>
                <w:sz w:val="18"/>
                <w:szCs w:val="18"/>
                <w:color w:val="auto"/>
                <w:w w:val="95"/>
              </w:rPr>
              <w:t>$ (11,775)</w:t>
            </w:r>
          </w:p>
        </w:tc>
        <w:tc>
          <w:tcPr>
            <w:tcW w:w="0" w:type="dxa"/>
            <w:vAlign w:val="bottom"/>
          </w:tcPr>
          <w:p>
            <w:pPr>
              <w:spacing w:after="0"/>
              <w:rPr>
                <w:sz w:val="1"/>
                <w:szCs w:val="1"/>
                <w:color w:val="auto"/>
              </w:rPr>
            </w:pPr>
          </w:p>
        </w:tc>
      </w:tr>
      <w:tr>
        <w:trPr>
          <w:trHeight w:val="216"/>
        </w:trPr>
        <w:tc>
          <w:tcPr>
            <w:tcW w:w="9360" w:type="dxa"/>
            <w:vAlign w:val="bottom"/>
            <w:shd w:val="clear" w:color="auto" w:fill="CCEEFF"/>
          </w:tcPr>
          <w:p>
            <w:pPr>
              <w:spacing w:after="0"/>
              <w:rPr>
                <w:sz w:val="20"/>
                <w:szCs w:val="20"/>
                <w:color w:val="auto"/>
              </w:rPr>
            </w:pPr>
            <w:r>
              <w:rPr>
                <w:rFonts w:ascii="Arial" w:cs="Arial" w:eastAsia="Arial" w:hAnsi="Arial"/>
                <w:sz w:val="18"/>
                <w:szCs w:val="18"/>
                <w:color w:val="auto"/>
              </w:rPr>
              <w:t>Adjustments to reconcile net loss to net cash used in operating activities:</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360" w:type="dxa"/>
            <w:vAlign w:val="bottom"/>
          </w:tcPr>
          <w:p>
            <w:pPr>
              <w:ind w:left="360"/>
              <w:spacing w:after="0"/>
              <w:rPr>
                <w:sz w:val="20"/>
                <w:szCs w:val="20"/>
                <w:color w:val="auto"/>
              </w:rPr>
            </w:pPr>
            <w:r>
              <w:rPr>
                <w:rFonts w:ascii="Arial" w:cs="Arial" w:eastAsia="Arial" w:hAnsi="Arial"/>
                <w:sz w:val="18"/>
                <w:szCs w:val="18"/>
                <w:color w:val="auto"/>
              </w:rPr>
              <w:t>Depreciation</w:t>
            </w:r>
          </w:p>
        </w:tc>
        <w:tc>
          <w:tcPr>
            <w:tcW w:w="10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278</w:t>
            </w:r>
          </w:p>
        </w:tc>
        <w:tc>
          <w:tcPr>
            <w:tcW w:w="860" w:type="dxa"/>
            <w:vAlign w:val="bottom"/>
            <w:gridSpan w:val="3"/>
          </w:tcPr>
          <w:p>
            <w:pPr>
              <w:jc w:val="right"/>
              <w:ind w:right="120"/>
              <w:spacing w:after="0"/>
              <w:rPr>
                <w:sz w:val="20"/>
                <w:szCs w:val="20"/>
                <w:color w:val="auto"/>
              </w:rPr>
            </w:pPr>
            <w:r>
              <w:rPr>
                <w:rFonts w:ascii="Arial" w:cs="Arial" w:eastAsia="Arial" w:hAnsi="Arial"/>
                <w:sz w:val="18"/>
                <w:szCs w:val="18"/>
                <w:color w:val="auto"/>
              </w:rPr>
              <w:t>276</w:t>
            </w:r>
          </w:p>
        </w:tc>
        <w:tc>
          <w:tcPr>
            <w:tcW w:w="0" w:type="dxa"/>
            <w:vAlign w:val="bottom"/>
          </w:tcPr>
          <w:p>
            <w:pPr>
              <w:spacing w:after="0"/>
              <w:rPr>
                <w:sz w:val="1"/>
                <w:szCs w:val="1"/>
                <w:color w:val="auto"/>
              </w:rPr>
            </w:pPr>
          </w:p>
        </w:tc>
      </w:tr>
      <w:tr>
        <w:trPr>
          <w:trHeight w:val="216"/>
        </w:trPr>
        <w:tc>
          <w:tcPr>
            <w:tcW w:w="93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Amortization of intangibles</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253</w:t>
            </w:r>
          </w:p>
        </w:tc>
        <w:tc>
          <w:tcPr>
            <w:tcW w:w="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9360" w:type="dxa"/>
            <w:vAlign w:val="bottom"/>
          </w:tcPr>
          <w:p>
            <w:pPr>
              <w:ind w:left="360"/>
              <w:spacing w:after="0"/>
              <w:rPr>
                <w:sz w:val="20"/>
                <w:szCs w:val="20"/>
                <w:color w:val="auto"/>
              </w:rPr>
            </w:pPr>
            <w:r>
              <w:rPr>
                <w:rFonts w:ascii="Arial" w:cs="Arial" w:eastAsia="Arial" w:hAnsi="Arial"/>
                <w:sz w:val="18"/>
                <w:szCs w:val="18"/>
                <w:color w:val="auto"/>
              </w:rPr>
              <w:t>Other non-cash (income) expenses</w:t>
            </w:r>
          </w:p>
        </w:tc>
        <w:tc>
          <w:tcPr>
            <w:tcW w:w="10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50</w:t>
            </w:r>
          </w:p>
        </w:tc>
        <w:tc>
          <w:tcPr>
            <w:tcW w:w="860" w:type="dxa"/>
            <w:vAlign w:val="bottom"/>
            <w:gridSpan w:val="3"/>
          </w:tcPr>
          <w:p>
            <w:pPr>
              <w:jc w:val="right"/>
              <w:ind w:right="6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93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Amortization of deferred rent</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(35)</w:t>
            </w:r>
          </w:p>
        </w:tc>
        <w:tc>
          <w:tcPr>
            <w:tcW w:w="86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16"/>
        </w:trPr>
        <w:tc>
          <w:tcPr>
            <w:tcW w:w="9360" w:type="dxa"/>
            <w:vAlign w:val="bottom"/>
          </w:tcPr>
          <w:p>
            <w:pPr>
              <w:ind w:left="360"/>
              <w:spacing w:after="0"/>
              <w:rPr>
                <w:sz w:val="20"/>
                <w:szCs w:val="20"/>
                <w:color w:val="auto"/>
              </w:rPr>
            </w:pPr>
            <w:r>
              <w:rPr>
                <w:rFonts w:ascii="Arial" w:cs="Arial" w:eastAsia="Arial" w:hAnsi="Arial"/>
                <w:sz w:val="18"/>
                <w:szCs w:val="18"/>
                <w:color w:val="auto"/>
              </w:rPr>
              <w:t>Stock-based compensation expense</w:t>
            </w:r>
          </w:p>
        </w:tc>
        <w:tc>
          <w:tcPr>
            <w:tcW w:w="10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w w:val="98"/>
              </w:rPr>
              <w:t>15,127</w:t>
            </w:r>
          </w:p>
        </w:tc>
        <w:tc>
          <w:tcPr>
            <w:tcW w:w="860" w:type="dxa"/>
            <w:vAlign w:val="bottom"/>
            <w:gridSpan w:val="3"/>
          </w:tcPr>
          <w:p>
            <w:pPr>
              <w:jc w:val="right"/>
              <w:ind w:right="120"/>
              <w:spacing w:after="0"/>
              <w:rPr>
                <w:sz w:val="20"/>
                <w:szCs w:val="20"/>
                <w:color w:val="auto"/>
              </w:rPr>
            </w:pPr>
            <w:r>
              <w:rPr>
                <w:rFonts w:ascii="Arial" w:cs="Arial" w:eastAsia="Arial" w:hAnsi="Arial"/>
                <w:sz w:val="18"/>
                <w:szCs w:val="18"/>
                <w:color w:val="auto"/>
              </w:rPr>
              <w:t>221</w:t>
            </w:r>
          </w:p>
        </w:tc>
        <w:tc>
          <w:tcPr>
            <w:tcW w:w="0" w:type="dxa"/>
            <w:vAlign w:val="bottom"/>
          </w:tcPr>
          <w:p>
            <w:pPr>
              <w:spacing w:after="0"/>
              <w:rPr>
                <w:sz w:val="1"/>
                <w:szCs w:val="1"/>
                <w:color w:val="auto"/>
              </w:rPr>
            </w:pPr>
          </w:p>
        </w:tc>
      </w:tr>
      <w:tr>
        <w:trPr>
          <w:trHeight w:val="216"/>
        </w:trPr>
        <w:tc>
          <w:tcPr>
            <w:tcW w:w="93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Amortization of debt discount and issuance costs</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w:t>
            </w:r>
          </w:p>
        </w:tc>
        <w:tc>
          <w:tcPr>
            <w:tcW w:w="86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9360" w:type="dxa"/>
            <w:vAlign w:val="bottom"/>
          </w:tcPr>
          <w:p>
            <w:pPr>
              <w:ind w:left="360"/>
              <w:spacing w:after="0"/>
              <w:rPr>
                <w:sz w:val="20"/>
                <w:szCs w:val="20"/>
                <w:color w:val="auto"/>
              </w:rPr>
            </w:pPr>
            <w:r>
              <w:rPr>
                <w:rFonts w:ascii="Arial" w:cs="Arial" w:eastAsia="Arial" w:hAnsi="Arial"/>
                <w:sz w:val="18"/>
                <w:szCs w:val="18"/>
                <w:color w:val="auto"/>
              </w:rPr>
              <w:t>Change in operating assets and liabilities:</w:t>
            </w: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360" w:type="dxa"/>
            <w:vAlign w:val="bottom"/>
            <w:shd w:val="clear" w:color="auto" w:fill="CCEEFF"/>
          </w:tcPr>
          <w:p>
            <w:pPr>
              <w:ind w:left="720"/>
              <w:spacing w:after="0"/>
              <w:rPr>
                <w:sz w:val="20"/>
                <w:szCs w:val="20"/>
                <w:color w:val="auto"/>
              </w:rPr>
            </w:pPr>
            <w:r>
              <w:rPr>
                <w:rFonts w:ascii="Arial" w:cs="Arial" w:eastAsia="Arial" w:hAnsi="Arial"/>
                <w:sz w:val="18"/>
                <w:szCs w:val="18"/>
                <w:color w:val="auto"/>
              </w:rPr>
              <w:t>Accounts receivable</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(1,418)</w:t>
            </w:r>
          </w:p>
        </w:tc>
        <w:tc>
          <w:tcPr>
            <w:tcW w:w="8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(1,611)</w:t>
            </w:r>
          </w:p>
        </w:tc>
        <w:tc>
          <w:tcPr>
            <w:tcW w:w="0" w:type="dxa"/>
            <w:vAlign w:val="bottom"/>
          </w:tcPr>
          <w:p>
            <w:pPr>
              <w:spacing w:after="0"/>
              <w:rPr>
                <w:sz w:val="1"/>
                <w:szCs w:val="1"/>
                <w:color w:val="auto"/>
              </w:rPr>
            </w:pPr>
          </w:p>
        </w:tc>
      </w:tr>
      <w:tr>
        <w:trPr>
          <w:trHeight w:val="216"/>
        </w:trPr>
        <w:tc>
          <w:tcPr>
            <w:tcW w:w="9360" w:type="dxa"/>
            <w:vAlign w:val="bottom"/>
          </w:tcPr>
          <w:p>
            <w:pPr>
              <w:ind w:left="720"/>
              <w:spacing w:after="0"/>
              <w:rPr>
                <w:sz w:val="20"/>
                <w:szCs w:val="20"/>
                <w:color w:val="auto"/>
              </w:rPr>
            </w:pPr>
            <w:r>
              <w:rPr>
                <w:rFonts w:ascii="Arial" w:cs="Arial" w:eastAsia="Arial" w:hAnsi="Arial"/>
                <w:sz w:val="18"/>
                <w:szCs w:val="18"/>
                <w:color w:val="auto"/>
              </w:rPr>
              <w:t>Inventory</w:t>
            </w:r>
          </w:p>
        </w:tc>
        <w:tc>
          <w:tcPr>
            <w:tcW w:w="100" w:type="dxa"/>
            <w:vAlign w:val="bottom"/>
          </w:tcPr>
          <w:p>
            <w:pPr>
              <w:spacing w:after="0"/>
              <w:rPr>
                <w:sz w:val="18"/>
                <w:szCs w:val="18"/>
                <w:color w:val="auto"/>
              </w:rPr>
            </w:pP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rPr>
              <w:t>(8,315)</w:t>
            </w:r>
          </w:p>
        </w:tc>
        <w:tc>
          <w:tcPr>
            <w:tcW w:w="860" w:type="dxa"/>
            <w:vAlign w:val="bottom"/>
            <w:gridSpan w:val="3"/>
          </w:tcPr>
          <w:p>
            <w:pPr>
              <w:jc w:val="right"/>
              <w:ind w:right="60"/>
              <w:spacing w:after="0"/>
              <w:rPr>
                <w:sz w:val="20"/>
                <w:szCs w:val="20"/>
                <w:color w:val="auto"/>
              </w:rPr>
            </w:pPr>
            <w:r>
              <w:rPr>
                <w:rFonts w:ascii="Arial" w:cs="Arial" w:eastAsia="Arial" w:hAnsi="Arial"/>
                <w:sz w:val="18"/>
                <w:szCs w:val="18"/>
                <w:color w:val="auto"/>
              </w:rPr>
              <w:t>(1,547)</w:t>
            </w:r>
          </w:p>
        </w:tc>
        <w:tc>
          <w:tcPr>
            <w:tcW w:w="0" w:type="dxa"/>
            <w:vAlign w:val="bottom"/>
          </w:tcPr>
          <w:p>
            <w:pPr>
              <w:spacing w:after="0"/>
              <w:rPr>
                <w:sz w:val="1"/>
                <w:szCs w:val="1"/>
                <w:color w:val="auto"/>
              </w:rPr>
            </w:pPr>
          </w:p>
        </w:tc>
      </w:tr>
      <w:tr>
        <w:trPr>
          <w:trHeight w:val="216"/>
        </w:trPr>
        <w:tc>
          <w:tcPr>
            <w:tcW w:w="9360" w:type="dxa"/>
            <w:vAlign w:val="bottom"/>
            <w:shd w:val="clear" w:color="auto" w:fill="CCEEFF"/>
          </w:tcPr>
          <w:p>
            <w:pPr>
              <w:ind w:left="720"/>
              <w:spacing w:after="0"/>
              <w:rPr>
                <w:sz w:val="20"/>
                <w:szCs w:val="20"/>
                <w:color w:val="auto"/>
              </w:rPr>
            </w:pPr>
            <w:r>
              <w:rPr>
                <w:rFonts w:ascii="Arial" w:cs="Arial" w:eastAsia="Arial" w:hAnsi="Arial"/>
                <w:sz w:val="18"/>
                <w:szCs w:val="18"/>
                <w:color w:val="auto"/>
              </w:rPr>
              <w:t>Prepaid expenses and other current assets</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(3,581)</w:t>
            </w:r>
          </w:p>
        </w:tc>
        <w:tc>
          <w:tcPr>
            <w:tcW w:w="8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(79)</w:t>
            </w:r>
          </w:p>
        </w:tc>
        <w:tc>
          <w:tcPr>
            <w:tcW w:w="0" w:type="dxa"/>
            <w:vAlign w:val="bottom"/>
          </w:tcPr>
          <w:p>
            <w:pPr>
              <w:spacing w:after="0"/>
              <w:rPr>
                <w:sz w:val="1"/>
                <w:szCs w:val="1"/>
                <w:color w:val="auto"/>
              </w:rPr>
            </w:pPr>
          </w:p>
        </w:tc>
      </w:tr>
      <w:tr>
        <w:trPr>
          <w:trHeight w:val="216"/>
        </w:trPr>
        <w:tc>
          <w:tcPr>
            <w:tcW w:w="9360" w:type="dxa"/>
            <w:vAlign w:val="bottom"/>
          </w:tcPr>
          <w:p>
            <w:pPr>
              <w:ind w:left="720"/>
              <w:spacing w:after="0"/>
              <w:rPr>
                <w:sz w:val="20"/>
                <w:szCs w:val="20"/>
                <w:color w:val="auto"/>
              </w:rPr>
            </w:pPr>
            <w:r>
              <w:rPr>
                <w:rFonts w:ascii="Arial" w:cs="Arial" w:eastAsia="Arial" w:hAnsi="Arial"/>
                <w:sz w:val="18"/>
                <w:szCs w:val="18"/>
                <w:color w:val="auto"/>
              </w:rPr>
              <w:t>Other assets</w:t>
            </w:r>
          </w:p>
        </w:tc>
        <w:tc>
          <w:tcPr>
            <w:tcW w:w="100" w:type="dxa"/>
            <w:vAlign w:val="bottom"/>
          </w:tcPr>
          <w:p>
            <w:pPr>
              <w:spacing w:after="0"/>
              <w:rPr>
                <w:sz w:val="18"/>
                <w:szCs w:val="18"/>
                <w:color w:val="auto"/>
              </w:rPr>
            </w:pP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rPr>
              <w:t>(138)</w:t>
            </w:r>
          </w:p>
        </w:tc>
        <w:tc>
          <w:tcPr>
            <w:tcW w:w="8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9360" w:type="dxa"/>
            <w:vAlign w:val="bottom"/>
            <w:shd w:val="clear" w:color="auto" w:fill="CCEEFF"/>
          </w:tcPr>
          <w:p>
            <w:pPr>
              <w:ind w:left="720"/>
              <w:spacing w:after="0"/>
              <w:rPr>
                <w:sz w:val="20"/>
                <w:szCs w:val="20"/>
                <w:color w:val="auto"/>
              </w:rPr>
            </w:pPr>
            <w:r>
              <w:rPr>
                <w:rFonts w:ascii="Arial" w:cs="Arial" w:eastAsia="Arial" w:hAnsi="Arial"/>
                <w:sz w:val="18"/>
                <w:szCs w:val="18"/>
                <w:color w:val="auto"/>
              </w:rPr>
              <w:t>Accounts payable, accrued compensation and other expenses</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5,916</w:t>
            </w:r>
          </w:p>
        </w:tc>
        <w:tc>
          <w:tcPr>
            <w:tcW w:w="86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1,929</w:t>
            </w:r>
          </w:p>
        </w:tc>
        <w:tc>
          <w:tcPr>
            <w:tcW w:w="0" w:type="dxa"/>
            <w:vAlign w:val="bottom"/>
          </w:tcPr>
          <w:p>
            <w:pPr>
              <w:spacing w:after="0"/>
              <w:rPr>
                <w:sz w:val="1"/>
                <w:szCs w:val="1"/>
                <w:color w:val="auto"/>
              </w:rPr>
            </w:pPr>
          </w:p>
        </w:tc>
      </w:tr>
      <w:tr>
        <w:trPr>
          <w:trHeight w:val="216"/>
        </w:trPr>
        <w:tc>
          <w:tcPr>
            <w:tcW w:w="9360" w:type="dxa"/>
            <w:vAlign w:val="bottom"/>
          </w:tcPr>
          <w:p>
            <w:pPr>
              <w:ind w:left="720"/>
              <w:spacing w:after="0"/>
              <w:rPr>
                <w:sz w:val="20"/>
                <w:szCs w:val="20"/>
                <w:color w:val="auto"/>
              </w:rPr>
            </w:pPr>
            <w:r>
              <w:rPr>
                <w:rFonts w:ascii="Arial" w:cs="Arial" w:eastAsia="Arial" w:hAnsi="Arial"/>
                <w:sz w:val="18"/>
                <w:szCs w:val="18"/>
                <w:color w:val="auto"/>
              </w:rPr>
              <w:t>Deferred revenue</w:t>
            </w:r>
          </w:p>
        </w:tc>
        <w:tc>
          <w:tcPr>
            <w:tcW w:w="10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59</w:t>
            </w:r>
          </w:p>
        </w:tc>
        <w:tc>
          <w:tcPr>
            <w:tcW w:w="860" w:type="dxa"/>
            <w:vAlign w:val="bottom"/>
            <w:gridSpan w:val="3"/>
          </w:tcPr>
          <w:p>
            <w:pPr>
              <w:jc w:val="right"/>
              <w:ind w:right="60"/>
              <w:spacing w:after="0"/>
              <w:rPr>
                <w:sz w:val="20"/>
                <w:szCs w:val="20"/>
                <w:color w:val="auto"/>
              </w:rPr>
            </w:pPr>
            <w:r>
              <w:rPr>
                <w:rFonts w:ascii="Arial" w:cs="Arial" w:eastAsia="Arial" w:hAnsi="Arial"/>
                <w:sz w:val="18"/>
                <w:szCs w:val="18"/>
                <w:color w:val="auto"/>
              </w:rPr>
              <w:t>(216)</w:t>
            </w:r>
          </w:p>
        </w:tc>
        <w:tc>
          <w:tcPr>
            <w:tcW w:w="0" w:type="dxa"/>
            <w:vAlign w:val="bottom"/>
          </w:tcPr>
          <w:p>
            <w:pPr>
              <w:spacing w:after="0"/>
              <w:rPr>
                <w:sz w:val="1"/>
                <w:szCs w:val="1"/>
                <w:color w:val="auto"/>
              </w:rPr>
            </w:pPr>
          </w:p>
        </w:tc>
      </w:tr>
      <w:tr>
        <w:trPr>
          <w:trHeight w:val="27"/>
        </w:trPr>
        <w:tc>
          <w:tcPr>
            <w:tcW w:w="93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9360" w:type="dxa"/>
            <w:vAlign w:val="bottom"/>
            <w:shd w:val="clear" w:color="auto" w:fill="CCEEFF"/>
          </w:tcPr>
          <w:p>
            <w:pPr>
              <w:ind w:left="1080"/>
              <w:spacing w:after="0"/>
              <w:rPr>
                <w:sz w:val="20"/>
                <w:szCs w:val="20"/>
                <w:color w:val="auto"/>
              </w:rPr>
            </w:pPr>
            <w:r>
              <w:rPr>
                <w:rFonts w:ascii="Arial" w:cs="Arial" w:eastAsia="Arial" w:hAnsi="Arial"/>
                <w:sz w:val="18"/>
                <w:szCs w:val="18"/>
                <w:color w:val="auto"/>
              </w:rPr>
              <w:t>Net cash used in operating activities</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9"/>
              </w:rPr>
              <w:t>(27,295)</w:t>
            </w:r>
          </w:p>
        </w:tc>
        <w:tc>
          <w:tcPr>
            <w:tcW w:w="8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(12,785)</w:t>
            </w:r>
          </w:p>
        </w:tc>
        <w:tc>
          <w:tcPr>
            <w:tcW w:w="0" w:type="dxa"/>
            <w:vAlign w:val="bottom"/>
          </w:tcPr>
          <w:p>
            <w:pPr>
              <w:spacing w:after="0"/>
              <w:rPr>
                <w:sz w:val="1"/>
                <w:szCs w:val="1"/>
                <w:color w:val="auto"/>
              </w:rPr>
            </w:pPr>
          </w:p>
        </w:tc>
      </w:tr>
      <w:tr>
        <w:trPr>
          <w:trHeight w:val="223"/>
        </w:trPr>
        <w:tc>
          <w:tcPr>
            <w:tcW w:w="9360" w:type="dxa"/>
            <w:vAlign w:val="bottom"/>
          </w:tcPr>
          <w:p>
            <w:pPr>
              <w:spacing w:after="0"/>
              <w:rPr>
                <w:sz w:val="20"/>
                <w:szCs w:val="20"/>
                <w:color w:val="auto"/>
              </w:rPr>
            </w:pPr>
            <w:r>
              <w:rPr>
                <w:rFonts w:ascii="Arial" w:cs="Arial" w:eastAsia="Arial" w:hAnsi="Arial"/>
                <w:sz w:val="18"/>
                <w:szCs w:val="18"/>
                <w:color w:val="auto"/>
              </w:rPr>
              <w:t>CASH FLOWS FROM INVESTING ACTIVITIES:</w:t>
            </w:r>
          </w:p>
        </w:tc>
        <w:tc>
          <w:tcPr>
            <w:tcW w:w="10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93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Asset acquisition</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(680)</w:t>
            </w:r>
          </w:p>
        </w:tc>
        <w:tc>
          <w:tcPr>
            <w:tcW w:w="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9360" w:type="dxa"/>
            <w:vAlign w:val="bottom"/>
          </w:tcPr>
          <w:p>
            <w:pPr>
              <w:ind w:left="360"/>
              <w:spacing w:after="0"/>
              <w:rPr>
                <w:sz w:val="20"/>
                <w:szCs w:val="20"/>
                <w:color w:val="auto"/>
              </w:rPr>
            </w:pPr>
            <w:r>
              <w:rPr>
                <w:rFonts w:ascii="Arial" w:cs="Arial" w:eastAsia="Arial" w:hAnsi="Arial"/>
                <w:sz w:val="18"/>
                <w:szCs w:val="18"/>
                <w:color w:val="auto"/>
              </w:rPr>
              <w:t>Investment purchases</w:t>
            </w:r>
          </w:p>
        </w:tc>
        <w:tc>
          <w:tcPr>
            <w:tcW w:w="100" w:type="dxa"/>
            <w:vAlign w:val="bottom"/>
          </w:tcPr>
          <w:p>
            <w:pPr>
              <w:spacing w:after="0"/>
              <w:rPr>
                <w:sz w:val="18"/>
                <w:szCs w:val="18"/>
                <w:color w:val="auto"/>
              </w:rPr>
            </w:pP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rPr>
              <w:t>(634)</w:t>
            </w:r>
          </w:p>
        </w:tc>
        <w:tc>
          <w:tcPr>
            <w:tcW w:w="8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93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Purchases of property and equipment</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(1,213)</w:t>
            </w:r>
          </w:p>
        </w:tc>
        <w:tc>
          <w:tcPr>
            <w:tcW w:w="8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(223)</w:t>
            </w:r>
          </w:p>
        </w:tc>
        <w:tc>
          <w:tcPr>
            <w:tcW w:w="0" w:type="dxa"/>
            <w:vAlign w:val="bottom"/>
          </w:tcPr>
          <w:p>
            <w:pPr>
              <w:spacing w:after="0"/>
              <w:rPr>
                <w:sz w:val="1"/>
                <w:szCs w:val="1"/>
                <w:color w:val="auto"/>
              </w:rPr>
            </w:pPr>
          </w:p>
        </w:tc>
      </w:tr>
      <w:tr>
        <w:trPr>
          <w:trHeight w:val="216"/>
        </w:trPr>
        <w:tc>
          <w:tcPr>
            <w:tcW w:w="9360" w:type="dxa"/>
            <w:vAlign w:val="bottom"/>
          </w:tcPr>
          <w:p>
            <w:pPr>
              <w:ind w:left="360"/>
              <w:spacing w:after="0"/>
              <w:rPr>
                <w:sz w:val="20"/>
                <w:szCs w:val="20"/>
                <w:color w:val="auto"/>
              </w:rPr>
            </w:pPr>
            <w:r>
              <w:rPr>
                <w:rFonts w:ascii="Arial" w:cs="Arial" w:eastAsia="Arial" w:hAnsi="Arial"/>
                <w:sz w:val="18"/>
                <w:szCs w:val="18"/>
                <w:color w:val="auto"/>
              </w:rPr>
              <w:t>Repayment of notes receivable</w:t>
            </w:r>
          </w:p>
        </w:tc>
        <w:tc>
          <w:tcPr>
            <w:tcW w:w="10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2</w:t>
            </w:r>
          </w:p>
        </w:tc>
        <w:tc>
          <w:tcPr>
            <w:tcW w:w="80" w:type="dxa"/>
            <w:vAlign w:val="bottom"/>
          </w:tcPr>
          <w:p>
            <w:pPr>
              <w:spacing w:after="0"/>
              <w:rPr>
                <w:sz w:val="18"/>
                <w:szCs w:val="18"/>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93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9360" w:type="dxa"/>
            <w:vAlign w:val="bottom"/>
            <w:shd w:val="clear" w:color="auto" w:fill="CCEEFF"/>
          </w:tcPr>
          <w:p>
            <w:pPr>
              <w:ind w:left="1080"/>
              <w:spacing w:after="0"/>
              <w:rPr>
                <w:sz w:val="20"/>
                <w:szCs w:val="20"/>
                <w:color w:val="auto"/>
              </w:rPr>
            </w:pPr>
            <w:r>
              <w:rPr>
                <w:rFonts w:ascii="Arial" w:cs="Arial" w:eastAsia="Arial" w:hAnsi="Arial"/>
                <w:sz w:val="18"/>
                <w:szCs w:val="18"/>
                <w:color w:val="auto"/>
              </w:rPr>
              <w:t>Net cash used in investing activities</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(2,525)</w:t>
            </w:r>
          </w:p>
        </w:tc>
        <w:tc>
          <w:tcPr>
            <w:tcW w:w="8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(223)</w:t>
            </w:r>
          </w:p>
        </w:tc>
        <w:tc>
          <w:tcPr>
            <w:tcW w:w="0" w:type="dxa"/>
            <w:vAlign w:val="bottom"/>
          </w:tcPr>
          <w:p>
            <w:pPr>
              <w:spacing w:after="0"/>
              <w:rPr>
                <w:sz w:val="1"/>
                <w:szCs w:val="1"/>
                <w:color w:val="auto"/>
              </w:rPr>
            </w:pPr>
          </w:p>
        </w:tc>
      </w:tr>
      <w:tr>
        <w:trPr>
          <w:trHeight w:val="223"/>
        </w:trPr>
        <w:tc>
          <w:tcPr>
            <w:tcW w:w="9360" w:type="dxa"/>
            <w:vAlign w:val="bottom"/>
          </w:tcPr>
          <w:p>
            <w:pPr>
              <w:spacing w:after="0"/>
              <w:rPr>
                <w:sz w:val="20"/>
                <w:szCs w:val="20"/>
                <w:color w:val="auto"/>
              </w:rPr>
            </w:pPr>
            <w:r>
              <w:rPr>
                <w:rFonts w:ascii="Arial" w:cs="Arial" w:eastAsia="Arial" w:hAnsi="Arial"/>
                <w:sz w:val="18"/>
                <w:szCs w:val="18"/>
                <w:color w:val="auto"/>
              </w:rPr>
              <w:t>CASH FLOWS FROM FINANCING ACTIVITIES:</w:t>
            </w:r>
          </w:p>
        </w:tc>
        <w:tc>
          <w:tcPr>
            <w:tcW w:w="10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93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Proceeds from issuance of preferred stock</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86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53,085</w:t>
            </w:r>
          </w:p>
        </w:tc>
        <w:tc>
          <w:tcPr>
            <w:tcW w:w="0" w:type="dxa"/>
            <w:vAlign w:val="bottom"/>
          </w:tcPr>
          <w:p>
            <w:pPr>
              <w:spacing w:after="0"/>
              <w:rPr>
                <w:sz w:val="1"/>
                <w:szCs w:val="1"/>
                <w:color w:val="auto"/>
              </w:rPr>
            </w:pPr>
          </w:p>
        </w:tc>
      </w:tr>
      <w:tr>
        <w:trPr>
          <w:trHeight w:val="216"/>
        </w:trPr>
        <w:tc>
          <w:tcPr>
            <w:tcW w:w="9360" w:type="dxa"/>
            <w:vAlign w:val="bottom"/>
          </w:tcPr>
          <w:p>
            <w:pPr>
              <w:ind w:left="360"/>
              <w:spacing w:after="0"/>
              <w:rPr>
                <w:sz w:val="20"/>
                <w:szCs w:val="20"/>
                <w:color w:val="auto"/>
              </w:rPr>
            </w:pPr>
            <w:r>
              <w:rPr>
                <w:rFonts w:ascii="Arial" w:cs="Arial" w:eastAsia="Arial" w:hAnsi="Arial"/>
                <w:sz w:val="18"/>
                <w:szCs w:val="18"/>
                <w:color w:val="auto"/>
              </w:rPr>
              <w:t>Payment of preferred stock issuance costs</w:t>
            </w:r>
          </w:p>
        </w:tc>
        <w:tc>
          <w:tcPr>
            <w:tcW w:w="100" w:type="dxa"/>
            <w:vAlign w:val="bottom"/>
          </w:tcPr>
          <w:p>
            <w:pPr>
              <w:spacing w:after="0"/>
              <w:rPr>
                <w:sz w:val="18"/>
                <w:szCs w:val="18"/>
                <w:color w:val="auto"/>
              </w:rPr>
            </w:pPr>
          </w:p>
        </w:tc>
        <w:tc>
          <w:tcPr>
            <w:tcW w:w="7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60" w:type="dxa"/>
            <w:vAlign w:val="bottom"/>
            <w:gridSpan w:val="3"/>
          </w:tcPr>
          <w:p>
            <w:pPr>
              <w:jc w:val="right"/>
              <w:ind w:right="60"/>
              <w:spacing w:after="0"/>
              <w:rPr>
                <w:sz w:val="20"/>
                <w:szCs w:val="20"/>
                <w:color w:val="auto"/>
              </w:rPr>
            </w:pPr>
            <w:r>
              <w:rPr>
                <w:rFonts w:ascii="Arial" w:cs="Arial" w:eastAsia="Arial" w:hAnsi="Arial"/>
                <w:sz w:val="18"/>
                <w:szCs w:val="18"/>
                <w:color w:val="auto"/>
              </w:rPr>
              <w:t>(300)</w:t>
            </w:r>
          </w:p>
        </w:tc>
        <w:tc>
          <w:tcPr>
            <w:tcW w:w="0" w:type="dxa"/>
            <w:vAlign w:val="bottom"/>
          </w:tcPr>
          <w:p>
            <w:pPr>
              <w:spacing w:after="0"/>
              <w:rPr>
                <w:sz w:val="1"/>
                <w:szCs w:val="1"/>
                <w:color w:val="auto"/>
              </w:rPr>
            </w:pPr>
          </w:p>
        </w:tc>
      </w:tr>
      <w:tr>
        <w:trPr>
          <w:trHeight w:val="216"/>
        </w:trPr>
        <w:tc>
          <w:tcPr>
            <w:tcW w:w="93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Proceeds from issuance of common stock in connection with stock options exercised</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294</w:t>
            </w:r>
          </w:p>
        </w:tc>
        <w:tc>
          <w:tcPr>
            <w:tcW w:w="86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26</w:t>
            </w:r>
          </w:p>
        </w:tc>
        <w:tc>
          <w:tcPr>
            <w:tcW w:w="0" w:type="dxa"/>
            <w:vAlign w:val="bottom"/>
          </w:tcPr>
          <w:p>
            <w:pPr>
              <w:spacing w:after="0"/>
              <w:rPr>
                <w:sz w:val="1"/>
                <w:szCs w:val="1"/>
                <w:color w:val="auto"/>
              </w:rPr>
            </w:pPr>
          </w:p>
        </w:tc>
      </w:tr>
      <w:tr>
        <w:trPr>
          <w:trHeight w:val="216"/>
        </w:trPr>
        <w:tc>
          <w:tcPr>
            <w:tcW w:w="9360" w:type="dxa"/>
            <w:vAlign w:val="bottom"/>
          </w:tcPr>
          <w:p>
            <w:pPr>
              <w:ind w:left="360"/>
              <w:spacing w:after="0"/>
              <w:rPr>
                <w:sz w:val="20"/>
                <w:szCs w:val="20"/>
                <w:color w:val="auto"/>
              </w:rPr>
            </w:pPr>
            <w:r>
              <w:rPr>
                <w:rFonts w:ascii="Arial" w:cs="Arial" w:eastAsia="Arial" w:hAnsi="Arial"/>
                <w:sz w:val="18"/>
                <w:szCs w:val="18"/>
                <w:color w:val="auto"/>
              </w:rPr>
              <w:t>Proceeds from issuance of long-term debt</w:t>
            </w:r>
          </w:p>
        </w:tc>
        <w:tc>
          <w:tcPr>
            <w:tcW w:w="10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2,000</w:t>
            </w:r>
          </w:p>
        </w:tc>
        <w:tc>
          <w:tcPr>
            <w:tcW w:w="860" w:type="dxa"/>
            <w:vAlign w:val="bottom"/>
            <w:gridSpan w:val="3"/>
          </w:tcPr>
          <w:p>
            <w:pPr>
              <w:jc w:val="right"/>
              <w:ind w:right="120"/>
              <w:spacing w:after="0"/>
              <w:rPr>
                <w:sz w:val="20"/>
                <w:szCs w:val="20"/>
                <w:color w:val="auto"/>
              </w:rPr>
            </w:pPr>
            <w:r>
              <w:rPr>
                <w:rFonts w:ascii="Arial" w:cs="Arial" w:eastAsia="Arial" w:hAnsi="Arial"/>
                <w:sz w:val="18"/>
                <w:szCs w:val="18"/>
                <w:color w:val="auto"/>
              </w:rPr>
              <w:t>6,000</w:t>
            </w:r>
          </w:p>
        </w:tc>
        <w:tc>
          <w:tcPr>
            <w:tcW w:w="0" w:type="dxa"/>
            <w:vAlign w:val="bottom"/>
          </w:tcPr>
          <w:p>
            <w:pPr>
              <w:spacing w:after="0"/>
              <w:rPr>
                <w:sz w:val="1"/>
                <w:szCs w:val="1"/>
                <w:color w:val="auto"/>
              </w:rPr>
            </w:pPr>
          </w:p>
        </w:tc>
      </w:tr>
      <w:tr>
        <w:trPr>
          <w:trHeight w:val="216"/>
        </w:trPr>
        <w:tc>
          <w:tcPr>
            <w:tcW w:w="93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Principal payments on long-term debt</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(267)</w:t>
            </w:r>
          </w:p>
        </w:tc>
        <w:tc>
          <w:tcPr>
            <w:tcW w:w="8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(4,800)</w:t>
            </w:r>
          </w:p>
        </w:tc>
        <w:tc>
          <w:tcPr>
            <w:tcW w:w="0" w:type="dxa"/>
            <w:vAlign w:val="bottom"/>
          </w:tcPr>
          <w:p>
            <w:pPr>
              <w:spacing w:after="0"/>
              <w:rPr>
                <w:sz w:val="1"/>
                <w:szCs w:val="1"/>
                <w:color w:val="auto"/>
              </w:rPr>
            </w:pPr>
          </w:p>
        </w:tc>
      </w:tr>
      <w:tr>
        <w:trPr>
          <w:trHeight w:val="216"/>
        </w:trPr>
        <w:tc>
          <w:tcPr>
            <w:tcW w:w="9360" w:type="dxa"/>
            <w:vAlign w:val="bottom"/>
          </w:tcPr>
          <w:p>
            <w:pPr>
              <w:ind w:left="360"/>
              <w:spacing w:after="0"/>
              <w:rPr>
                <w:sz w:val="20"/>
                <w:szCs w:val="20"/>
                <w:color w:val="auto"/>
              </w:rPr>
            </w:pPr>
            <w:r>
              <w:rPr>
                <w:rFonts w:ascii="Arial" w:cs="Arial" w:eastAsia="Arial" w:hAnsi="Arial"/>
                <w:sz w:val="18"/>
                <w:szCs w:val="18"/>
                <w:color w:val="auto"/>
              </w:rPr>
              <w:t>Payment of debt issuance costs</w:t>
            </w: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7"/>
        </w:trPr>
        <w:tc>
          <w:tcPr>
            <w:tcW w:w="93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9360" w:type="dxa"/>
            <w:vAlign w:val="bottom"/>
            <w:shd w:val="clear" w:color="auto" w:fill="CCEEFF"/>
          </w:tcPr>
          <w:p>
            <w:pPr>
              <w:ind w:left="1080"/>
              <w:spacing w:after="0"/>
              <w:rPr>
                <w:sz w:val="20"/>
                <w:szCs w:val="20"/>
                <w:color w:val="auto"/>
              </w:rPr>
            </w:pPr>
            <w:r>
              <w:rPr>
                <w:rFonts w:ascii="Arial" w:cs="Arial" w:eastAsia="Arial" w:hAnsi="Arial"/>
                <w:sz w:val="18"/>
                <w:szCs w:val="18"/>
                <w:color w:val="auto"/>
              </w:rPr>
              <w:t>Net cash provided by financing activities</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2,027</w:t>
            </w:r>
          </w:p>
        </w:tc>
        <w:tc>
          <w:tcPr>
            <w:tcW w:w="86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53,991</w:t>
            </w:r>
          </w:p>
        </w:tc>
        <w:tc>
          <w:tcPr>
            <w:tcW w:w="0" w:type="dxa"/>
            <w:vAlign w:val="bottom"/>
          </w:tcPr>
          <w:p>
            <w:pPr>
              <w:spacing w:after="0"/>
              <w:rPr>
                <w:sz w:val="1"/>
                <w:szCs w:val="1"/>
                <w:color w:val="auto"/>
              </w:rPr>
            </w:pPr>
          </w:p>
        </w:tc>
      </w:tr>
      <w:tr>
        <w:trPr>
          <w:trHeight w:val="20"/>
        </w:trPr>
        <w:tc>
          <w:tcPr>
            <w:tcW w:w="9360" w:type="dxa"/>
            <w:vAlign w:val="bottom"/>
            <w:vMerge w:val="restart"/>
          </w:tcPr>
          <w:p>
            <w:pPr>
              <w:spacing w:after="0"/>
              <w:rPr>
                <w:sz w:val="20"/>
                <w:szCs w:val="20"/>
                <w:color w:val="auto"/>
              </w:rPr>
            </w:pPr>
            <w:r>
              <w:rPr>
                <w:rFonts w:ascii="Arial" w:cs="Arial" w:eastAsia="Arial" w:hAnsi="Arial"/>
                <w:sz w:val="18"/>
                <w:szCs w:val="18"/>
                <w:color w:val="auto"/>
              </w:rPr>
              <w:t>Effect of exchange rate changes on cash</w:t>
            </w: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936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700" w:type="dxa"/>
            <w:vAlign w:val="bottom"/>
            <w:gridSpan w:val="2"/>
          </w:tcPr>
          <w:p>
            <w:pPr>
              <w:jc w:val="right"/>
              <w:ind w:right="80"/>
              <w:spacing w:after="0"/>
              <w:rPr>
                <w:sz w:val="20"/>
                <w:szCs w:val="20"/>
                <w:color w:val="auto"/>
              </w:rPr>
            </w:pPr>
            <w:r>
              <w:rPr>
                <w:rFonts w:ascii="Arial" w:cs="Arial" w:eastAsia="Arial" w:hAnsi="Arial"/>
                <w:sz w:val="18"/>
                <w:szCs w:val="18"/>
                <w:color w:val="auto"/>
              </w:rPr>
              <w:t>(1)</w:t>
            </w:r>
          </w:p>
        </w:tc>
        <w:tc>
          <w:tcPr>
            <w:tcW w:w="8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93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9360" w:type="dxa"/>
            <w:vAlign w:val="bottom"/>
            <w:shd w:val="clear" w:color="auto" w:fill="CCEEFF"/>
          </w:tcPr>
          <w:p>
            <w:pPr>
              <w:spacing w:after="0"/>
              <w:rPr>
                <w:sz w:val="20"/>
                <w:szCs w:val="20"/>
                <w:color w:val="auto"/>
              </w:rPr>
            </w:pPr>
            <w:r>
              <w:rPr>
                <w:rFonts w:ascii="Arial" w:cs="Arial" w:eastAsia="Arial" w:hAnsi="Arial"/>
                <w:sz w:val="18"/>
                <w:szCs w:val="18"/>
                <w:color w:val="auto"/>
              </w:rPr>
              <w:t>NET INCREASE (DECREASE) IN CASH, CASH-EQUIVALENTS AND RESTRICTED CASH</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9"/>
              </w:rPr>
              <w:t>(27,794)</w:t>
            </w:r>
          </w:p>
        </w:tc>
        <w:tc>
          <w:tcPr>
            <w:tcW w:w="86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40,983</w:t>
            </w:r>
          </w:p>
        </w:tc>
        <w:tc>
          <w:tcPr>
            <w:tcW w:w="0" w:type="dxa"/>
            <w:vAlign w:val="bottom"/>
          </w:tcPr>
          <w:p>
            <w:pPr>
              <w:spacing w:after="0"/>
              <w:rPr>
                <w:sz w:val="1"/>
                <w:szCs w:val="1"/>
                <w:color w:val="auto"/>
              </w:rPr>
            </w:pPr>
          </w:p>
        </w:tc>
      </w:tr>
      <w:tr>
        <w:trPr>
          <w:trHeight w:val="216"/>
        </w:trPr>
        <w:tc>
          <w:tcPr>
            <w:tcW w:w="9360" w:type="dxa"/>
            <w:vAlign w:val="bottom"/>
          </w:tcPr>
          <w:p>
            <w:pPr>
              <w:spacing w:after="0"/>
              <w:rPr>
                <w:sz w:val="20"/>
                <w:szCs w:val="20"/>
                <w:color w:val="auto"/>
              </w:rPr>
            </w:pPr>
            <w:r>
              <w:rPr>
                <w:rFonts w:ascii="Arial" w:cs="Arial" w:eastAsia="Arial" w:hAnsi="Arial"/>
                <w:sz w:val="18"/>
                <w:szCs w:val="18"/>
                <w:color w:val="auto"/>
              </w:rPr>
              <w:t>CASH, CASH EQUIVALENTS AND RESTRICTED CASH AT BEGINNING OF PERIOD</w:t>
            </w:r>
          </w:p>
        </w:tc>
        <w:tc>
          <w:tcPr>
            <w:tcW w:w="10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w w:val="98"/>
              </w:rPr>
              <w:t>38,869</w:t>
            </w:r>
          </w:p>
        </w:tc>
        <w:tc>
          <w:tcPr>
            <w:tcW w:w="860" w:type="dxa"/>
            <w:vAlign w:val="bottom"/>
            <w:gridSpan w:val="3"/>
          </w:tcPr>
          <w:p>
            <w:pPr>
              <w:jc w:val="right"/>
              <w:ind w:right="120"/>
              <w:spacing w:after="0"/>
              <w:rPr>
                <w:sz w:val="20"/>
                <w:szCs w:val="20"/>
                <w:color w:val="auto"/>
              </w:rPr>
            </w:pPr>
            <w:r>
              <w:rPr>
                <w:rFonts w:ascii="Arial" w:cs="Arial" w:eastAsia="Arial" w:hAnsi="Arial"/>
                <w:sz w:val="18"/>
                <w:szCs w:val="18"/>
                <w:color w:val="auto"/>
              </w:rPr>
              <w:t>6,118</w:t>
            </w:r>
          </w:p>
        </w:tc>
        <w:tc>
          <w:tcPr>
            <w:tcW w:w="0" w:type="dxa"/>
            <w:vAlign w:val="bottom"/>
          </w:tcPr>
          <w:p>
            <w:pPr>
              <w:spacing w:after="0"/>
              <w:rPr>
                <w:sz w:val="1"/>
                <w:szCs w:val="1"/>
                <w:color w:val="auto"/>
              </w:rPr>
            </w:pPr>
          </w:p>
        </w:tc>
      </w:tr>
      <w:tr>
        <w:trPr>
          <w:trHeight w:val="27"/>
        </w:trPr>
        <w:tc>
          <w:tcPr>
            <w:tcW w:w="93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9360" w:type="dxa"/>
            <w:vAlign w:val="bottom"/>
            <w:shd w:val="clear" w:color="auto" w:fill="CCEEFF"/>
          </w:tcPr>
          <w:p>
            <w:pPr>
              <w:spacing w:after="0"/>
              <w:rPr>
                <w:sz w:val="20"/>
                <w:szCs w:val="20"/>
                <w:color w:val="auto"/>
              </w:rPr>
            </w:pPr>
            <w:r>
              <w:rPr>
                <w:rFonts w:ascii="Arial" w:cs="Arial" w:eastAsia="Arial" w:hAnsi="Arial"/>
                <w:sz w:val="18"/>
                <w:szCs w:val="18"/>
                <w:color w:val="auto"/>
              </w:rPr>
              <w:t>CASH, CASH EQUIVALENTS AND RESTRICTED CASH AT END OF PERIOD</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8"/>
              </w:rPr>
              <w:t>11,075</w:t>
            </w:r>
          </w:p>
        </w:tc>
        <w:tc>
          <w:tcPr>
            <w:tcW w:w="86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$ 47,101</w:t>
            </w:r>
          </w:p>
        </w:tc>
        <w:tc>
          <w:tcPr>
            <w:tcW w:w="0" w:type="dxa"/>
            <w:vAlign w:val="bottom"/>
          </w:tcPr>
          <w:p>
            <w:pPr>
              <w:spacing w:after="0"/>
              <w:rPr>
                <w:sz w:val="1"/>
                <w:szCs w:val="1"/>
                <w:color w:val="auto"/>
              </w:rPr>
            </w:pPr>
          </w:p>
        </w:tc>
      </w:tr>
      <w:tr>
        <w:trPr>
          <w:trHeight w:val="20"/>
        </w:trPr>
        <w:tc>
          <w:tcPr>
            <w:tcW w:w="93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 w:lineRule="exact"/>
        <w:rPr>
          <w:sz w:val="20"/>
          <w:szCs w:val="20"/>
          <w:color w:val="auto"/>
        </w:rPr>
      </w:pPr>
    </w:p>
    <w:sectPr>
      <w:pgSz w:w="11900" w:h="16838" w:orient="portrait"/>
      <w:cols w:equalWidth="0" w:num="1">
        <w:col w:w="11020"/>
      </w:cols>
      <w:pgMar w:left="440" w:top="270"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1"/>
      <w:numFmt w:val="decimal"/>
      <w:start w:val="104"/>
    </w:lvl>
  </w:abstractNum>
  <w:abstractNum w:abstractNumId="2">
    <w:nsid w:val="238E1F29"/>
    <w:multiLevelType w:val="hybridMultilevel"/>
    <w:lvl w:ilvl="0">
      <w:lvlJc w:val="left"/>
      <w:lvlText w:val="•"/>
      <w:numFmt w:val="bullet"/>
      <w:start w:val="1"/>
    </w:lvl>
  </w:abstractNum>
  <w:abstractNum w:abstractNumId="3">
    <w:nsid w:val="46E87CCD"/>
    <w:multiLevelType w:val="hybridMultilevel"/>
    <w:lvl w:ilvl="0">
      <w:lvlJc w:val="left"/>
      <w:lvlText w:val="•"/>
      <w:numFmt w:val="bullet"/>
      <w:start w:val="1"/>
    </w:lvl>
    <w:lvl w:ilvl="1">
      <w:lvlJc w:val="left"/>
      <w:lvlText w:val="•"/>
      <w:numFmt w:val="bullet"/>
      <w:start w:val="1"/>
    </w:lvl>
  </w:abstractNum>
  <w:abstractNum w:abstractNumId="4">
    <w:nsid w:val="3D1B58BA"/>
    <w:multiLevelType w:val="hybridMultilevel"/>
    <w:lvl w:ilvl="0">
      <w:lvlJc w:val="left"/>
      <w:lvlText w:val="•"/>
      <w:numFmt w:val="bullet"/>
      <w:start w:val="1"/>
    </w:lvl>
  </w:abstractNum>
  <w:abstractNum w:abstractNumId="5">
    <w:nsid w:val="507ED7A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2021-11-09T15:36:57Z</dcterms:created>
  <dcterms:modified xsi:type="dcterms:W3CDTF">2021-11-09T15:36:57Z</dcterms:modified>
</cp:coreProperties>
</file>