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845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845300"/>
                    </a:xfrm>
                    <a:prstGeom prst="rect">
                      <a:avLst/>
                    </a:prstGeom>
                    <a:noFill/>
                  </pic:spPr>
                </pic:pic>
              </a:graphicData>
            </a:graphic>
          </wp:anchor>
        </w:drawing>
      </w:r>
    </w:p>
    <w:p>
      <w:pPr>
        <w:spacing w:after="0" w:line="1222" w:lineRule="exact"/>
        <w:rPr>
          <w:sz w:val="24"/>
          <w:szCs w:val="24"/>
          <w:color w:val="auto"/>
        </w:rPr>
      </w:pPr>
    </w:p>
    <w:p>
      <w:pPr>
        <w:sectPr>
          <w:pgSz w:w="11900" w:h="16844" w:orient="portrait"/>
          <w:cols w:equalWidth="0" w:num="2">
            <w:col w:w="2320" w:space="160"/>
            <w:col w:w="8520"/>
          </w:cols>
          <w:pgMar w:left="460" w:top="219"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Sheridan Eugene</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Navitas Semiconductor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NVTS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2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840" w:type="dxa"/>
            <w:vAlign w:val="bottom"/>
            <w:gridSpan w:val="2"/>
            <w:vMerge w:val="restart"/>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4"/>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4"/>
            <w:vMerge w:val="continue"/>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1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PRESIDENT &amp; CEO</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4"/>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NAVITAS SEMICONDUCTOR</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06/11/2025</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0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CORPORATION</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3520 CHALLENGER STREET</w:t>
            </w:r>
          </w:p>
        </w:tc>
        <w:tc>
          <w:tcPr>
            <w:tcW w:w="8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6"/>
                <w:szCs w:val="6"/>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5"/>
            <w:vMerge w:val="continue"/>
          </w:tcPr>
          <w:p>
            <w:pPr>
              <w:spacing w:after="0"/>
              <w:rPr>
                <w:sz w:val="9"/>
                <w:szCs w:val="9"/>
                <w:color w:val="auto"/>
              </w:rPr>
            </w:pPr>
          </w:p>
        </w:tc>
        <w:tc>
          <w:tcPr>
            <w:tcW w:w="320" w:type="dxa"/>
            <w:vAlign w:val="bottom"/>
          </w:tcPr>
          <w:p>
            <w:pPr>
              <w:spacing w:after="0"/>
              <w:rPr>
                <w:sz w:val="9"/>
                <w:szCs w:val="9"/>
                <w:color w:val="auto"/>
              </w:rPr>
            </w:pPr>
          </w:p>
        </w:tc>
        <w:tc>
          <w:tcPr>
            <w:tcW w:w="33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vMerge w:val="restart"/>
          </w:tcPr>
          <w:p>
            <w:pPr>
              <w:spacing w:after="0"/>
              <w:rPr>
                <w:sz w:val="3"/>
                <w:szCs w:val="3"/>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TORRANCE</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90503-1640</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ind w:left="120"/>
              <w:spacing w:after="0" w:line="113" w:lineRule="exact"/>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8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46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10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4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0" w:type="dxa"/>
            <w:vAlign w:val="bottom"/>
            <w:gridSpan w:val="4"/>
          </w:tcPr>
          <w:p>
            <w:pPr>
              <w:ind w:left="10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3200" w:type="dxa"/>
            <w:vAlign w:val="bottom"/>
            <w:gridSpan w:val="4"/>
            <w:vMerge w:val="restart"/>
          </w:tcPr>
          <w:p>
            <w:pPr>
              <w:jc w:val="right"/>
              <w:ind w:right="1217"/>
              <w:spacing w:after="0"/>
              <w:rPr>
                <w:sz w:val="20"/>
                <w:szCs w:val="20"/>
                <w:color w:val="auto"/>
              </w:rPr>
            </w:pPr>
            <w:r>
              <w:rPr>
                <w:rFonts w:ascii="Times New Roman" w:cs="Times New Roman" w:eastAsia="Times New Roman" w:hAnsi="Times New Roman"/>
                <w:sz w:val="17"/>
                <w:szCs w:val="17"/>
                <w:color w:val="0000FF"/>
              </w:rPr>
              <w:t>06/11/2025</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161,332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8.5401</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600,000</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GaNFast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3200" w:type="dxa"/>
            <w:vAlign w:val="bottom"/>
            <w:gridSpan w:val="4"/>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3200" w:type="dxa"/>
            <w:vAlign w:val="bottom"/>
            <w:gridSpan w:val="4"/>
            <w:vMerge w:val="restart"/>
          </w:tcPr>
          <w:p>
            <w:pPr>
              <w:jc w:val="right"/>
              <w:ind w:right="1217"/>
              <w:spacing w:after="0"/>
              <w:rPr>
                <w:sz w:val="20"/>
                <w:szCs w:val="20"/>
                <w:color w:val="auto"/>
              </w:rPr>
            </w:pPr>
            <w:r>
              <w:rPr>
                <w:rFonts w:ascii="Times New Roman" w:cs="Times New Roman" w:eastAsia="Times New Roman" w:hAnsi="Times New Roman"/>
                <w:sz w:val="17"/>
                <w:szCs w:val="17"/>
                <w:color w:val="0000FF"/>
              </w:rPr>
              <w:t>06/13/2025</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138,668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7.4925</w:t>
            </w:r>
            <w:r>
              <w:rPr>
                <w:rFonts w:ascii="Times New Roman" w:cs="Times New Roman" w:eastAsia="Times New Roman" w:hAnsi="Times New Roman"/>
                <w:sz w:val="22"/>
                <w:szCs w:val="22"/>
                <w:color w:val="008000"/>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461,332</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GaNFast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3200" w:type="dxa"/>
            <w:vAlign w:val="bottom"/>
            <w:gridSpan w:val="4"/>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3200" w:type="dxa"/>
            <w:vAlign w:val="bottom"/>
            <w:gridSpan w:val="4"/>
            <w:vMerge w:val="restart"/>
          </w:tcPr>
          <w:p>
            <w:pPr>
              <w:jc w:val="right"/>
              <w:ind w:right="1217"/>
              <w:spacing w:after="0"/>
              <w:rPr>
                <w:sz w:val="20"/>
                <w:szCs w:val="20"/>
                <w:color w:val="auto"/>
              </w:rPr>
            </w:pPr>
            <w:r>
              <w:rPr>
                <w:rFonts w:ascii="Times New Roman" w:cs="Times New Roman" w:eastAsia="Times New Roman" w:hAnsi="Times New Roman"/>
                <w:sz w:val="17"/>
                <w:szCs w:val="17"/>
                <w:color w:val="0000FF"/>
              </w:rPr>
              <w:t>06/11/2025</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200,000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7.9813</w:t>
            </w:r>
            <w:r>
              <w:rPr>
                <w:rFonts w:ascii="Times New Roman" w:cs="Times New Roman" w:eastAsia="Times New Roman" w:hAnsi="Times New Roman"/>
                <w:sz w:val="22"/>
                <w:szCs w:val="22"/>
                <w:color w:val="008000"/>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600,000</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Lolas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3200" w:type="dxa"/>
            <w:vAlign w:val="bottom"/>
            <w:gridSpan w:val="4"/>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3200" w:type="dxa"/>
            <w:vAlign w:val="bottom"/>
            <w:gridSpan w:val="4"/>
            <w:vMerge w:val="restart"/>
          </w:tcPr>
          <w:p>
            <w:pPr>
              <w:jc w:val="right"/>
              <w:ind w:right="1217"/>
              <w:spacing w:after="0"/>
              <w:rPr>
                <w:sz w:val="20"/>
                <w:szCs w:val="20"/>
                <w:color w:val="auto"/>
              </w:rPr>
            </w:pPr>
            <w:r>
              <w:rPr>
                <w:rFonts w:ascii="Times New Roman" w:cs="Times New Roman" w:eastAsia="Times New Roman" w:hAnsi="Times New Roman"/>
                <w:sz w:val="17"/>
                <w:szCs w:val="17"/>
                <w:color w:val="0000FF"/>
              </w:rPr>
              <w:t>06/13/2025</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100,000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7.5065</w:t>
            </w:r>
            <w:r>
              <w:rPr>
                <w:rFonts w:ascii="Times New Roman" w:cs="Times New Roman" w:eastAsia="Times New Roman" w:hAnsi="Times New Roman"/>
                <w:sz w:val="22"/>
                <w:szCs w:val="22"/>
                <w:color w:val="008000"/>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500,000</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Lolas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3200" w:type="dxa"/>
            <w:vAlign w:val="bottom"/>
            <w:gridSpan w:val="4"/>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Eugene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1,226,044</w:t>
            </w:r>
          </w:p>
        </w:tc>
        <w:tc>
          <w:tcPr>
            <w:tcW w:w="9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Melissa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Sheridan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sold in multiple trades at prices ranging from $8.4650 to $8.650, inclusive. The price reported above reflects the weighted-average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sold in multiple trades at prices ranging from $7.4250 to $7.6300, inclusive. The price reported above reflects the weighted-average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sold in multiple trades at prices ranging from $8.4800 to $8.8830, inclusive. The price reported above reflects the weighted-average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sold in multiple trades at prices ranging from $7.4250 to $7.6350, inclusive. The price reported above reflects the weighted-average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reported securities, and this report shall not be deemed an admission that the reporting person beneficially owns the reported securities for purposes of Section 16 or any other purpose.</w:t>
      </w:r>
    </w:p>
    <w:p>
      <w:pPr>
        <w:sectPr>
          <w:pgSz w:w="11900" w:h="16844" w:orient="portrait"/>
          <w:cols w:equalWidth="0" w:num="1">
            <w:col w:w="11000"/>
          </w:cols>
          <w:pgMar w:left="460" w:top="219" w:right="439" w:bottom="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44"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 xml:space="preserve">/s/ Paul D. Delva, attorney-in-  </w:t>
      </w:r>
      <w:r>
        <w:rPr>
          <w:rFonts w:ascii="Times New Roman" w:cs="Times New Roman" w:eastAsia="Times New Roman" w:hAnsi="Times New Roman"/>
          <w:sz w:val="34"/>
          <w:szCs w:val="34"/>
          <w:color w:val="0000FF"/>
          <w:vertAlign w:val="subscript"/>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-28575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4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88341" TargetMode="External"/><Relationship Id="rId14"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2025-06-13T20:40:04Z</dcterms:created>
  <dcterms:modified xsi:type="dcterms:W3CDTF">2025-06-13T20:40:04Z</dcterms:modified>
</cp:coreProperties>
</file>