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3"/>
          <w:szCs w:val="13"/>
          <w:b w:val="1"/>
          <w:bCs w:val="1"/>
          <w:color w:val="auto"/>
        </w:rPr>
        <w:t>As filed with the Securities and Exchange Commission on June 8, 2026</w:t>
      </w:r>
    </w:p>
    <w:p>
      <w:pPr>
        <w:spacing w:after="0" w:line="174" w:lineRule="exact"/>
        <w:rPr>
          <w:sz w:val="24"/>
          <w:szCs w:val="24"/>
          <w:color w:val="auto"/>
        </w:rPr>
      </w:pPr>
    </w:p>
    <w:p>
      <w:pPr>
        <w:ind w:left="9860"/>
        <w:spacing w:after="0"/>
        <w:rPr>
          <w:sz w:val="20"/>
          <w:szCs w:val="20"/>
          <w:color w:val="auto"/>
        </w:rPr>
      </w:pPr>
      <w:r>
        <w:rPr>
          <w:rFonts w:ascii="Times New Roman" w:cs="Times New Roman" w:eastAsia="Times New Roman" w:hAnsi="Times New Roman"/>
          <w:sz w:val="13"/>
          <w:szCs w:val="13"/>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66610" cy="12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6610"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43815</wp:posOffset>
            </wp:positionV>
            <wp:extent cx="716661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136525</wp:posOffset>
            </wp:positionV>
            <wp:extent cx="214947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9475" cy="6350"/>
                    </a:xfrm>
                    <a:prstGeom prst="rect">
                      <a:avLst/>
                    </a:prstGeom>
                    <a:noFill/>
                  </pic:spPr>
                </pic:pic>
              </a:graphicData>
            </a:graphic>
          </wp:anchor>
        </w:drawing>
      </w:r>
    </w:p>
    <w:p>
      <w:pPr>
        <w:spacing w:after="0" w:line="4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 S-3</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REGISTRATION STATEMENT</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UNDER</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136525</wp:posOffset>
            </wp:positionV>
            <wp:extent cx="214947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49475" cy="635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NAVITAS SEMICONDUCTOR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716661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6540" w:type="dxa"/>
            <w:vAlign w:val="bottom"/>
            <w:gridSpan w:val="2"/>
          </w:tcPr>
          <w:p>
            <w:pPr>
              <w:jc w:val="center"/>
              <w:ind w:right="880"/>
              <w:spacing w:after="0"/>
              <w:rPr>
                <w:sz w:val="20"/>
                <w:szCs w:val="20"/>
                <w:color w:val="auto"/>
              </w:rPr>
            </w:pPr>
            <w:r>
              <w:rPr>
                <w:rFonts w:ascii="Times New Roman" w:cs="Times New Roman" w:eastAsia="Times New Roman" w:hAnsi="Times New Roman"/>
                <w:sz w:val="13"/>
                <w:szCs w:val="13"/>
                <w:b w:val="1"/>
                <w:bCs w:val="1"/>
                <w:color w:val="auto"/>
              </w:rPr>
              <w:t>Delaware</w:t>
            </w:r>
          </w:p>
        </w:tc>
        <w:tc>
          <w:tcPr>
            <w:tcW w:w="4740" w:type="dxa"/>
            <w:vAlign w:val="bottom"/>
          </w:tcPr>
          <w:p>
            <w:pPr>
              <w:jc w:val="right"/>
              <w:ind w:right="1973"/>
              <w:spacing w:after="0"/>
              <w:rPr>
                <w:sz w:val="20"/>
                <w:szCs w:val="20"/>
                <w:color w:val="auto"/>
              </w:rPr>
            </w:pPr>
            <w:r>
              <w:rPr>
                <w:rFonts w:ascii="Times New Roman" w:cs="Times New Roman" w:eastAsia="Times New Roman" w:hAnsi="Times New Roman"/>
                <w:sz w:val="13"/>
                <w:szCs w:val="13"/>
                <w:b w:val="1"/>
                <w:bCs w:val="1"/>
                <w:color w:val="auto"/>
              </w:rPr>
              <w:t>85-2560226</w:t>
            </w:r>
          </w:p>
        </w:tc>
      </w:tr>
      <w:tr>
        <w:trPr>
          <w:trHeight w:val="135"/>
        </w:trPr>
        <w:tc>
          <w:tcPr>
            <w:tcW w:w="5640" w:type="dxa"/>
            <w:vAlign w:val="bottom"/>
            <w:tcBorders>
              <w:top w:val="single" w:sz="8" w:color="auto"/>
            </w:tcBorders>
          </w:tcPr>
          <w:p>
            <w:pPr>
              <w:ind w:left="1580"/>
              <w:spacing w:after="0" w:line="136" w:lineRule="exact"/>
              <w:rPr>
                <w:sz w:val="20"/>
                <w:szCs w:val="20"/>
                <w:color w:val="auto"/>
              </w:rPr>
            </w:pPr>
            <w:r>
              <w:rPr>
                <w:rFonts w:ascii="Times New Roman" w:cs="Times New Roman" w:eastAsia="Times New Roman" w:hAnsi="Times New Roman"/>
                <w:sz w:val="13"/>
                <w:szCs w:val="13"/>
                <w:color w:val="auto"/>
              </w:rPr>
              <w:t>(State or other jurisdiction of incorporation or</w:t>
            </w:r>
          </w:p>
        </w:tc>
        <w:tc>
          <w:tcPr>
            <w:tcW w:w="900" w:type="dxa"/>
            <w:vAlign w:val="bottom"/>
          </w:tcPr>
          <w:p>
            <w:pPr>
              <w:spacing w:after="0"/>
              <w:rPr>
                <w:sz w:val="11"/>
                <w:szCs w:val="11"/>
                <w:color w:val="auto"/>
              </w:rPr>
            </w:pPr>
          </w:p>
        </w:tc>
        <w:tc>
          <w:tcPr>
            <w:tcW w:w="4740" w:type="dxa"/>
            <w:vAlign w:val="bottom"/>
            <w:tcBorders>
              <w:top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color w:val="auto"/>
              </w:rPr>
              <w:t>(I.R.S. Employer Identification No.)</w:t>
            </w:r>
          </w:p>
        </w:tc>
      </w:tr>
      <w:tr>
        <w:trPr>
          <w:trHeight w:val="178"/>
        </w:trPr>
        <w:tc>
          <w:tcPr>
            <w:tcW w:w="6540" w:type="dxa"/>
            <w:vAlign w:val="bottom"/>
            <w:gridSpan w:val="2"/>
          </w:tcPr>
          <w:p>
            <w:pPr>
              <w:jc w:val="center"/>
              <w:ind w:right="900"/>
              <w:spacing w:after="0"/>
              <w:rPr>
                <w:sz w:val="20"/>
                <w:szCs w:val="20"/>
                <w:color w:val="auto"/>
              </w:rPr>
            </w:pPr>
            <w:r>
              <w:rPr>
                <w:rFonts w:ascii="Times New Roman" w:cs="Times New Roman" w:eastAsia="Times New Roman" w:hAnsi="Times New Roman"/>
                <w:sz w:val="13"/>
                <w:szCs w:val="13"/>
                <w:color w:val="auto"/>
              </w:rPr>
              <w:t>organization</w:t>
            </w:r>
            <w:r>
              <w:rPr>
                <w:rFonts w:ascii="Times New Roman" w:cs="Times New Roman" w:eastAsia="Times New Roman" w:hAnsi="Times New Roman"/>
                <w:sz w:val="13"/>
                <w:szCs w:val="13"/>
                <w:b w:val="1"/>
                <w:bCs w:val="1"/>
                <w:color w:val="auto"/>
              </w:rPr>
              <w:t>)</w:t>
            </w:r>
          </w:p>
        </w:tc>
        <w:tc>
          <w:tcPr>
            <w:tcW w:w="4740" w:type="dxa"/>
            <w:vAlign w:val="bottom"/>
          </w:tcPr>
          <w:p>
            <w:pPr>
              <w:spacing w:after="0"/>
              <w:rPr>
                <w:sz w:val="15"/>
                <w:szCs w:val="15"/>
                <w:color w:val="auto"/>
              </w:rPr>
            </w:pPr>
          </w:p>
        </w:tc>
      </w:tr>
    </w:tbl>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3520 Challenger Street</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Torrance, California 90503-1640</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(844) 654-2642</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-93980</wp:posOffset>
            </wp:positionV>
            <wp:extent cx="716661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Matthew Sant, Esq.</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Senior Vice President, General Counsel and Secretary</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Navitas Semiconductor Corporation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3520 Challenger Street</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Torrance, California 90503-1640</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(844) 654-2642</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-93980</wp:posOffset>
            </wp:positionV>
            <wp:extent cx="716661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rPr>
        <w:t>Copies to:</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Katheryn A. Gettman, Esq.</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Kevin J. Roggow, Esq.</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Cozen O’Connor</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Three World Trade Center</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175 Greenwich Street, 56th Floor</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New York, New York 10007</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(212) 908-1294</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Approximate date of commencement of proposed sale to the public</w:t>
      </w:r>
      <w:r>
        <w:rPr>
          <w:rFonts w:ascii="Times New Roman" w:cs="Times New Roman" w:eastAsia="Times New Roman" w:hAnsi="Times New Roman"/>
          <w:sz w:val="13"/>
          <w:szCs w:val="13"/>
          <w:color w:val="auto"/>
        </w:rPr>
        <w:t>: From time to time after the effective date of this registration statement.</w:t>
      </w:r>
    </w:p>
    <w:p>
      <w:pPr>
        <w:spacing w:after="0" w:line="147"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3"/>
          <w:szCs w:val="13"/>
          <w:color w:val="auto"/>
        </w:rPr>
        <w:t>☐</w:t>
      </w:r>
    </w:p>
    <w:p>
      <w:pPr>
        <w:spacing w:after="0" w:line="205" w:lineRule="exact"/>
        <w:rPr>
          <w:sz w:val="24"/>
          <w:szCs w:val="24"/>
          <w:color w:val="auto"/>
        </w:rPr>
      </w:pPr>
    </w:p>
    <w:p>
      <w:pPr>
        <w:jc w:val="both"/>
        <w:spacing w:after="0" w:line="179" w:lineRule="exact"/>
        <w:rPr>
          <w:sz w:val="20"/>
          <w:szCs w:val="20"/>
          <w:color w:val="auto"/>
        </w:rPr>
      </w:pPr>
      <w:r>
        <w:rPr>
          <w:rFonts w:ascii="Times New Roman" w:cs="Times New Roman" w:eastAsia="Times New Roman" w:hAnsi="Times New Roman"/>
          <w:sz w:val="13"/>
          <w:szCs w:val="13"/>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3"/>
          <w:szCs w:val="13"/>
          <w:color w:val="auto"/>
        </w:rPr>
        <w:t>☒</w:t>
      </w:r>
    </w:p>
    <w:p>
      <w:pPr>
        <w:spacing w:after="0" w:line="127" w:lineRule="exact"/>
        <w:rPr>
          <w:sz w:val="24"/>
          <w:szCs w:val="24"/>
          <w:color w:val="auto"/>
        </w:rPr>
      </w:pPr>
    </w:p>
    <w:p>
      <w:pPr>
        <w:jc w:val="both"/>
        <w:spacing w:after="0" w:line="179" w:lineRule="exact"/>
        <w:rPr>
          <w:sz w:val="20"/>
          <w:szCs w:val="20"/>
          <w:color w:val="auto"/>
        </w:rPr>
      </w:pPr>
      <w:r>
        <w:rPr>
          <w:rFonts w:ascii="Times New Roman" w:cs="Times New Roman" w:eastAsia="Times New Roman" w:hAnsi="Times New Roman"/>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27" w:lineRule="exact"/>
        <w:rPr>
          <w:sz w:val="24"/>
          <w:szCs w:val="24"/>
          <w:color w:val="auto"/>
        </w:rPr>
      </w:pPr>
    </w:p>
    <w:p>
      <w:pPr>
        <w:jc w:val="both"/>
        <w:spacing w:after="0" w:line="179"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27" w:lineRule="exact"/>
        <w:rPr>
          <w:sz w:val="24"/>
          <w:szCs w:val="24"/>
          <w:color w:val="auto"/>
        </w:rPr>
      </w:pPr>
    </w:p>
    <w:p>
      <w:pPr>
        <w:jc w:val="both"/>
        <w:spacing w:after="0" w:line="179" w:lineRule="exact"/>
        <w:rPr>
          <w:sz w:val="20"/>
          <w:szCs w:val="20"/>
          <w:color w:val="auto"/>
        </w:rPr>
      </w:pPr>
      <w:r>
        <w:rPr>
          <w:rFonts w:ascii="Times New Roman" w:cs="Times New Roman" w:eastAsia="Times New Roman" w:hAnsi="Times New Roman"/>
          <w:sz w:val="13"/>
          <w:szCs w:val="13"/>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3"/>
          <w:szCs w:val="13"/>
          <w:color w:val="auto"/>
        </w:rPr>
        <w:t>☒</w:t>
      </w:r>
    </w:p>
    <w:p>
      <w:pPr>
        <w:spacing w:after="0" w:line="127" w:lineRule="exact"/>
        <w:rPr>
          <w:sz w:val="24"/>
          <w:szCs w:val="24"/>
          <w:color w:val="auto"/>
        </w:rPr>
      </w:pPr>
    </w:p>
    <w:p>
      <w:pPr>
        <w:jc w:val="both"/>
        <w:spacing w:after="0" w:line="179"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to a registration statement filed pursuant to General Instruction I.D. filed to register additional securities or classes of additional securities pursuant to Rule 413(b) under the Securities Act, check the following box. </w:t>
      </w:r>
      <w:r>
        <w:rPr>
          <w:rFonts w:ascii="MS PGothic" w:cs="MS PGothic" w:eastAsia="MS PGothic" w:hAnsi="MS PGothic"/>
          <w:sz w:val="13"/>
          <w:szCs w:val="13"/>
          <w:color w:val="auto"/>
        </w:rPr>
        <w:t>☐</w:t>
      </w:r>
    </w:p>
    <w:p>
      <w:pPr>
        <w:spacing w:after="0" w:line="127" w:lineRule="exact"/>
        <w:rPr>
          <w:sz w:val="24"/>
          <w:szCs w:val="24"/>
          <w:color w:val="auto"/>
        </w:rPr>
      </w:pPr>
    </w:p>
    <w:p>
      <w:pPr>
        <w:jc w:val="both"/>
        <w:spacing w:after="0" w:line="29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286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1920" w:type="dxa"/>
            <w:vAlign w:val="bottom"/>
          </w:tcPr>
          <w:p>
            <w:pPr>
              <w:ind w:left="1640"/>
              <w:spacing w:after="0" w:line="131" w:lineRule="exact"/>
              <w:rPr>
                <w:sz w:val="20"/>
                <w:szCs w:val="20"/>
                <w:color w:val="auto"/>
              </w:rPr>
            </w:pPr>
            <w:r>
              <w:rPr>
                <w:rFonts w:ascii="MS PGothic" w:cs="MS PGothic" w:eastAsia="MS PGothic" w:hAnsi="MS PGothic"/>
                <w:sz w:val="13"/>
                <w:szCs w:val="13"/>
                <w:color w:val="auto"/>
              </w:rPr>
              <w:t>☐</w:t>
            </w:r>
          </w:p>
        </w:tc>
        <w:tc>
          <w:tcPr>
            <w:tcW w:w="3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Accelerated filer</w:t>
            </w:r>
          </w:p>
        </w:tc>
        <w:tc>
          <w:tcPr>
            <w:tcW w:w="2300" w:type="dxa"/>
            <w:vAlign w:val="bottom"/>
          </w:tcPr>
          <w:p>
            <w:pPr>
              <w:ind w:left="21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323"/>
        </w:trPr>
        <w:tc>
          <w:tcPr>
            <w:tcW w:w="286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1920" w:type="dxa"/>
            <w:vAlign w:val="bottom"/>
          </w:tcPr>
          <w:p>
            <w:pPr>
              <w:ind w:left="1640"/>
              <w:spacing w:after="0" w:line="131" w:lineRule="exact"/>
              <w:rPr>
                <w:sz w:val="20"/>
                <w:szCs w:val="20"/>
                <w:color w:val="auto"/>
              </w:rPr>
            </w:pPr>
            <w:r>
              <w:rPr>
                <w:rFonts w:ascii="MS PGothic" w:cs="MS PGothic" w:eastAsia="MS PGothic" w:hAnsi="MS PGothic"/>
                <w:sz w:val="13"/>
                <w:szCs w:val="13"/>
                <w:color w:val="auto"/>
              </w:rPr>
              <w:t>☒</w:t>
            </w:r>
          </w:p>
        </w:tc>
        <w:tc>
          <w:tcPr>
            <w:tcW w:w="3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2300" w:type="dxa"/>
            <w:vAlign w:val="bottom"/>
          </w:tcPr>
          <w:p>
            <w:pPr>
              <w:ind w:left="21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323"/>
        </w:trPr>
        <w:tc>
          <w:tcPr>
            <w:tcW w:w="28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Emerging growth company</w:t>
            </w:r>
          </w:p>
        </w:tc>
        <w:tc>
          <w:tcPr>
            <w:tcW w:w="2300" w:type="dxa"/>
            <w:vAlign w:val="bottom"/>
          </w:tcPr>
          <w:p>
            <w:pPr>
              <w:ind w:left="218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117" w:lineRule="exact"/>
        <w:rPr>
          <w:sz w:val="24"/>
          <w:szCs w:val="24"/>
          <w:color w:val="auto"/>
        </w:rPr>
      </w:pPr>
    </w:p>
    <w:p>
      <w:pPr>
        <w:spacing w:after="0" w:line="179"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114935</wp:posOffset>
            </wp:positionV>
            <wp:extent cx="214947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49475"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281305</wp:posOffset>
            </wp:positionV>
            <wp:extent cx="716661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6610"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300990</wp:posOffset>
            </wp:positionV>
            <wp:extent cx="7166610" cy="127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6610"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531495</wp:posOffset>
            </wp:positionV>
            <wp:extent cx="716661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385" w:right="31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3"/>
          <w:szCs w:val="13"/>
          <w:b w:val="1"/>
          <w:bCs w:val="1"/>
          <w:color w:val="auto"/>
        </w:rPr>
        <w:t>EXPLANATORY NOTE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This registration statement contains two parts:</w:t>
      </w:r>
    </w:p>
    <w:p>
      <w:pPr>
        <w:spacing w:after="0" w:line="172" w:lineRule="exact"/>
        <w:rPr>
          <w:sz w:val="20"/>
          <w:szCs w:val="20"/>
          <w:color w:val="auto"/>
        </w:rPr>
      </w:pPr>
    </w:p>
    <w:p>
      <w:pPr>
        <w:ind w:left="480" w:hanging="237"/>
        <w:spacing w:after="0" w:line="301" w:lineRule="auto"/>
        <w:tabs>
          <w:tab w:leader="none" w:pos="480" w:val="left"/>
        </w:tabs>
        <w:numPr>
          <w:ilvl w:val="0"/>
          <w:numId w:val="1"/>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a base prospectus (the “</w:t>
      </w:r>
      <w:r>
        <w:rPr>
          <w:rFonts w:ascii="Times New Roman" w:cs="Times New Roman" w:eastAsia="Times New Roman" w:hAnsi="Times New Roman"/>
          <w:sz w:val="13"/>
          <w:szCs w:val="13"/>
          <w:i w:val="1"/>
          <w:iCs w:val="1"/>
          <w:color w:val="auto"/>
        </w:rPr>
        <w:t>Base Prospectus</w:t>
      </w:r>
      <w:r>
        <w:rPr>
          <w:rFonts w:ascii="Times New Roman" w:cs="Times New Roman" w:eastAsia="Times New Roman" w:hAnsi="Times New Roman"/>
          <w:sz w:val="13"/>
          <w:szCs w:val="13"/>
          <w:color w:val="auto"/>
        </w:rPr>
        <w:t>”) that covers the offering, issuance and sale by us of common stock, preferred stock, debt securities, warrants, rights and units, in each case from time to time in one or more offerings; and</w:t>
      </w:r>
    </w:p>
    <w:p>
      <w:pPr>
        <w:spacing w:after="0" w:line="109" w:lineRule="exact"/>
        <w:rPr>
          <w:rFonts w:ascii="Arial" w:cs="Arial" w:eastAsia="Arial" w:hAnsi="Arial"/>
          <w:sz w:val="13"/>
          <w:szCs w:val="13"/>
          <w:b w:val="1"/>
          <w:bCs w:val="1"/>
          <w:color w:val="auto"/>
        </w:rPr>
      </w:pPr>
    </w:p>
    <w:p>
      <w:pPr>
        <w:jc w:val="both"/>
        <w:ind w:left="480" w:hanging="237"/>
        <w:spacing w:after="0" w:line="280" w:lineRule="auto"/>
        <w:tabs>
          <w:tab w:leader="none" w:pos="480" w:val="left"/>
        </w:tabs>
        <w:numPr>
          <w:ilvl w:val="0"/>
          <w:numId w:val="1"/>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an “at the market offering” equity offering sales agreement prospectus supplement (the “</w:t>
      </w:r>
      <w:r>
        <w:rPr>
          <w:rFonts w:ascii="Times New Roman" w:cs="Times New Roman" w:eastAsia="Times New Roman" w:hAnsi="Times New Roman"/>
          <w:sz w:val="13"/>
          <w:szCs w:val="13"/>
          <w:i w:val="1"/>
          <w:iCs w:val="1"/>
          <w:color w:val="auto"/>
        </w:rPr>
        <w:t>ATM Prospectus Supplement</w:t>
      </w:r>
      <w:r>
        <w:rPr>
          <w:rFonts w:ascii="Times New Roman" w:cs="Times New Roman" w:eastAsia="Times New Roman" w:hAnsi="Times New Roman"/>
          <w:sz w:val="13"/>
          <w:szCs w:val="13"/>
          <w:color w:val="auto"/>
        </w:rPr>
        <w:t>”) covering the offering, issuance and sale by us of up to a maximum aggregate offering price of $500.0 million of our Class A common stock that may be issued and sold under a Sales Agreement (the “</w:t>
      </w:r>
      <w:r>
        <w:rPr>
          <w:rFonts w:ascii="Times New Roman" w:cs="Times New Roman" w:eastAsia="Times New Roman" w:hAnsi="Times New Roman"/>
          <w:sz w:val="13"/>
          <w:szCs w:val="13"/>
          <w:i w:val="1"/>
          <w:iCs w:val="1"/>
          <w:color w:val="auto"/>
        </w:rPr>
        <w:t>Sales Agreement</w:t>
      </w:r>
      <w:r>
        <w:rPr>
          <w:rFonts w:ascii="Times New Roman" w:cs="Times New Roman" w:eastAsia="Times New Roman" w:hAnsi="Times New Roman"/>
          <w:sz w:val="13"/>
          <w:szCs w:val="13"/>
          <w:color w:val="auto"/>
        </w:rPr>
        <w:t>”) with UBS Securities LLC, Morgan Stanley &amp; Co. LLC and Needham &amp; Company, LLC.</w:t>
      </w:r>
    </w:p>
    <w:p>
      <w:pPr>
        <w:spacing w:after="0" w:line="125"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3"/>
          <w:szCs w:val="13"/>
          <w:color w:val="auto"/>
        </w:rPr>
        <w:t>The Base Prospectus immediately follows this explanatory note. The specific terms of any securities to be offered pursuant to the Base Prospectus will be specified in a prospectus supplement to the Base Prospectus. The specific terms of the securities to be issued and sold under the Sales Agreement are specified in the ATM Prospectus Supplement that immediately follows the Base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298450</wp:posOffset>
            </wp:positionV>
            <wp:extent cx="716661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3"/>
          <w:szCs w:val="13"/>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121285</wp:posOffset>
            </wp:positionV>
            <wp:extent cx="1976120" cy="4749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76120" cy="474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Navitas Semiconductor Corporation</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COMMON STOCK</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PREFERRED STOCK</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DEBT SECURITIES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WARRANTS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RIGHTS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136525</wp:posOffset>
            </wp:positionV>
            <wp:extent cx="1430655"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30655" cy="635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may offer and sell the securities identified above from time to time, or any combination thereof, in one or more offerings in amounts, at prices and on terms that we determine at the time of the offering.</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This prospectus provides you with a general description of the securities.</w:t>
      </w:r>
    </w:p>
    <w:p>
      <w:pPr>
        <w:spacing w:after="0" w:line="16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3"/>
          <w:szCs w:val="13"/>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 This prospectus may not be used to offer and sell securities without a prospectus supplement.</w:t>
      </w:r>
    </w:p>
    <w:p>
      <w:pPr>
        <w:spacing w:after="0" w:line="12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3"/>
          <w:szCs w:val="13"/>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w:t>
      </w:r>
      <w:r>
        <w:rPr>
          <w:rFonts w:ascii="Times New Roman" w:cs="Times New Roman" w:eastAsia="Times New Roman" w:hAnsi="Times New Roman"/>
          <w:sz w:val="13"/>
          <w:szCs w:val="13"/>
          <w:i w:val="1"/>
          <w:iCs w:val="1"/>
          <w:color w:val="auto"/>
        </w:rPr>
        <w:t>About this Prospectus</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i w:val="1"/>
          <w:iCs w:val="1"/>
          <w:color w:val="auto"/>
        </w:rPr>
        <w:t>Plan of</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Distribution</w:t>
      </w:r>
      <w:r>
        <w:rPr>
          <w:rFonts w:ascii="Times New Roman" w:cs="Times New Roman" w:eastAsia="Times New Roman" w:hAnsi="Times New Roman"/>
          <w:sz w:val="13"/>
          <w:szCs w:val="13"/>
          <w:color w:val="auto"/>
        </w:rPr>
        <w:t>” for more information.</w:t>
      </w:r>
    </w:p>
    <w:p>
      <w:pPr>
        <w:spacing w:after="0" w:line="12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3"/>
          <w:szCs w:val="13"/>
          <w:color w:val="auto"/>
        </w:rPr>
        <w:t>Our Class A common stock (the “</w:t>
      </w:r>
      <w:r>
        <w:rPr>
          <w:rFonts w:ascii="Times New Roman" w:cs="Times New Roman" w:eastAsia="Times New Roman" w:hAnsi="Times New Roman"/>
          <w:sz w:val="13"/>
          <w:szCs w:val="13"/>
          <w:i w:val="1"/>
          <w:iCs w:val="1"/>
          <w:color w:val="auto"/>
        </w:rPr>
        <w:t>Class A Common Stock</w:t>
      </w:r>
      <w:r>
        <w:rPr>
          <w:rFonts w:ascii="Times New Roman" w:cs="Times New Roman" w:eastAsia="Times New Roman" w:hAnsi="Times New Roman"/>
          <w:sz w:val="13"/>
          <w:szCs w:val="13"/>
          <w:color w:val="auto"/>
        </w:rPr>
        <w:t>”) is listed on The Nasdaq Global Market (“</w:t>
      </w:r>
      <w:r>
        <w:rPr>
          <w:rFonts w:ascii="Times New Roman" w:cs="Times New Roman" w:eastAsia="Times New Roman" w:hAnsi="Times New Roman"/>
          <w:sz w:val="13"/>
          <w:szCs w:val="13"/>
          <w:i w:val="1"/>
          <w:iCs w:val="1"/>
          <w:color w:val="auto"/>
        </w:rPr>
        <w:t>Nasdaq</w:t>
      </w:r>
      <w:r>
        <w:rPr>
          <w:rFonts w:ascii="Times New Roman" w:cs="Times New Roman" w:eastAsia="Times New Roman" w:hAnsi="Times New Roman"/>
          <w:sz w:val="13"/>
          <w:szCs w:val="13"/>
          <w:color w:val="auto"/>
        </w:rPr>
        <w:t>”) under the symbol “NVTS.” On June 5, 2026, the last reported sale price of the Class A Common Stock on Nasdaq was $25.08 per share. If we decide to list or seek a quotation for any other securities, the prospectus supplement relating to those securities will disclose the exchange or market on which those securities will be listed or quoted.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113665</wp:posOffset>
            </wp:positionV>
            <wp:extent cx="1430655"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30655" cy="6350"/>
                    </a:xfrm>
                    <a:prstGeom prst="rect">
                      <a:avLst/>
                    </a:prstGeom>
                    <a:noFill/>
                  </pic:spPr>
                </pic:pic>
              </a:graphicData>
            </a:graphic>
          </wp:anchor>
        </w:drawing>
      </w:r>
    </w:p>
    <w:p>
      <w:pPr>
        <w:spacing w:after="0" w:line="374"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3"/>
          <w:szCs w:val="13"/>
          <w:b w:val="1"/>
          <w:bCs w:val="1"/>
          <w:color w:val="auto"/>
        </w:rPr>
        <w:t>INVESTING IN OUR SECURITIES INVOLVES SIGNIFICANT RISKS. SEE THE “</w:t>
      </w:r>
      <w:r>
        <w:rPr>
          <w:rFonts w:ascii="Times New Roman" w:cs="Times New Roman" w:eastAsia="Times New Roman" w:hAnsi="Times New Roman"/>
          <w:sz w:val="13"/>
          <w:szCs w:val="13"/>
          <w:b w:val="1"/>
          <w:bCs w:val="1"/>
          <w:i w:val="1"/>
          <w:iCs w:val="1"/>
          <w:color w:val="auto"/>
        </w:rPr>
        <w:t>RISK FACTORS</w:t>
      </w:r>
      <w:r>
        <w:rPr>
          <w:rFonts w:ascii="Times New Roman" w:cs="Times New Roman" w:eastAsia="Times New Roman" w:hAnsi="Times New Roman"/>
          <w:sz w:val="13"/>
          <w:szCs w:val="13"/>
          <w:b w:val="1"/>
          <w:bCs w:val="1"/>
          <w:color w:val="auto"/>
        </w:rPr>
        <w:t>” ON PAGE 6 OF THIS PROSPECTUS AND ANY SIMILAR SECTION CONTAINED IN THE APPLICABLE PROSPECTUS SUPPLEMENT CONCERNING FACTORS YOU SHOULD CONSIDER BEFORE INVESTING IN OUR SECURITIES.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Neither the Securities and Exchange Commission nor any state securities commission has approved or disapproved of these securities or passed upon the adequacy or accuracy of this prospectus.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136525</wp:posOffset>
            </wp:positionV>
            <wp:extent cx="1430655"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30655" cy="6350"/>
                    </a:xfrm>
                    <a:prstGeom prst="rect">
                      <a:avLst/>
                    </a:prstGeom>
                    <a:noFill/>
                  </pic:spPr>
                </pic:pic>
              </a:graphicData>
            </a:graphic>
          </wp:anchor>
        </w:drawing>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The date of this prospectus is June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339090</wp:posOffset>
            </wp:positionV>
            <wp:extent cx="7166610"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60" w:type="dxa"/>
            <w:vAlign w:val="bottom"/>
            <w:gridSpan w:val="4"/>
          </w:tcPr>
          <w:p>
            <w:pPr>
              <w:ind w:left="300"/>
              <w:spacing w:after="0"/>
              <w:rPr>
                <w:sz w:val="20"/>
                <w:szCs w:val="20"/>
                <w:color w:val="auto"/>
              </w:rPr>
            </w:pPr>
            <w:r>
              <w:rPr>
                <w:rFonts w:ascii="Times New Roman" w:cs="Times New Roman" w:eastAsia="Times New Roman" w:hAnsi="Times New Roman"/>
                <w:sz w:val="13"/>
                <w:szCs w:val="13"/>
                <w:b w:val="1"/>
                <w:bCs w:val="1"/>
                <w:color w:val="auto"/>
              </w:rPr>
              <w:t>TABLE OF CONTENTS</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84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3"/>
                <w:szCs w:val="13"/>
                <w:color w:val="auto"/>
              </w:rPr>
              <w:t>PAGE</w:t>
            </w:r>
          </w:p>
        </w:tc>
        <w:tc>
          <w:tcPr>
            <w:tcW w:w="0" w:type="dxa"/>
            <w:vAlign w:val="bottom"/>
          </w:tcPr>
          <w:p>
            <w:pPr>
              <w:spacing w:after="0"/>
              <w:rPr>
                <w:sz w:val="1"/>
                <w:szCs w:val="1"/>
                <w:color w:val="auto"/>
              </w:rPr>
            </w:pPr>
          </w:p>
        </w:tc>
      </w:tr>
      <w:tr>
        <w:trPr>
          <w:trHeight w:val="152"/>
        </w:trPr>
        <w:tc>
          <w:tcPr>
            <w:tcW w:w="20" w:type="dxa"/>
            <w:vAlign w:val="bottom"/>
            <w:vMerge w:val="restart"/>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vMerge w:val="continue"/>
          </w:tcPr>
          <w:p>
            <w:pPr>
              <w:spacing w:after="0"/>
              <w:rPr>
                <w:sz w:val="11"/>
                <w:szCs w:val="11"/>
                <w:color w:val="auto"/>
              </w:rPr>
            </w:pPr>
          </w:p>
        </w:tc>
        <w:tc>
          <w:tcPr>
            <w:tcW w:w="4600" w:type="dxa"/>
            <w:vAlign w:val="bottom"/>
            <w:gridSpan w:val="14"/>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0000EE"/>
              </w:rPr>
              <w:t>ABOUT THIS PROSPECTUS</w:t>
            </w:r>
          </w:p>
        </w:tc>
        <w:tc>
          <w:tcPr>
            <w:tcW w:w="6320" w:type="dxa"/>
            <w:vAlign w:val="bottom"/>
            <w:gridSpan w:val="3"/>
            <w:shd w:val="clear" w:color="auto" w:fill="CCEEFF"/>
          </w:tcPr>
          <w:p>
            <w:pPr>
              <w:jc w:val="center"/>
              <w:ind w:left="6113"/>
              <w:spacing w:after="0" w:line="131" w:lineRule="exact"/>
              <w:rPr>
                <w:sz w:val="20"/>
                <w:szCs w:val="20"/>
                <w:color w:val="auto"/>
              </w:rPr>
            </w:pPr>
            <w:r>
              <w:rPr>
                <w:rFonts w:ascii="Times New Roman" w:cs="Times New Roman" w:eastAsia="Times New Roman" w:hAnsi="Times New Roman"/>
                <w:sz w:val="13"/>
                <w:szCs w:val="13"/>
                <w:color w:val="0000EE"/>
                <w:w w:val="91"/>
              </w:rPr>
              <w:t>1</w:t>
            </w:r>
          </w:p>
        </w:tc>
        <w:tc>
          <w:tcPr>
            <w:tcW w:w="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820" w:type="dxa"/>
            <w:vAlign w:val="bottom"/>
            <w:shd w:val="clear" w:color="auto" w:fill="CCEEFF"/>
          </w:tcPr>
          <w:p>
            <w:pPr>
              <w:spacing w:after="0"/>
              <w:rPr>
                <w:sz w:val="2"/>
                <w:szCs w:val="2"/>
                <w:color w:val="auto"/>
              </w:rPr>
            </w:pPr>
          </w:p>
        </w:tc>
        <w:tc>
          <w:tcPr>
            <w:tcW w:w="400" w:type="dxa"/>
            <w:vAlign w:val="bottom"/>
            <w:tcBorders>
              <w:right w:val="single" w:sz="8" w:color="CCEEFF"/>
            </w:tcBorders>
            <w:shd w:val="clear" w:color="auto" w:fill="CCEEFF"/>
          </w:tcPr>
          <w:p>
            <w:pPr>
              <w:spacing w:after="0"/>
              <w:rPr>
                <w:sz w:val="2"/>
                <w:szCs w:val="2"/>
                <w:color w:val="auto"/>
              </w:rPr>
            </w:pPr>
          </w:p>
        </w:tc>
        <w:tc>
          <w:tcPr>
            <w:tcW w:w="100" w:type="dxa"/>
            <w:vAlign w:val="bottom"/>
            <w:tcBorders>
              <w:left w:val="single" w:sz="8" w:color="0000EE"/>
            </w:tcBorders>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4600" w:type="dxa"/>
            <w:vAlign w:val="bottom"/>
            <w:gridSpan w:val="14"/>
          </w:tcPr>
          <w:p>
            <w:pPr>
              <w:spacing w:after="0" w:line="131" w:lineRule="exact"/>
              <w:rPr>
                <w:sz w:val="20"/>
                <w:szCs w:val="20"/>
                <w:color w:val="auto"/>
              </w:rPr>
            </w:pPr>
            <w:r>
              <w:rPr>
                <w:rFonts w:ascii="Times New Roman" w:cs="Times New Roman" w:eastAsia="Times New Roman" w:hAnsi="Times New Roman"/>
                <w:sz w:val="13"/>
                <w:szCs w:val="13"/>
                <w:color w:val="0000EE"/>
              </w:rPr>
              <w:t>CAUTIONARY NOTE REGARDING FORWARD-LOOKING STATEMENTS</w:t>
            </w:r>
          </w:p>
        </w:tc>
        <w:tc>
          <w:tcPr>
            <w:tcW w:w="6320" w:type="dxa"/>
            <w:vAlign w:val="bottom"/>
            <w:gridSpan w:val="3"/>
          </w:tcPr>
          <w:p>
            <w:pPr>
              <w:jc w:val="center"/>
              <w:ind w:left="6113"/>
              <w:spacing w:after="0" w:line="131" w:lineRule="exact"/>
              <w:rPr>
                <w:sz w:val="20"/>
                <w:szCs w:val="20"/>
                <w:color w:val="auto"/>
              </w:rPr>
            </w:pPr>
            <w:r>
              <w:rPr>
                <w:rFonts w:ascii="Times New Roman" w:cs="Times New Roman" w:eastAsia="Times New Roman" w:hAnsi="Times New Roman"/>
                <w:sz w:val="13"/>
                <w:szCs w:val="13"/>
                <w:color w:val="0000EE"/>
                <w:w w:val="91"/>
              </w:rPr>
              <w:t>2</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gridSpan w:val="11"/>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0000EE"/>
              </w:rPr>
              <w:t>WHERE YOU CAN FIND MORE INFORMATION</w:t>
            </w:r>
          </w:p>
        </w:tc>
        <w:tc>
          <w:tcPr>
            <w:tcW w:w="1460" w:type="dxa"/>
            <w:vAlign w:val="bottom"/>
            <w:gridSpan w:val="2"/>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320" w:type="dxa"/>
            <w:vAlign w:val="bottom"/>
            <w:gridSpan w:val="3"/>
            <w:shd w:val="clear" w:color="auto" w:fill="CCEEFF"/>
          </w:tcPr>
          <w:p>
            <w:pPr>
              <w:jc w:val="center"/>
              <w:ind w:left="6113"/>
              <w:spacing w:after="0" w:line="142" w:lineRule="exact"/>
              <w:rPr>
                <w:sz w:val="20"/>
                <w:szCs w:val="20"/>
                <w:color w:val="auto"/>
              </w:rPr>
            </w:pPr>
            <w:r>
              <w:rPr>
                <w:rFonts w:ascii="Times New Roman" w:cs="Times New Roman" w:eastAsia="Times New Roman" w:hAnsi="Times New Roman"/>
                <w:sz w:val="13"/>
                <w:szCs w:val="13"/>
                <w:color w:val="0000EE"/>
                <w:w w:val="91"/>
              </w:rPr>
              <w:t>3</w:t>
            </w: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820" w:type="dxa"/>
            <w:vAlign w:val="bottom"/>
            <w:shd w:val="clear" w:color="auto" w:fill="CCEEFF"/>
          </w:tcPr>
          <w:p>
            <w:pPr>
              <w:spacing w:after="0"/>
              <w:rPr>
                <w:sz w:val="2"/>
                <w:szCs w:val="2"/>
                <w:color w:val="auto"/>
              </w:rPr>
            </w:pPr>
          </w:p>
        </w:tc>
        <w:tc>
          <w:tcPr>
            <w:tcW w:w="400" w:type="dxa"/>
            <w:vAlign w:val="bottom"/>
            <w:tcBorders>
              <w:right w:val="single" w:sz="8" w:color="CCEEFF"/>
            </w:tcBorders>
            <w:shd w:val="clear" w:color="auto" w:fill="CCEEFF"/>
          </w:tcPr>
          <w:p>
            <w:pPr>
              <w:spacing w:after="0"/>
              <w:rPr>
                <w:sz w:val="2"/>
                <w:szCs w:val="2"/>
                <w:color w:val="auto"/>
              </w:rPr>
            </w:pPr>
          </w:p>
        </w:tc>
        <w:tc>
          <w:tcPr>
            <w:tcW w:w="100" w:type="dxa"/>
            <w:vAlign w:val="bottom"/>
            <w:tcBorders>
              <w:left w:val="single" w:sz="8" w:color="0000EE"/>
            </w:tcBorders>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3860" w:type="dxa"/>
            <w:vAlign w:val="bottom"/>
            <w:gridSpan w:val="12"/>
          </w:tcPr>
          <w:p>
            <w:pPr>
              <w:spacing w:after="0" w:line="131" w:lineRule="exact"/>
              <w:rPr>
                <w:sz w:val="20"/>
                <w:szCs w:val="20"/>
                <w:color w:val="auto"/>
              </w:rPr>
            </w:pPr>
            <w:r>
              <w:rPr>
                <w:rFonts w:ascii="Times New Roman" w:cs="Times New Roman" w:eastAsia="Times New Roman" w:hAnsi="Times New Roman"/>
                <w:sz w:val="13"/>
                <w:szCs w:val="13"/>
                <w:color w:val="0000EE"/>
              </w:rPr>
              <w:t>INCORPORATION OF CERTAIN INFORMATION BY REFERENCE</w:t>
            </w:r>
          </w:p>
        </w:tc>
        <w:tc>
          <w:tcPr>
            <w:tcW w:w="740" w:type="dxa"/>
            <w:vAlign w:val="bottom"/>
            <w:gridSpan w:val="2"/>
          </w:tcPr>
          <w:p>
            <w:pPr>
              <w:spacing w:after="0"/>
              <w:rPr>
                <w:sz w:val="11"/>
                <w:szCs w:val="11"/>
                <w:color w:val="auto"/>
              </w:rPr>
            </w:pPr>
          </w:p>
        </w:tc>
        <w:tc>
          <w:tcPr>
            <w:tcW w:w="6320" w:type="dxa"/>
            <w:vAlign w:val="bottom"/>
            <w:gridSpan w:val="3"/>
          </w:tcPr>
          <w:p>
            <w:pPr>
              <w:jc w:val="center"/>
              <w:ind w:left="6113"/>
              <w:spacing w:after="0" w:line="131" w:lineRule="exact"/>
              <w:rPr>
                <w:sz w:val="20"/>
                <w:szCs w:val="20"/>
                <w:color w:val="auto"/>
              </w:rPr>
            </w:pPr>
            <w:r>
              <w:rPr>
                <w:rFonts w:ascii="Times New Roman" w:cs="Times New Roman" w:eastAsia="Times New Roman" w:hAnsi="Times New Roman"/>
                <w:sz w:val="13"/>
                <w:szCs w:val="13"/>
                <w:color w:val="0000EE"/>
                <w:w w:val="91"/>
              </w:rPr>
              <w:t>4</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92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0000EE"/>
                <w:w w:val="94"/>
              </w:rPr>
              <w:t>THE COMPANY</w:t>
            </w:r>
          </w:p>
        </w:tc>
        <w:tc>
          <w:tcPr>
            <w:tcW w:w="2940" w:type="dxa"/>
            <w:vAlign w:val="bottom"/>
            <w:tcBorders>
              <w:left w:val="single" w:sz="8" w:color="CCEEFF"/>
            </w:tcBorders>
            <w:gridSpan w:val="10"/>
            <w:shd w:val="clear" w:color="auto" w:fill="CCEEFF"/>
          </w:tcPr>
          <w:p>
            <w:pPr>
              <w:spacing w:after="0"/>
              <w:rPr>
                <w:sz w:val="12"/>
                <w:szCs w:val="12"/>
                <w:color w:val="auto"/>
              </w:rPr>
            </w:pPr>
          </w:p>
        </w:tc>
        <w:tc>
          <w:tcPr>
            <w:tcW w:w="740" w:type="dxa"/>
            <w:vAlign w:val="bottom"/>
            <w:gridSpan w:val="2"/>
            <w:shd w:val="clear" w:color="auto" w:fill="CCEEFF"/>
          </w:tcPr>
          <w:p>
            <w:pPr>
              <w:spacing w:after="0"/>
              <w:rPr>
                <w:sz w:val="12"/>
                <w:szCs w:val="12"/>
                <w:color w:val="auto"/>
              </w:rPr>
            </w:pPr>
          </w:p>
        </w:tc>
        <w:tc>
          <w:tcPr>
            <w:tcW w:w="6320" w:type="dxa"/>
            <w:vAlign w:val="bottom"/>
            <w:gridSpan w:val="3"/>
            <w:shd w:val="clear" w:color="auto" w:fill="CCEEFF"/>
          </w:tcPr>
          <w:p>
            <w:pPr>
              <w:jc w:val="center"/>
              <w:ind w:left="6113"/>
              <w:spacing w:after="0" w:line="142" w:lineRule="exact"/>
              <w:rPr>
                <w:sz w:val="20"/>
                <w:szCs w:val="20"/>
                <w:color w:val="auto"/>
              </w:rPr>
            </w:pPr>
            <w:r>
              <w:rPr>
                <w:rFonts w:ascii="Times New Roman" w:cs="Times New Roman" w:eastAsia="Times New Roman" w:hAnsi="Times New Roman"/>
                <w:sz w:val="13"/>
                <w:szCs w:val="13"/>
                <w:color w:val="0000EE"/>
                <w:w w:val="91"/>
              </w:rPr>
              <w:t>5</w:t>
            </w: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820" w:type="dxa"/>
            <w:vAlign w:val="bottom"/>
            <w:shd w:val="clear" w:color="auto" w:fill="CCEEFF"/>
          </w:tcPr>
          <w:p>
            <w:pPr>
              <w:spacing w:after="0"/>
              <w:rPr>
                <w:sz w:val="2"/>
                <w:szCs w:val="2"/>
                <w:color w:val="auto"/>
              </w:rPr>
            </w:pPr>
          </w:p>
        </w:tc>
        <w:tc>
          <w:tcPr>
            <w:tcW w:w="400" w:type="dxa"/>
            <w:vAlign w:val="bottom"/>
            <w:tcBorders>
              <w:right w:val="single" w:sz="8" w:color="CCEEFF"/>
            </w:tcBorders>
            <w:shd w:val="clear" w:color="auto" w:fill="CCEEFF"/>
          </w:tcPr>
          <w:p>
            <w:pPr>
              <w:spacing w:after="0"/>
              <w:rPr>
                <w:sz w:val="2"/>
                <w:szCs w:val="2"/>
                <w:color w:val="auto"/>
              </w:rPr>
            </w:pPr>
          </w:p>
        </w:tc>
        <w:tc>
          <w:tcPr>
            <w:tcW w:w="100" w:type="dxa"/>
            <w:vAlign w:val="bottom"/>
            <w:tcBorders>
              <w:left w:val="single" w:sz="8" w:color="0000EE"/>
            </w:tcBorders>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920" w:type="dxa"/>
            <w:vAlign w:val="bottom"/>
            <w:gridSpan w:val="2"/>
          </w:tcPr>
          <w:p>
            <w:pPr>
              <w:spacing w:after="0" w:line="131" w:lineRule="exact"/>
              <w:rPr>
                <w:sz w:val="20"/>
                <w:szCs w:val="20"/>
                <w:color w:val="auto"/>
              </w:rPr>
            </w:pPr>
            <w:r>
              <w:rPr>
                <w:rFonts w:ascii="Times New Roman" w:cs="Times New Roman" w:eastAsia="Times New Roman" w:hAnsi="Times New Roman"/>
                <w:sz w:val="13"/>
                <w:szCs w:val="13"/>
                <w:color w:val="0000EE"/>
                <w:w w:val="96"/>
              </w:rPr>
              <w:t>RISK FACTORS</w:t>
            </w:r>
          </w:p>
        </w:tc>
        <w:tc>
          <w:tcPr>
            <w:tcW w:w="3680" w:type="dxa"/>
            <w:vAlign w:val="bottom"/>
            <w:gridSpan w:val="12"/>
          </w:tcPr>
          <w:p>
            <w:pPr>
              <w:spacing w:after="0"/>
              <w:rPr>
                <w:sz w:val="11"/>
                <w:szCs w:val="11"/>
                <w:color w:val="auto"/>
              </w:rPr>
            </w:pPr>
          </w:p>
        </w:tc>
        <w:tc>
          <w:tcPr>
            <w:tcW w:w="6320" w:type="dxa"/>
            <w:vAlign w:val="bottom"/>
            <w:gridSpan w:val="3"/>
          </w:tcPr>
          <w:p>
            <w:pPr>
              <w:jc w:val="center"/>
              <w:ind w:left="6113"/>
              <w:spacing w:after="0" w:line="131" w:lineRule="exact"/>
              <w:rPr>
                <w:sz w:val="20"/>
                <w:szCs w:val="20"/>
                <w:color w:val="auto"/>
              </w:rPr>
            </w:pPr>
            <w:r>
              <w:rPr>
                <w:rFonts w:ascii="Times New Roman" w:cs="Times New Roman" w:eastAsia="Times New Roman" w:hAnsi="Times New Roman"/>
                <w:sz w:val="13"/>
                <w:szCs w:val="13"/>
                <w:color w:val="0000EE"/>
                <w:w w:val="91"/>
              </w:rPr>
              <w:t>6</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gridSpan w:val="14"/>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0000EE"/>
              </w:rPr>
              <w:t>USE OF PROCEEDS</w:t>
            </w:r>
          </w:p>
        </w:tc>
        <w:tc>
          <w:tcPr>
            <w:tcW w:w="6320" w:type="dxa"/>
            <w:vAlign w:val="bottom"/>
            <w:gridSpan w:val="3"/>
            <w:shd w:val="clear" w:color="auto" w:fill="CCEEFF"/>
          </w:tcPr>
          <w:p>
            <w:pPr>
              <w:jc w:val="center"/>
              <w:ind w:left="6113"/>
              <w:spacing w:after="0" w:line="142" w:lineRule="exact"/>
              <w:rPr>
                <w:sz w:val="20"/>
                <w:szCs w:val="20"/>
                <w:color w:val="auto"/>
              </w:rPr>
            </w:pPr>
            <w:r>
              <w:rPr>
                <w:rFonts w:ascii="Times New Roman" w:cs="Times New Roman" w:eastAsia="Times New Roman" w:hAnsi="Times New Roman"/>
                <w:sz w:val="13"/>
                <w:szCs w:val="13"/>
                <w:color w:val="0000EE"/>
                <w:w w:val="91"/>
              </w:rPr>
              <w:t>7</w:t>
            </w: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820" w:type="dxa"/>
            <w:vAlign w:val="bottom"/>
            <w:shd w:val="clear" w:color="auto" w:fill="CCEEFF"/>
          </w:tcPr>
          <w:p>
            <w:pPr>
              <w:spacing w:after="0"/>
              <w:rPr>
                <w:sz w:val="2"/>
                <w:szCs w:val="2"/>
                <w:color w:val="auto"/>
              </w:rPr>
            </w:pPr>
          </w:p>
        </w:tc>
        <w:tc>
          <w:tcPr>
            <w:tcW w:w="400" w:type="dxa"/>
            <w:vAlign w:val="bottom"/>
            <w:tcBorders>
              <w:right w:val="single" w:sz="8" w:color="CCEEFF"/>
            </w:tcBorders>
            <w:shd w:val="clear" w:color="auto" w:fill="CCEEFF"/>
          </w:tcPr>
          <w:p>
            <w:pPr>
              <w:spacing w:after="0"/>
              <w:rPr>
                <w:sz w:val="2"/>
                <w:szCs w:val="2"/>
                <w:color w:val="auto"/>
              </w:rPr>
            </w:pPr>
          </w:p>
        </w:tc>
        <w:tc>
          <w:tcPr>
            <w:tcW w:w="100" w:type="dxa"/>
            <w:vAlign w:val="bottom"/>
            <w:tcBorders>
              <w:left w:val="single" w:sz="8" w:color="0000EE"/>
            </w:tcBorders>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4600" w:type="dxa"/>
            <w:vAlign w:val="bottom"/>
            <w:gridSpan w:val="14"/>
          </w:tcPr>
          <w:p>
            <w:pPr>
              <w:spacing w:after="0" w:line="131" w:lineRule="exact"/>
              <w:rPr>
                <w:sz w:val="20"/>
                <w:szCs w:val="20"/>
                <w:color w:val="auto"/>
              </w:rPr>
            </w:pPr>
            <w:r>
              <w:rPr>
                <w:rFonts w:ascii="Times New Roman" w:cs="Times New Roman" w:eastAsia="Times New Roman" w:hAnsi="Times New Roman"/>
                <w:sz w:val="13"/>
                <w:szCs w:val="13"/>
                <w:color w:val="0000EE"/>
              </w:rPr>
              <w:t>DESCRIPTION OF OUR CAPITAL STOCK</w:t>
            </w:r>
          </w:p>
        </w:tc>
        <w:tc>
          <w:tcPr>
            <w:tcW w:w="6320" w:type="dxa"/>
            <w:vAlign w:val="bottom"/>
            <w:gridSpan w:val="3"/>
          </w:tcPr>
          <w:p>
            <w:pPr>
              <w:jc w:val="center"/>
              <w:ind w:left="6113"/>
              <w:spacing w:after="0" w:line="131" w:lineRule="exact"/>
              <w:rPr>
                <w:sz w:val="20"/>
                <w:szCs w:val="20"/>
                <w:color w:val="auto"/>
              </w:rPr>
            </w:pPr>
            <w:r>
              <w:rPr>
                <w:rFonts w:ascii="Times New Roman" w:cs="Times New Roman" w:eastAsia="Times New Roman" w:hAnsi="Times New Roman"/>
                <w:sz w:val="13"/>
                <w:szCs w:val="13"/>
                <w:color w:val="0000EE"/>
                <w:w w:val="91"/>
              </w:rPr>
              <w:t>8</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2440" w:type="dxa"/>
            <w:vAlign w:val="bottom"/>
            <w:gridSpan w:val="10"/>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0000EE"/>
              </w:rPr>
              <w:t>DESCRIPTION OF DEBT SECURITIES</w:t>
            </w:r>
          </w:p>
        </w:tc>
        <w:tc>
          <w:tcPr>
            <w:tcW w:w="2160" w:type="dxa"/>
            <w:vAlign w:val="bottom"/>
            <w:gridSpan w:val="4"/>
            <w:shd w:val="clear" w:color="auto" w:fill="CCEEFF"/>
          </w:tcPr>
          <w:p>
            <w:pPr>
              <w:spacing w:after="0"/>
              <w:rPr>
                <w:sz w:val="13"/>
                <w:szCs w:val="13"/>
                <w:color w:val="auto"/>
              </w:rPr>
            </w:pPr>
          </w:p>
        </w:tc>
        <w:tc>
          <w:tcPr>
            <w:tcW w:w="6320" w:type="dxa"/>
            <w:vAlign w:val="bottom"/>
            <w:gridSpan w:val="3"/>
            <w:shd w:val="clear" w:color="auto" w:fill="CCEEFF"/>
          </w:tcPr>
          <w:p>
            <w:pPr>
              <w:jc w:val="center"/>
              <w:ind w:left="6113"/>
              <w:spacing w:after="0" w:line="142" w:lineRule="exact"/>
              <w:rPr>
                <w:sz w:val="20"/>
                <w:szCs w:val="20"/>
                <w:color w:val="auto"/>
              </w:rPr>
            </w:pPr>
            <w:r>
              <w:rPr>
                <w:rFonts w:ascii="Times New Roman" w:cs="Times New Roman" w:eastAsia="Times New Roman" w:hAnsi="Times New Roman"/>
                <w:sz w:val="13"/>
                <w:szCs w:val="13"/>
                <w:color w:val="0000EE"/>
              </w:rPr>
              <w:t>11</w:t>
            </w:r>
          </w:p>
        </w:tc>
        <w:tc>
          <w:tcPr>
            <w:tcW w:w="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40" w:type="dxa"/>
            <w:vAlign w:val="bottom"/>
            <w:tcBorders>
              <w:top w:val="single" w:sz="8" w:color="0000EE"/>
              <w:bottom w:val="single" w:sz="8" w:color="0000EE"/>
            </w:tcBorders>
            <w:gridSpan w:val="8"/>
          </w:tcPr>
          <w:p>
            <w:pPr>
              <w:spacing w:after="0" w:line="131" w:lineRule="exact"/>
              <w:rPr>
                <w:sz w:val="20"/>
                <w:szCs w:val="20"/>
                <w:color w:val="auto"/>
              </w:rPr>
            </w:pPr>
            <w:r>
              <w:rPr>
                <w:rFonts w:ascii="Times New Roman" w:cs="Times New Roman" w:eastAsia="Times New Roman" w:hAnsi="Times New Roman"/>
                <w:sz w:val="13"/>
                <w:szCs w:val="13"/>
                <w:color w:val="0000EE"/>
              </w:rPr>
              <w:t>DESCRIPTION OF WARRANTS</w:t>
            </w:r>
          </w:p>
        </w:tc>
        <w:tc>
          <w:tcPr>
            <w:tcW w:w="400" w:type="dxa"/>
            <w:vAlign w:val="bottom"/>
            <w:tcBorders>
              <w:top w:val="single" w:sz="8" w:color="0000EE"/>
            </w:tcBorders>
          </w:tcPr>
          <w:p>
            <w:pPr>
              <w:spacing w:after="0"/>
              <w:rPr>
                <w:sz w:val="11"/>
                <w:szCs w:val="11"/>
                <w:color w:val="auto"/>
              </w:rPr>
            </w:pPr>
          </w:p>
        </w:tc>
        <w:tc>
          <w:tcPr>
            <w:tcW w:w="2360" w:type="dxa"/>
            <w:vAlign w:val="bottom"/>
            <w:tcBorders>
              <w:top w:val="single" w:sz="8" w:color="CCEEFF"/>
            </w:tcBorders>
            <w:gridSpan w:val="5"/>
          </w:tcPr>
          <w:p>
            <w:pPr>
              <w:spacing w:after="0"/>
              <w:rPr>
                <w:sz w:val="11"/>
                <w:szCs w:val="11"/>
                <w:color w:val="auto"/>
              </w:rPr>
            </w:pPr>
          </w:p>
        </w:tc>
        <w:tc>
          <w:tcPr>
            <w:tcW w:w="6220" w:type="dxa"/>
            <w:vAlign w:val="bottom"/>
            <w:tcBorders>
              <w:top w:val="single" w:sz="8" w:color="CCEEFF"/>
            </w:tcBorders>
            <w:gridSpan w:val="2"/>
          </w:tcPr>
          <w:p>
            <w:pPr>
              <w:spacing w:after="0"/>
              <w:rPr>
                <w:sz w:val="11"/>
                <w:szCs w:val="11"/>
                <w:color w:val="auto"/>
              </w:rPr>
            </w:pPr>
          </w:p>
        </w:tc>
        <w:tc>
          <w:tcPr>
            <w:tcW w:w="100" w:type="dxa"/>
            <w:vAlign w:val="bottom"/>
            <w:tcBorders>
              <w:top w:val="single" w:sz="8" w:color="0000EE"/>
              <w:bottom w:val="single" w:sz="8" w:color="0000EE"/>
            </w:tcBorders>
          </w:tcPr>
          <w:p>
            <w:pPr>
              <w:jc w:val="center"/>
              <w:spacing w:after="0" w:line="131" w:lineRule="exact"/>
              <w:rPr>
                <w:sz w:val="20"/>
                <w:szCs w:val="20"/>
                <w:color w:val="auto"/>
              </w:rPr>
            </w:pPr>
            <w:r>
              <w:rPr>
                <w:rFonts w:ascii="Times New Roman" w:cs="Times New Roman" w:eastAsia="Times New Roman" w:hAnsi="Times New Roman"/>
                <w:sz w:val="13"/>
                <w:szCs w:val="13"/>
                <w:color w:val="0000EE"/>
                <w:w w:val="76"/>
              </w:rPr>
              <w:t>18</w:t>
            </w:r>
          </w:p>
        </w:tc>
        <w:tc>
          <w:tcPr>
            <w:tcW w:w="34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600" w:type="dxa"/>
            <w:vAlign w:val="bottom"/>
            <w:gridSpan w:val="14"/>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0000EE"/>
              </w:rPr>
              <w:t>DESCRIPTION OF RIGHTS</w:t>
            </w:r>
          </w:p>
        </w:tc>
        <w:tc>
          <w:tcPr>
            <w:tcW w:w="6660" w:type="dxa"/>
            <w:vAlign w:val="bottom"/>
            <w:gridSpan w:val="4"/>
            <w:shd w:val="clear" w:color="auto" w:fill="CCEEFF"/>
          </w:tcPr>
          <w:p>
            <w:pPr>
              <w:jc w:val="center"/>
              <w:ind w:left="5773"/>
              <w:spacing w:after="0" w:line="142" w:lineRule="exact"/>
              <w:rPr>
                <w:sz w:val="20"/>
                <w:szCs w:val="20"/>
                <w:color w:val="auto"/>
              </w:rPr>
            </w:pPr>
            <w:r>
              <w:rPr>
                <w:rFonts w:ascii="Times New Roman" w:cs="Times New Roman" w:eastAsia="Times New Roman" w:hAnsi="Times New Roman"/>
                <w:sz w:val="13"/>
                <w:szCs w:val="13"/>
                <w:color w:val="0000EE"/>
              </w:rPr>
              <w:t>20</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500" w:type="dxa"/>
            <w:vAlign w:val="bottom"/>
            <w:tcBorders>
              <w:top w:val="single" w:sz="8" w:color="0000EE"/>
              <w:bottom w:val="single" w:sz="8" w:color="0000EE"/>
            </w:tcBorders>
            <w:gridSpan w:val="5"/>
          </w:tcPr>
          <w:p>
            <w:pPr>
              <w:spacing w:after="0" w:line="131" w:lineRule="exact"/>
              <w:rPr>
                <w:sz w:val="20"/>
                <w:szCs w:val="20"/>
                <w:color w:val="auto"/>
              </w:rPr>
            </w:pPr>
            <w:r>
              <w:rPr>
                <w:rFonts w:ascii="Times New Roman" w:cs="Times New Roman" w:eastAsia="Times New Roman" w:hAnsi="Times New Roman"/>
                <w:sz w:val="13"/>
                <w:szCs w:val="13"/>
                <w:color w:val="0000EE"/>
              </w:rPr>
              <w:t>DESCRIPTION OF UNITS</w:t>
            </w:r>
          </w:p>
        </w:tc>
        <w:tc>
          <w:tcPr>
            <w:tcW w:w="140" w:type="dxa"/>
            <w:vAlign w:val="bottom"/>
            <w:tcBorders>
              <w:top w:val="single" w:sz="8" w:color="0000EE"/>
            </w:tcBorders>
            <w:gridSpan w:val="2"/>
          </w:tcPr>
          <w:p>
            <w:pPr>
              <w:spacing w:after="0"/>
              <w:rPr>
                <w:sz w:val="11"/>
                <w:szCs w:val="11"/>
                <w:color w:val="auto"/>
              </w:rPr>
            </w:pPr>
          </w:p>
        </w:tc>
        <w:tc>
          <w:tcPr>
            <w:tcW w:w="2960" w:type="dxa"/>
            <w:vAlign w:val="bottom"/>
            <w:tcBorders>
              <w:top w:val="single" w:sz="8" w:color="CCEEFF"/>
            </w:tcBorders>
            <w:gridSpan w:val="7"/>
          </w:tcPr>
          <w:p>
            <w:pPr>
              <w:spacing w:after="0"/>
              <w:rPr>
                <w:sz w:val="11"/>
                <w:szCs w:val="11"/>
                <w:color w:val="auto"/>
              </w:rPr>
            </w:pPr>
          </w:p>
        </w:tc>
        <w:tc>
          <w:tcPr>
            <w:tcW w:w="6220" w:type="dxa"/>
            <w:vAlign w:val="bottom"/>
            <w:tcBorders>
              <w:top w:val="single" w:sz="8" w:color="CCEEFF"/>
            </w:tcBorders>
            <w:gridSpan w:val="2"/>
          </w:tcPr>
          <w:p>
            <w:pPr>
              <w:spacing w:after="0"/>
              <w:rPr>
                <w:sz w:val="11"/>
                <w:szCs w:val="11"/>
                <w:color w:val="auto"/>
              </w:rPr>
            </w:pPr>
          </w:p>
        </w:tc>
        <w:tc>
          <w:tcPr>
            <w:tcW w:w="100" w:type="dxa"/>
            <w:vAlign w:val="bottom"/>
            <w:tcBorders>
              <w:top w:val="single" w:sz="8" w:color="0000EE"/>
              <w:bottom w:val="single" w:sz="8" w:color="0000EE"/>
            </w:tcBorders>
          </w:tcPr>
          <w:p>
            <w:pPr>
              <w:jc w:val="center"/>
              <w:spacing w:after="0" w:line="131" w:lineRule="exact"/>
              <w:rPr>
                <w:sz w:val="20"/>
                <w:szCs w:val="20"/>
                <w:color w:val="auto"/>
              </w:rPr>
            </w:pPr>
            <w:r>
              <w:rPr>
                <w:rFonts w:ascii="Times New Roman" w:cs="Times New Roman" w:eastAsia="Times New Roman" w:hAnsi="Times New Roman"/>
                <w:sz w:val="13"/>
                <w:szCs w:val="13"/>
                <w:color w:val="0000EE"/>
                <w:w w:val="76"/>
              </w:rPr>
              <w:t>22</w:t>
            </w:r>
          </w:p>
        </w:tc>
        <w:tc>
          <w:tcPr>
            <w:tcW w:w="34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520" w:type="dxa"/>
            <w:vAlign w:val="bottom"/>
            <w:tcBorders>
              <w:bottom w:val="single" w:sz="8" w:color="0000EE"/>
            </w:tcBorders>
            <w:gridSpan w:val="6"/>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0000EE"/>
              </w:rPr>
              <w:t>PLAN OF DISTRIBUTION</w:t>
            </w:r>
          </w:p>
        </w:tc>
        <w:tc>
          <w:tcPr>
            <w:tcW w:w="3080" w:type="dxa"/>
            <w:vAlign w:val="bottom"/>
            <w:tcBorders>
              <w:bottom w:val="single" w:sz="8" w:color="CCEEFF"/>
            </w:tcBorders>
            <w:gridSpan w:val="8"/>
            <w:shd w:val="clear" w:color="auto" w:fill="CCEEFF"/>
          </w:tcPr>
          <w:p>
            <w:pPr>
              <w:spacing w:after="0"/>
              <w:rPr>
                <w:sz w:val="13"/>
                <w:szCs w:val="13"/>
                <w:color w:val="auto"/>
              </w:rPr>
            </w:pPr>
          </w:p>
        </w:tc>
        <w:tc>
          <w:tcPr>
            <w:tcW w:w="6220" w:type="dxa"/>
            <w:vAlign w:val="bottom"/>
            <w:tcBorders>
              <w:bottom w:val="single" w:sz="8" w:color="CCEEFF"/>
              <w:right w:val="single" w:sz="8" w:color="CCEEFF"/>
            </w:tcBorders>
            <w:gridSpan w:val="2"/>
            <w:shd w:val="clear" w:color="auto" w:fill="CCEEFF"/>
          </w:tcPr>
          <w:p>
            <w:pPr>
              <w:spacing w:after="0"/>
              <w:rPr>
                <w:sz w:val="13"/>
                <w:szCs w:val="13"/>
                <w:color w:val="auto"/>
              </w:rPr>
            </w:pPr>
          </w:p>
        </w:tc>
        <w:tc>
          <w:tcPr>
            <w:tcW w:w="100" w:type="dxa"/>
            <w:vAlign w:val="bottom"/>
            <w:tcBorders>
              <w:left w:val="single" w:sz="8" w:color="CCEEFF"/>
              <w:bottom w:val="single" w:sz="8" w:color="0000EE"/>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3"/>
                <w:szCs w:val="13"/>
                <w:color w:val="0000EE"/>
                <w:w w:val="76"/>
              </w:rPr>
              <w:t>23</w:t>
            </w:r>
          </w:p>
        </w:tc>
        <w:tc>
          <w:tcPr>
            <w:tcW w:w="3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600" w:type="dxa"/>
            <w:vAlign w:val="bottom"/>
            <w:gridSpan w:val="14"/>
          </w:tcPr>
          <w:p>
            <w:pPr>
              <w:spacing w:after="0" w:line="131" w:lineRule="exact"/>
              <w:rPr>
                <w:sz w:val="20"/>
                <w:szCs w:val="20"/>
                <w:color w:val="auto"/>
              </w:rPr>
            </w:pPr>
            <w:r>
              <w:rPr>
                <w:rFonts w:ascii="Times New Roman" w:cs="Times New Roman" w:eastAsia="Times New Roman" w:hAnsi="Times New Roman"/>
                <w:sz w:val="13"/>
                <w:szCs w:val="13"/>
                <w:color w:val="0000EE"/>
              </w:rPr>
              <w:t>LEGAL MATTERS</w:t>
            </w:r>
          </w:p>
        </w:tc>
        <w:tc>
          <w:tcPr>
            <w:tcW w:w="6660" w:type="dxa"/>
            <w:vAlign w:val="bottom"/>
            <w:gridSpan w:val="4"/>
          </w:tcPr>
          <w:p>
            <w:pPr>
              <w:jc w:val="center"/>
              <w:ind w:left="5773"/>
              <w:spacing w:after="0" w:line="131" w:lineRule="exact"/>
              <w:rPr>
                <w:sz w:val="20"/>
                <w:szCs w:val="20"/>
                <w:color w:val="auto"/>
              </w:rPr>
            </w:pPr>
            <w:r>
              <w:rPr>
                <w:rFonts w:ascii="Times New Roman" w:cs="Times New Roman" w:eastAsia="Times New Roman" w:hAnsi="Times New Roman"/>
                <w:sz w:val="13"/>
                <w:szCs w:val="13"/>
                <w:color w:val="0000EE"/>
              </w:rPr>
              <w:t>26</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060" w:type="dxa"/>
            <w:vAlign w:val="bottom"/>
            <w:tcBorders>
              <w:top w:val="single" w:sz="8" w:color="0000EE"/>
            </w:tcBorders>
            <w:gridSpan w:val="3"/>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0000EE"/>
              </w:rPr>
              <w:t>EXPERTS</w:t>
            </w:r>
          </w:p>
        </w:tc>
        <w:tc>
          <w:tcPr>
            <w:tcW w:w="3540" w:type="dxa"/>
            <w:vAlign w:val="bottom"/>
            <w:gridSpan w:val="11"/>
            <w:shd w:val="clear" w:color="auto" w:fill="CCEEFF"/>
          </w:tcPr>
          <w:p>
            <w:pPr>
              <w:spacing w:after="0"/>
              <w:rPr>
                <w:sz w:val="13"/>
                <w:szCs w:val="13"/>
                <w:color w:val="auto"/>
              </w:rPr>
            </w:pPr>
          </w:p>
        </w:tc>
        <w:tc>
          <w:tcPr>
            <w:tcW w:w="6220" w:type="dxa"/>
            <w:vAlign w:val="bottom"/>
            <w:tcBorders>
              <w:right w:val="single" w:sz="8" w:color="CCEEFF"/>
            </w:tcBorders>
            <w:gridSpan w:val="2"/>
            <w:shd w:val="clear" w:color="auto" w:fill="CCEEFF"/>
          </w:tcPr>
          <w:p>
            <w:pPr>
              <w:spacing w:after="0"/>
              <w:rPr>
                <w:sz w:val="13"/>
                <w:szCs w:val="13"/>
                <w:color w:val="auto"/>
              </w:rPr>
            </w:pPr>
          </w:p>
        </w:tc>
        <w:tc>
          <w:tcPr>
            <w:tcW w:w="100" w:type="dxa"/>
            <w:vAlign w:val="bottom"/>
            <w:tcBorders>
              <w:top w:val="single" w:sz="8" w:color="0000EE"/>
              <w:left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3"/>
                <w:szCs w:val="13"/>
                <w:color w:val="0000EE"/>
                <w:w w:val="76"/>
              </w:rPr>
              <w:t>26</w:t>
            </w:r>
          </w:p>
        </w:tc>
        <w:tc>
          <w:tcPr>
            <w:tcW w:w="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505"/>
        </w:trPr>
        <w:tc>
          <w:tcPr>
            <w:tcW w:w="20" w:type="dxa"/>
            <w:vAlign w:val="bottom"/>
          </w:tcPr>
          <w:p>
            <w:pPr>
              <w:spacing w:after="0"/>
              <w:rPr>
                <w:sz w:val="24"/>
                <w:szCs w:val="24"/>
                <w:color w:val="auto"/>
              </w:rPr>
            </w:pPr>
          </w:p>
        </w:tc>
        <w:tc>
          <w:tcPr>
            <w:tcW w:w="56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102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582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709" w:right="3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3"/>
          <w:szCs w:val="13"/>
          <w:b w:val="1"/>
          <w:bCs w:val="1"/>
          <w:color w:val="auto"/>
        </w:rPr>
        <w:t>ABOUT THIS PROSPECTUS</w:t>
      </w:r>
    </w:p>
    <w:p>
      <w:pPr>
        <w:spacing w:after="0" w:line="17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color w:val="auto"/>
        </w:rPr>
        <w:t>To understand the terms of the securities offered by this prospectus, you should carefully read this prospectus and any applicable prospectus supplement. You should also read the documents referred to under the heading “</w:t>
      </w:r>
      <w:r>
        <w:rPr>
          <w:rFonts w:ascii="Times New Roman" w:cs="Times New Roman" w:eastAsia="Times New Roman" w:hAnsi="Times New Roman"/>
          <w:sz w:val="13"/>
          <w:szCs w:val="13"/>
          <w:i w:val="1"/>
          <w:iCs w:val="1"/>
          <w:color w:val="auto"/>
        </w:rPr>
        <w:t>Where You Can Find More Information</w:t>
      </w:r>
      <w:r>
        <w:rPr>
          <w:rFonts w:ascii="Times New Roman" w:cs="Times New Roman" w:eastAsia="Times New Roman" w:hAnsi="Times New Roman"/>
          <w:sz w:val="13"/>
          <w:szCs w:val="13"/>
          <w:color w:val="auto"/>
        </w:rPr>
        <w:t>” for information on us and the business conducted by us.</w:t>
      </w:r>
    </w:p>
    <w:p>
      <w:pPr>
        <w:spacing w:after="0" w:line="1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3"/>
          <w:szCs w:val="13"/>
          <w:color w:val="auto"/>
        </w:rPr>
        <w:t>This prospectus is part of a registration statement filed with the Securities and Exchange Commission (the “</w:t>
      </w:r>
      <w:r>
        <w:rPr>
          <w:rFonts w:ascii="Times New Roman" w:cs="Times New Roman" w:eastAsia="Times New Roman" w:hAnsi="Times New Roman"/>
          <w:sz w:val="13"/>
          <w:szCs w:val="13"/>
          <w:i w:val="1"/>
          <w:iCs w:val="1"/>
          <w:color w:val="auto"/>
        </w:rPr>
        <w:t>SEC</w:t>
      </w:r>
      <w:r>
        <w:rPr>
          <w:rFonts w:ascii="Times New Roman" w:cs="Times New Roman" w:eastAsia="Times New Roman" w:hAnsi="Times New Roman"/>
          <w:sz w:val="13"/>
          <w:szCs w:val="13"/>
          <w:color w:val="auto"/>
        </w:rPr>
        <w:t>”), using a “shelf” registration process. Under this shelf registration process, we may sell the securities described in this prospectus in one or more offerings. This prospectus provides you with a general description of the securities which may be offered. Each time we offer securities for sale, we will provide a prospectus supplement that contains information about the specific terms of that offering. We may also authorize one or more free writing prospectuses to be provided to you that may contain material information relating to these offerings. Any prospectus supplement or free writing prospectus may also add or update information contained in this prospectus. If there is any inconsistency between the information in this prospectus and the applicable prospectus supplement or free writing prospectus, you should rely on the prospectus supplement or free writing prospectus, as applicable. You should read both this prospectus and any prospectus supplement together with additional information described below under “</w:t>
      </w:r>
      <w:r>
        <w:rPr>
          <w:rFonts w:ascii="Times New Roman" w:cs="Times New Roman" w:eastAsia="Times New Roman" w:hAnsi="Times New Roman"/>
          <w:sz w:val="13"/>
          <w:szCs w:val="13"/>
          <w:i w:val="1"/>
          <w:iCs w:val="1"/>
          <w:color w:val="auto"/>
        </w:rPr>
        <w:t>Where You Can Find More Information</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i w:val="1"/>
          <w:iCs w:val="1"/>
          <w:color w:val="auto"/>
        </w:rPr>
        <w:t>Incorporation of Certain Information by Reference.</w:t>
      </w:r>
      <w:r>
        <w:rPr>
          <w:rFonts w:ascii="Times New Roman" w:cs="Times New Roman" w:eastAsia="Times New Roman" w:hAnsi="Times New Roman"/>
          <w:sz w:val="13"/>
          <w:szCs w:val="13"/>
          <w:color w:val="auto"/>
        </w:rPr>
        <w:t>”</w:t>
      </w:r>
    </w:p>
    <w:p>
      <w:pPr>
        <w:spacing w:after="0" w:line="13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3"/>
          <w:szCs w:val="13"/>
          <w:color w:val="auto"/>
        </w:rPr>
        <w:t>You should rely only on the information contained or incorporated by reference in this prospectus, and in any prospectus supplement or free writing prospectus. We have not authorized any other person to provide you with different information. If anyone provides you with different or inconsistent information, you should not rely on it. We are not making offers to sell or solicitations to buy the securities described in this prospectus in any jurisdiction in which an offer or solicitation is not authorized, or in which the person making that offer or solicitation is not qualified to do so or to anyone to whom it is unlawful to make an offer or solicitation. You should not assume that the information in this prospectus or any prospectus supplement, as well as the information we file or previously filed with the SEC that we incorporate by reference in this prospectus or any prospectus supplement, is accurate as of any date other than its respective date. Our business, financial condition, results of operations and prospects may have changed since those dates.</w:t>
      </w:r>
    </w:p>
    <w:p>
      <w:pPr>
        <w:spacing w:after="0" w:line="29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3"/>
          <w:szCs w:val="13"/>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t>
      </w:r>
      <w:r>
        <w:rPr>
          <w:rFonts w:ascii="Times New Roman" w:cs="Times New Roman" w:eastAsia="Times New Roman" w:hAnsi="Times New Roman"/>
          <w:sz w:val="13"/>
          <w:szCs w:val="13"/>
          <w:i w:val="1"/>
          <w:iCs w:val="1"/>
          <w:color w:val="auto"/>
        </w:rPr>
        <w:t>Where You Can Find More Information</w:t>
      </w:r>
      <w:r>
        <w:rPr>
          <w:rFonts w:ascii="Times New Roman" w:cs="Times New Roman" w:eastAsia="Times New Roman" w:hAnsi="Times New Roman"/>
          <w:sz w:val="13"/>
          <w:szCs w:val="13"/>
          <w:color w:val="auto"/>
        </w:rPr>
        <w:t>.”</w:t>
      </w:r>
    </w:p>
    <w:p>
      <w:pPr>
        <w:spacing w:after="0" w:line="12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3"/>
          <w:szCs w:val="13"/>
          <w:color w:val="auto"/>
        </w:rPr>
        <w:t>Unless the context otherwise indicates, references in this prospectus to the “</w:t>
      </w:r>
      <w:r>
        <w:rPr>
          <w:rFonts w:ascii="Times New Roman" w:cs="Times New Roman" w:eastAsia="Times New Roman" w:hAnsi="Times New Roman"/>
          <w:sz w:val="13"/>
          <w:szCs w:val="13"/>
          <w:i w:val="1"/>
          <w:iCs w:val="1"/>
          <w:color w:val="auto"/>
        </w:rPr>
        <w:t>Company</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i w:val="1"/>
          <w:iCs w:val="1"/>
          <w:color w:val="auto"/>
        </w:rPr>
        <w:t>Navitas</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i w:val="1"/>
          <w:iCs w:val="1"/>
          <w:color w:val="auto"/>
        </w:rPr>
        <w:t>we</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i w:val="1"/>
          <w:iCs w:val="1"/>
          <w:color w:val="auto"/>
        </w:rPr>
        <w:t>our</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i w:val="1"/>
          <w:iCs w:val="1"/>
          <w:color w:val="auto"/>
        </w:rPr>
        <w:t>us</w:t>
      </w:r>
      <w:r>
        <w:rPr>
          <w:rFonts w:ascii="Times New Roman" w:cs="Times New Roman" w:eastAsia="Times New Roman" w:hAnsi="Times New Roman"/>
          <w:sz w:val="13"/>
          <w:szCs w:val="13"/>
          <w:color w:val="auto"/>
        </w:rPr>
        <w:t>” refer, collectively, to Navitas Semiconductor Corporation and its consolidated subsidiaries.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3"/>
          <w:szCs w:val="13"/>
          <w:b w:val="1"/>
          <w:bCs w:val="1"/>
          <w:color w:val="auto"/>
        </w:rPr>
        <w:t>CAUTIONARY NOTE REGARDING FORWARD-LOOKING STATEMENTS</w:t>
      </w:r>
    </w:p>
    <w:p>
      <w:pPr>
        <w:spacing w:after="0" w:line="17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3"/>
          <w:szCs w:val="13"/>
          <w:color w:val="auto"/>
        </w:rPr>
        <w:t>This prospectus, any prospectus supplement and the documents incorporated by reference herein and therein contain forward-looking information within the meaning of the safe harbor provisions of the U.S. Private Securities Litigation Reform Act of 1995, which involve risks and uncertainties. The forward-looking statements relate to future events regarding such matters as anticipated financial performance, business prospects, technological developments, new products, research and development activities and similar matters. In order to comply with the terms of the safe harbor provisions, we note that a variety of factors could cause our actual results and experience to differ materially and adversely from the anticipated results or other expectations expressed in the forward-looking statements. The risks and uncertainties that may affect the operation, performance, development and results of our business include, but are not limited to, those matters discussed in our most recent Annual Report on Form 10-K, in the sections entitled “</w:t>
      </w:r>
      <w:r>
        <w:rPr>
          <w:rFonts w:ascii="Times New Roman" w:cs="Times New Roman" w:eastAsia="Times New Roman" w:hAnsi="Times New Roman"/>
          <w:sz w:val="13"/>
          <w:szCs w:val="13"/>
          <w:i w:val="1"/>
          <w:iCs w:val="1"/>
          <w:color w:val="auto"/>
        </w:rPr>
        <w:t>Management’s Discussion and Analysis of Financial Condition and Results of Operations</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i w:val="1"/>
          <w:iCs w:val="1"/>
          <w:color w:val="auto"/>
        </w:rPr>
        <w:t>Risk Factors</w:t>
      </w:r>
      <w:r>
        <w:rPr>
          <w:rFonts w:ascii="Times New Roman" w:cs="Times New Roman" w:eastAsia="Times New Roman" w:hAnsi="Times New Roman"/>
          <w:sz w:val="13"/>
          <w:szCs w:val="13"/>
          <w:color w:val="auto"/>
        </w:rPr>
        <w:t>,” and in the same sections of our subsequently-filed Quarterly Reports on Form 10-Q, as may be further updated by any Current Reports on Form 8-K that we may file. The words “believe,” “expect,” “anticipate,” “project,” “target,” “intend,” “plan,” “seek,” “estimate,” “endeavor,” “should,” “could,” “may” and similar expressions are intended to identify forward-looking statements. However, the absence of these words or similar expressions does not mean that a statement is not forward-looking. You are cautioned not to place undue reliance on these forward-looking statements, which speak only as of the date of the documents that contain them. We undertake no obligation to publicly revise or update forward-looking statements to reflect events or circumstances that arise after those dates, except as may be required under applicable law. Our actual results may differ from the anticipated results or other expectations expressed in such forward-looking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3"/>
          <w:szCs w:val="13"/>
          <w:b w:val="1"/>
          <w:bCs w:val="1"/>
          <w:color w:val="auto"/>
        </w:rPr>
        <w:t>WHERE YOU CAN FIND MORE INFORMATION</w:t>
      </w:r>
    </w:p>
    <w:p>
      <w:pPr>
        <w:spacing w:after="0" w:line="1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As required by the Securities Act of 1933, as amended (the “</w:t>
      </w:r>
      <w:r>
        <w:rPr>
          <w:rFonts w:ascii="Times New Roman" w:cs="Times New Roman" w:eastAsia="Times New Roman" w:hAnsi="Times New Roman"/>
          <w:sz w:val="13"/>
          <w:szCs w:val="13"/>
          <w:i w:val="1"/>
          <w:iCs w:val="1"/>
          <w:color w:val="auto"/>
        </w:rPr>
        <w:t>Securities Act</w:t>
      </w:r>
      <w:r>
        <w:rPr>
          <w:rFonts w:ascii="Times New Roman" w:cs="Times New Roman" w:eastAsia="Times New Roman" w:hAnsi="Times New Roman"/>
          <w:sz w:val="13"/>
          <w:szCs w:val="13"/>
          <w:color w:val="auto"/>
        </w:rPr>
        <w:t>”), we filed a registration statement relating to the securities offered by this prospectus with the SEC. This prospectus is a part of that registration statement, which includes additional information. This prospectus omits some information contained in the registration statement in accordance with SEC rules and regulations. You should review the information and exhibits in the registration statement for further information about us and our consolidated subsidiaries and the securities we are offering. Statements in this prospectus concerning any document we filed as an exhibit to the registration statement or that we otherwise filed with the SEC are not intended to be comprehensive and are qualified by reference to these filings and the exhibits attached thereto. You should review the complete document to evaluate these statements.</w:t>
      </w:r>
    </w:p>
    <w:p>
      <w:pPr>
        <w:spacing w:after="0" w:line="12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3"/>
          <w:szCs w:val="13"/>
          <w:color w:val="auto"/>
        </w:rPr>
        <w:t>We are subject to the reporting requirements of the Securities Exchange Act of 1934, as amended (the “</w:t>
      </w:r>
      <w:r>
        <w:rPr>
          <w:rFonts w:ascii="Times New Roman" w:cs="Times New Roman" w:eastAsia="Times New Roman" w:hAnsi="Times New Roman"/>
          <w:sz w:val="13"/>
          <w:szCs w:val="13"/>
          <w:i w:val="1"/>
          <w:iCs w:val="1"/>
          <w:color w:val="auto"/>
        </w:rPr>
        <w:t>Exchange Act</w:t>
      </w:r>
      <w:r>
        <w:rPr>
          <w:rFonts w:ascii="Times New Roman" w:cs="Times New Roman" w:eastAsia="Times New Roman" w:hAnsi="Times New Roman"/>
          <w:sz w:val="13"/>
          <w:szCs w:val="13"/>
          <w:color w:val="auto"/>
        </w:rPr>
        <w:t>”), and are required to file with the SEC annual, quarterly and current reports, proxy statements and other information. Our SEC filings are available to the public over the Internet at the SEC’s website at http://www.sec.gov. Copies of certain information filed by us with the SEC are also available on our website at https://ir.navitassemi.com. Our website is not a part of this prospectus and the information contained on, or accessible through, our website is not incorporated by reference in this prospectus.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3"/>
          <w:szCs w:val="13"/>
          <w:b w:val="1"/>
          <w:bCs w:val="1"/>
          <w:color w:val="auto"/>
        </w:rPr>
        <w:t>INCORPORATION OF CERTAIN INFORMATION BY REFERENCE</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The SEC allows us to incorporate important information into this prospectus by referring you to other documents which contain that information, including documents that we have already filed with the SEC and documents that we will file later with the SEC. Any information that is incorporated by reference (or deemed incorporated by reference, as discussed below) will automatically update and supersede earlier-filed information. Because we are incorporating our future SEC filings by reference, this prospectus and any accompanying prospectus supplement will be continually updated by those future filings, and those future filings may modify or supersede some of the information included or incorporated by reference in this prospectus and such accompanying prospectus supplements. This means you must review all SEC filings that we incorporate by reference to determine if any of the statements in this prospectus, or in an accompanying prospectus supplement, or in any document previously incorporated by reference, have been modified or superseded by subsequent filings.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documents have been filed by us with the SEC and are incorporated by reference into this prospectus:</w:t>
      </w:r>
    </w:p>
    <w:p>
      <w:pPr>
        <w:spacing w:after="0" w:line="174" w:lineRule="exact"/>
        <w:rPr>
          <w:sz w:val="20"/>
          <w:szCs w:val="20"/>
          <w:color w:val="auto"/>
        </w:rPr>
      </w:pPr>
    </w:p>
    <w:p>
      <w:pPr>
        <w:ind w:left="480" w:hanging="237"/>
        <w:spacing w:after="0" w:line="298" w:lineRule="auto"/>
        <w:tabs>
          <w:tab w:leader="none" w:pos="48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our Annual Report on Form 10-K for the fiscal year ended December 31, 2025, filed with the SEC on </w:t>
      </w:r>
      <w:hyperlink r:id="rId28">
        <w:r>
          <w:rPr>
            <w:rFonts w:ascii="Times New Roman" w:cs="Times New Roman" w:eastAsia="Times New Roman" w:hAnsi="Times New Roman"/>
            <w:sz w:val="13"/>
            <w:szCs w:val="13"/>
            <w:u w:val="single" w:color="auto"/>
            <w:color w:val="0000EE"/>
          </w:rPr>
          <w:t>February 27, 2026</w:t>
        </w:r>
      </w:hyperlink>
      <w:r>
        <w:rPr>
          <w:rFonts w:ascii="Times New Roman" w:cs="Times New Roman" w:eastAsia="Times New Roman" w:hAnsi="Times New Roman"/>
          <w:sz w:val="13"/>
          <w:szCs w:val="13"/>
          <w:color w:val="auto"/>
        </w:rPr>
        <w:t xml:space="preserve">, as amended by Amendment No. 1 to our Annual Report on Form 10-K/A for the fiscal year ended December 31, 2025, filed with the SEC on </w:t>
      </w:r>
      <w:hyperlink r:id="rId29">
        <w:r>
          <w:rPr>
            <w:rFonts w:ascii="Times New Roman" w:cs="Times New Roman" w:eastAsia="Times New Roman" w:hAnsi="Times New Roman"/>
            <w:sz w:val="13"/>
            <w:szCs w:val="13"/>
            <w:u w:val="single" w:color="auto"/>
            <w:color w:val="0000EE"/>
          </w:rPr>
          <w:t>April 30, 2026</w:t>
        </w:r>
      </w:hyperlink>
      <w:r>
        <w:rPr>
          <w:rFonts w:ascii="Times New Roman" w:cs="Times New Roman" w:eastAsia="Times New Roman" w:hAnsi="Times New Roman"/>
          <w:sz w:val="13"/>
          <w:szCs w:val="13"/>
          <w:color w:val="auto"/>
        </w:rPr>
        <w:t>;</w:t>
      </w:r>
    </w:p>
    <w:p>
      <w:pPr>
        <w:spacing w:after="0" w:line="113" w:lineRule="exact"/>
        <w:rPr>
          <w:rFonts w:ascii="Times New Roman" w:cs="Times New Roman" w:eastAsia="Times New Roman" w:hAnsi="Times New Roman"/>
          <w:sz w:val="13"/>
          <w:szCs w:val="13"/>
          <w:color w:val="auto"/>
        </w:rPr>
      </w:pPr>
    </w:p>
    <w:p>
      <w:pPr>
        <w:ind w:left="480" w:hanging="237"/>
        <w:spacing w:after="0"/>
        <w:tabs>
          <w:tab w:leader="none" w:pos="48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our Quarterly Report on Form 10-Q for the quarter ended March 31, 2026, filed with the SEC on </w:t>
      </w:r>
      <w:hyperlink r:id="rId30">
        <w:r>
          <w:rPr>
            <w:rFonts w:ascii="Times New Roman" w:cs="Times New Roman" w:eastAsia="Times New Roman" w:hAnsi="Times New Roman"/>
            <w:sz w:val="13"/>
            <w:szCs w:val="13"/>
            <w:u w:val="single" w:color="auto"/>
            <w:color w:val="0000EE"/>
          </w:rPr>
          <w:t>May 5, 2026</w:t>
        </w:r>
      </w:hyperlink>
      <w:r>
        <w:rPr>
          <w:rFonts w:ascii="Times New Roman" w:cs="Times New Roman" w:eastAsia="Times New Roman" w:hAnsi="Times New Roman"/>
          <w:sz w:val="13"/>
          <w:szCs w:val="13"/>
          <w:color w:val="auto"/>
        </w:rPr>
        <w:t>;</w:t>
      </w:r>
    </w:p>
    <w:p>
      <w:pPr>
        <w:spacing w:after="0" w:line="173" w:lineRule="exact"/>
        <w:rPr>
          <w:rFonts w:ascii="Times New Roman" w:cs="Times New Roman" w:eastAsia="Times New Roman" w:hAnsi="Times New Roman"/>
          <w:sz w:val="13"/>
          <w:szCs w:val="13"/>
          <w:color w:val="auto"/>
        </w:rPr>
      </w:pPr>
    </w:p>
    <w:p>
      <w:pPr>
        <w:ind w:left="480" w:hanging="237"/>
        <w:spacing w:after="0" w:line="298" w:lineRule="auto"/>
        <w:tabs>
          <w:tab w:leader="none" w:pos="480" w:val="left"/>
        </w:tabs>
        <w:numPr>
          <w:ilvl w:val="0"/>
          <w:numId w:val="2"/>
        </w:numPr>
        <w:rPr>
          <w:rFonts w:ascii="Times New Roman" w:cs="Times New Roman" w:eastAsia="Times New Roman" w:hAnsi="Times New Roman"/>
          <w:sz w:val="13"/>
          <w:szCs w:val="13"/>
          <w:color w:val="0000EE"/>
        </w:rPr>
      </w:pPr>
      <w:hyperlink r:id="rId31">
        <w:r>
          <w:rPr>
            <w:rFonts w:ascii="Times New Roman" w:cs="Times New Roman" w:eastAsia="Times New Roman" w:hAnsi="Times New Roman"/>
            <w:sz w:val="13"/>
            <w:szCs w:val="13"/>
            <w:color w:val="auto"/>
          </w:rPr>
          <w:t xml:space="preserve">our Current Reports on Form 8-K filed with the SEC on </w:t>
        </w:r>
        <w:r>
          <w:rPr>
            <w:rFonts w:ascii="Times New Roman" w:cs="Times New Roman" w:eastAsia="Times New Roman" w:hAnsi="Times New Roman"/>
            <w:sz w:val="13"/>
            <w:szCs w:val="13"/>
            <w:u w:val="single" w:color="auto"/>
            <w:color w:val="0000EE"/>
          </w:rPr>
          <w:t>February 24, 2026</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EE"/>
          </w:rPr>
          <w:t>February 24, 2026</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EE"/>
          </w:rPr>
          <w:t>March 11, 2026</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EE"/>
          </w:rPr>
          <w:t>March 17, 2026</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EE"/>
          </w:rPr>
          <w:t>April 13, 2026</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EE"/>
          </w:rPr>
          <w:t>May 4, 2026</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EE"/>
          </w:rPr>
          <w:t>May 5, 2026</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EE"/>
          </w:rPr>
          <w:t>May 11, 2026</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EE"/>
          </w:rPr>
          <w:t>May 13,</w:t>
        </w:r>
      </w:hyperlink>
      <w:r>
        <w:rPr>
          <w:rFonts w:ascii="Times New Roman" w:cs="Times New Roman" w:eastAsia="Times New Roman" w:hAnsi="Times New Roman"/>
          <w:sz w:val="13"/>
          <w:szCs w:val="13"/>
          <w:color w:val="auto"/>
        </w:rPr>
        <w:t xml:space="preserve"> </w:t>
      </w:r>
      <w:hyperlink r:id="rId31">
        <w:r>
          <w:rPr>
            <w:rFonts w:ascii="Times New Roman" w:cs="Times New Roman" w:eastAsia="Times New Roman" w:hAnsi="Times New Roman"/>
            <w:sz w:val="13"/>
            <w:szCs w:val="13"/>
            <w:u w:val="single" w:color="auto"/>
            <w:color w:val="0000EE"/>
          </w:rPr>
          <w:t>2026</w:t>
        </w:r>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EE"/>
          </w:rPr>
          <w:t xml:space="preserve"> </w:t>
        </w:r>
      </w:hyperlink>
      <w:hyperlink r:id="rId32">
        <w:r>
          <w:rPr>
            <w:rFonts w:ascii="Times New Roman" w:cs="Times New Roman" w:eastAsia="Times New Roman" w:hAnsi="Times New Roman"/>
            <w:sz w:val="13"/>
            <w:szCs w:val="13"/>
            <w:u w:val="single" w:color="auto"/>
            <w:color w:val="0000EE"/>
          </w:rPr>
          <w:t>May 22, 2026</w:t>
        </w:r>
      </w:hyperlink>
      <w:hyperlink r:id="rId31">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EE"/>
          </w:rPr>
          <w:t xml:space="preserve"> </w:t>
        </w:r>
      </w:hyperlink>
      <w:hyperlink r:id="rId33">
        <w:r>
          <w:rPr>
            <w:rFonts w:ascii="Times New Roman" w:cs="Times New Roman" w:eastAsia="Times New Roman" w:hAnsi="Times New Roman"/>
            <w:sz w:val="13"/>
            <w:szCs w:val="13"/>
            <w:u w:val="single" w:color="auto"/>
            <w:color w:val="0000EE"/>
          </w:rPr>
          <w:t xml:space="preserve">May 22, 2026 </w:t>
        </w:r>
      </w:hyperlink>
      <w:hyperlink r:id="rId31">
        <w:r>
          <w:rPr>
            <w:rFonts w:ascii="Times New Roman" w:cs="Times New Roman" w:eastAsia="Times New Roman" w:hAnsi="Times New Roman"/>
            <w:sz w:val="13"/>
            <w:szCs w:val="13"/>
            <w:color w:val="000000"/>
          </w:rPr>
          <w:t>and</w:t>
        </w:r>
        <w:r>
          <w:rPr>
            <w:rFonts w:ascii="Times New Roman" w:cs="Times New Roman" w:eastAsia="Times New Roman" w:hAnsi="Times New Roman"/>
            <w:sz w:val="13"/>
            <w:szCs w:val="13"/>
            <w:color w:val="0000EE"/>
          </w:rPr>
          <w:t xml:space="preserve"> </w:t>
        </w:r>
      </w:hyperlink>
      <w:hyperlink r:id="rId34">
        <w:r>
          <w:rPr>
            <w:rFonts w:ascii="Times New Roman" w:cs="Times New Roman" w:eastAsia="Times New Roman" w:hAnsi="Times New Roman"/>
            <w:sz w:val="13"/>
            <w:szCs w:val="13"/>
            <w:u w:val="single" w:color="auto"/>
            <w:color w:val="0000EE"/>
          </w:rPr>
          <w:t>June 4, 2026</w:t>
        </w:r>
      </w:hyperlink>
      <w:hyperlink r:id="rId31">
        <w:r>
          <w:rPr>
            <w:rFonts w:ascii="Times New Roman" w:cs="Times New Roman" w:eastAsia="Times New Roman" w:hAnsi="Times New Roman"/>
            <w:sz w:val="13"/>
            <w:szCs w:val="13"/>
            <w:color w:val="000000"/>
          </w:rPr>
          <w:t>; and</w:t>
        </w:r>
      </w:hyperlink>
    </w:p>
    <w:p>
      <w:pPr>
        <w:spacing w:after="0" w:line="113" w:lineRule="exact"/>
        <w:rPr>
          <w:rFonts w:ascii="Times New Roman" w:cs="Times New Roman" w:eastAsia="Times New Roman" w:hAnsi="Times New Roman"/>
          <w:sz w:val="13"/>
          <w:szCs w:val="13"/>
          <w:color w:val="0000EE"/>
        </w:rPr>
      </w:pPr>
    </w:p>
    <w:p>
      <w:pPr>
        <w:ind w:left="480" w:hanging="237"/>
        <w:spacing w:after="0" w:line="298" w:lineRule="auto"/>
        <w:tabs>
          <w:tab w:leader="none" w:pos="48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description of our common stock contained in our Registration Statement on Form 8-A, filed with the SEC on </w:t>
      </w:r>
      <w:hyperlink r:id="rId35">
        <w:r>
          <w:rPr>
            <w:rFonts w:ascii="Times New Roman" w:cs="Times New Roman" w:eastAsia="Times New Roman" w:hAnsi="Times New Roman"/>
            <w:sz w:val="13"/>
            <w:szCs w:val="13"/>
            <w:u w:val="single" w:color="auto"/>
            <w:color w:val="0000EE"/>
          </w:rPr>
          <w:t>October 19, 2021</w:t>
        </w:r>
      </w:hyperlink>
      <w:r>
        <w:rPr>
          <w:rFonts w:ascii="Times New Roman" w:cs="Times New Roman" w:eastAsia="Times New Roman" w:hAnsi="Times New Roman"/>
          <w:sz w:val="13"/>
          <w:szCs w:val="13"/>
          <w:color w:val="auto"/>
        </w:rPr>
        <w:t xml:space="preserve">, including any amendments filed for the purpose of updating such description, including </w:t>
      </w:r>
      <w:hyperlink r:id="rId36">
        <w:r>
          <w:rPr>
            <w:rFonts w:ascii="Times New Roman" w:cs="Times New Roman" w:eastAsia="Times New Roman" w:hAnsi="Times New Roman"/>
            <w:sz w:val="13"/>
            <w:szCs w:val="13"/>
            <w:u w:val="single" w:color="auto"/>
            <w:color w:val="0000EE"/>
          </w:rPr>
          <w:t>Exhibit 4.1</w:t>
        </w:r>
        <w:r>
          <w:rPr>
            <w:rFonts w:ascii="Times New Roman" w:cs="Times New Roman" w:eastAsia="Times New Roman" w:hAnsi="Times New Roman"/>
            <w:sz w:val="13"/>
            <w:szCs w:val="13"/>
            <w:u w:val="single" w:color="auto"/>
            <w:color w:val="auto"/>
          </w:rPr>
          <w:t xml:space="preserve"> </w:t>
        </w:r>
      </w:hyperlink>
      <w:r>
        <w:rPr>
          <w:rFonts w:ascii="Times New Roman" w:cs="Times New Roman" w:eastAsia="Times New Roman" w:hAnsi="Times New Roman"/>
          <w:sz w:val="13"/>
          <w:szCs w:val="13"/>
          <w:color w:val="auto"/>
        </w:rPr>
        <w:t>to our Annual Report on Form 10-K for the fiscal year ended December 31, 2025, as filed with the SEC on February 27, 2026.</w:t>
      </w:r>
    </w:p>
    <w:p>
      <w:pPr>
        <w:spacing w:after="0" w:line="113" w:lineRule="exact"/>
        <w:rPr>
          <w:rFonts w:ascii="Arial" w:cs="Arial" w:eastAsia="Arial" w:hAnsi="Arial"/>
          <w:sz w:val="13"/>
          <w:szCs w:val="13"/>
          <w:b w:val="1"/>
          <w:bCs w:val="1"/>
          <w:color w:val="auto"/>
        </w:rPr>
      </w:pPr>
    </w:p>
    <w:p>
      <w:pPr>
        <w:jc w:val="both"/>
        <w:spacing w:after="0" w:line="272" w:lineRule="auto"/>
        <w:rPr>
          <w:sz w:val="20"/>
          <w:szCs w:val="20"/>
          <w:color w:val="auto"/>
        </w:rPr>
      </w:pPr>
      <w:r>
        <w:rPr>
          <w:rFonts w:ascii="Times New Roman" w:cs="Times New Roman" w:eastAsia="Times New Roman" w:hAnsi="Times New Roman"/>
          <w:sz w:val="13"/>
          <w:szCs w:val="13"/>
          <w:color w:val="auto"/>
        </w:rPr>
        <w:t>In addition, all documents we subsequently file with the SEC (other than any portion of such filings that are furnished under applicable SEC rules rather than filed) pursuant to Sections 13(a), 13(c), 14 and 15(d) of the Exchange Act, after the date of this prospectus and before the later of (1) the completion of the offering of the securities described in this prospectus and any prospectus supplement and (2) the date we stop offering securities pursuant to this prospectus and any prospectus supplement, will be deemed to be incorporated by reference into this prospectus and to be part of this prospectus from the date of filing of such reports and documents.</w:t>
      </w:r>
    </w:p>
    <w:p>
      <w:pPr>
        <w:spacing w:after="0" w:line="131" w:lineRule="exact"/>
        <w:rPr>
          <w:rFonts w:ascii="Arial" w:cs="Arial" w:eastAsia="Arial" w:hAnsi="Arial"/>
          <w:sz w:val="13"/>
          <w:szCs w:val="13"/>
          <w:b w:val="1"/>
          <w:bCs w:val="1"/>
          <w:color w:val="auto"/>
        </w:rPr>
      </w:pPr>
    </w:p>
    <w:p>
      <w:pPr>
        <w:jc w:val="both"/>
        <w:spacing w:after="0" w:line="272" w:lineRule="auto"/>
        <w:rPr>
          <w:sz w:val="20"/>
          <w:szCs w:val="20"/>
          <w:color w:val="auto"/>
        </w:rPr>
      </w:pPr>
      <w:r>
        <w:rPr>
          <w:rFonts w:ascii="Times New Roman" w:cs="Times New Roman" w:eastAsia="Times New Roman" w:hAnsi="Times New Roman"/>
          <w:sz w:val="13"/>
          <w:szCs w:val="13"/>
          <w:color w:val="auto"/>
        </w:rPr>
        <w:t>You should not assume that the information in this prospectus, the prospectus supplement, any applicable pricing supplement or any document incorporated by reference is accurate as of any date other than the date of the applicable document. Any statement contained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be deemed not to constitute a part of this prospectus except as so modified or superseded.</w:t>
      </w:r>
    </w:p>
    <w:p>
      <w:pPr>
        <w:spacing w:after="0" w:line="131" w:lineRule="exact"/>
        <w:rPr>
          <w:rFonts w:ascii="Arial" w:cs="Arial" w:eastAsia="Arial" w:hAnsi="Arial"/>
          <w:sz w:val="13"/>
          <w:szCs w:val="13"/>
          <w:b w:val="1"/>
          <w:bCs w:val="1"/>
          <w:color w:val="auto"/>
        </w:rPr>
      </w:pPr>
    </w:p>
    <w:p>
      <w:pPr>
        <w:jc w:val="both"/>
        <w:spacing w:after="0" w:line="279" w:lineRule="auto"/>
        <w:rPr>
          <w:sz w:val="20"/>
          <w:szCs w:val="20"/>
          <w:color w:val="auto"/>
        </w:rPr>
      </w:pPr>
      <w:r>
        <w:rPr>
          <w:rFonts w:ascii="Times New Roman" w:cs="Times New Roman" w:eastAsia="Times New Roman" w:hAnsi="Times New Roman"/>
          <w:sz w:val="13"/>
          <w:szCs w:val="13"/>
          <w:color w:val="auto"/>
        </w:rPr>
        <w:t>We will provide each person, including any beneficial owner, to whom a prospectus is delivered, with a copy of all of the information that has been incorporated by reference in this prospectus but not delivered with the prospectus. You may obtain copies of these filings, at no cost, through the “</w:t>
      </w:r>
      <w:r>
        <w:rPr>
          <w:rFonts w:ascii="Times New Roman" w:cs="Times New Roman" w:eastAsia="Times New Roman" w:hAnsi="Times New Roman"/>
          <w:sz w:val="13"/>
          <w:szCs w:val="13"/>
          <w:i w:val="1"/>
          <w:iCs w:val="1"/>
          <w:color w:val="auto"/>
        </w:rPr>
        <w:t>Investor Relations</w:t>
      </w:r>
      <w:r>
        <w:rPr>
          <w:rFonts w:ascii="Times New Roman" w:cs="Times New Roman" w:eastAsia="Times New Roman" w:hAnsi="Times New Roman"/>
          <w:sz w:val="13"/>
          <w:szCs w:val="13"/>
          <w:color w:val="auto"/>
        </w:rPr>
        <w:t>” section of our website (https://ir.navitassemi.com) and you may request a copy of these filings (other than an exhibit to any filing unless we have specifically incorporated that exhibit by reference into the filing), at no cost, by writing or telephoning us at the following address:</w:t>
      </w:r>
    </w:p>
    <w:p>
      <w:pPr>
        <w:spacing w:after="0" w:line="125" w:lineRule="exact"/>
        <w:rPr>
          <w:rFonts w:ascii="Arial" w:cs="Arial" w:eastAsia="Arial" w:hAnsi="Arial"/>
          <w:sz w:val="13"/>
          <w:szCs w:val="13"/>
          <w:b w:val="1"/>
          <w:bCs w:val="1"/>
          <w:color w:val="auto"/>
        </w:rPr>
      </w:pPr>
    </w:p>
    <w:p>
      <w:pPr>
        <w:jc w:val="center"/>
        <w:spacing w:after="0"/>
        <w:rPr>
          <w:sz w:val="20"/>
          <w:szCs w:val="20"/>
          <w:color w:val="auto"/>
        </w:rPr>
      </w:pPr>
      <w:r>
        <w:rPr>
          <w:rFonts w:ascii="Times New Roman" w:cs="Times New Roman" w:eastAsia="Times New Roman" w:hAnsi="Times New Roman"/>
          <w:sz w:val="13"/>
          <w:szCs w:val="13"/>
          <w:color w:val="auto"/>
        </w:rPr>
        <w:t>Navitas Semiconductor Corporation</w:t>
      </w:r>
    </w:p>
    <w:p>
      <w:pPr>
        <w:spacing w:after="0" w:line="25" w:lineRule="exact"/>
        <w:rPr>
          <w:rFonts w:ascii="Arial" w:cs="Arial" w:eastAsia="Arial" w:hAnsi="Arial"/>
          <w:sz w:val="13"/>
          <w:szCs w:val="13"/>
          <w:b w:val="1"/>
          <w:bCs w:val="1"/>
          <w:color w:val="auto"/>
        </w:rPr>
      </w:pPr>
    </w:p>
    <w:p>
      <w:pPr>
        <w:jc w:val="center"/>
        <w:spacing w:after="0"/>
        <w:rPr>
          <w:sz w:val="20"/>
          <w:szCs w:val="20"/>
          <w:color w:val="auto"/>
        </w:rPr>
      </w:pPr>
      <w:r>
        <w:rPr>
          <w:rFonts w:ascii="Times New Roman" w:cs="Times New Roman" w:eastAsia="Times New Roman" w:hAnsi="Times New Roman"/>
          <w:sz w:val="13"/>
          <w:szCs w:val="13"/>
          <w:color w:val="auto"/>
        </w:rPr>
        <w:t>3520 Challenger Street</w:t>
      </w:r>
    </w:p>
    <w:p>
      <w:pPr>
        <w:spacing w:after="0" w:line="12" w:lineRule="exact"/>
        <w:rPr>
          <w:rFonts w:ascii="Arial" w:cs="Arial" w:eastAsia="Arial" w:hAnsi="Arial"/>
          <w:sz w:val="13"/>
          <w:szCs w:val="13"/>
          <w:b w:val="1"/>
          <w:bCs w:val="1"/>
          <w:color w:val="auto"/>
        </w:rPr>
      </w:pPr>
    </w:p>
    <w:p>
      <w:pPr>
        <w:jc w:val="center"/>
        <w:spacing w:after="0"/>
        <w:rPr>
          <w:sz w:val="20"/>
          <w:szCs w:val="20"/>
          <w:color w:val="auto"/>
        </w:rPr>
      </w:pPr>
      <w:r>
        <w:rPr>
          <w:rFonts w:ascii="Times New Roman" w:cs="Times New Roman" w:eastAsia="Times New Roman" w:hAnsi="Times New Roman"/>
          <w:sz w:val="13"/>
          <w:szCs w:val="13"/>
          <w:color w:val="auto"/>
        </w:rPr>
        <w:t>Torrance, California 90503-1640</w:t>
      </w:r>
    </w:p>
    <w:p>
      <w:pPr>
        <w:spacing w:after="0" w:line="12" w:lineRule="exact"/>
        <w:rPr>
          <w:rFonts w:ascii="Arial" w:cs="Arial" w:eastAsia="Arial" w:hAnsi="Arial"/>
          <w:sz w:val="13"/>
          <w:szCs w:val="13"/>
          <w:b w:val="1"/>
          <w:bCs w:val="1"/>
          <w:color w:val="auto"/>
        </w:rPr>
      </w:pPr>
    </w:p>
    <w:p>
      <w:pPr>
        <w:jc w:val="center"/>
        <w:spacing w:after="0"/>
        <w:rPr>
          <w:sz w:val="20"/>
          <w:szCs w:val="20"/>
          <w:color w:val="auto"/>
        </w:rPr>
      </w:pPr>
      <w:r>
        <w:rPr>
          <w:rFonts w:ascii="Times New Roman" w:cs="Times New Roman" w:eastAsia="Times New Roman" w:hAnsi="Times New Roman"/>
          <w:sz w:val="13"/>
          <w:szCs w:val="13"/>
          <w:color w:val="auto"/>
        </w:rPr>
        <w:t>Attention: Corporate Secretary</w:t>
      </w:r>
    </w:p>
    <w:p>
      <w:pPr>
        <w:spacing w:after="0" w:line="12" w:lineRule="exact"/>
        <w:rPr>
          <w:rFonts w:ascii="Arial" w:cs="Arial" w:eastAsia="Arial" w:hAnsi="Arial"/>
          <w:sz w:val="13"/>
          <w:szCs w:val="13"/>
          <w:b w:val="1"/>
          <w:bCs w:val="1"/>
          <w:color w:val="auto"/>
        </w:rPr>
      </w:pPr>
    </w:p>
    <w:p>
      <w:pPr>
        <w:jc w:val="center"/>
        <w:spacing w:after="0"/>
        <w:rPr>
          <w:sz w:val="20"/>
          <w:szCs w:val="20"/>
          <w:color w:val="auto"/>
        </w:rPr>
      </w:pPr>
      <w:r>
        <w:rPr>
          <w:rFonts w:ascii="Times New Roman" w:cs="Times New Roman" w:eastAsia="Times New Roman" w:hAnsi="Times New Roman"/>
          <w:sz w:val="13"/>
          <w:szCs w:val="13"/>
          <w:color w:val="auto"/>
        </w:rPr>
        <w:t>Telephone: (844) 654-2642</w:t>
      </w:r>
    </w:p>
    <w:p>
      <w:pPr>
        <w:spacing w:after="0" w:line="323" w:lineRule="exact"/>
        <w:rPr>
          <w:rFonts w:ascii="Arial" w:cs="Arial" w:eastAsia="Arial" w:hAnsi="Arial"/>
          <w:sz w:val="13"/>
          <w:szCs w:val="13"/>
          <w:b w:val="1"/>
          <w:bCs w:val="1"/>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rFonts w:ascii="Arial" w:cs="Arial" w:eastAsia="Arial" w:hAnsi="Arial"/>
          <w:sz w:val="13"/>
          <w:szCs w:val="13"/>
          <w:b w:val="1"/>
          <w:bCs w:val="1"/>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3"/>
          <w:szCs w:val="13"/>
          <w:b w:val="1"/>
          <w:bCs w:val="1"/>
          <w:color w:val="auto"/>
        </w:rPr>
        <w:t>THE COMPANY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Company Overview</w:t>
      </w:r>
    </w:p>
    <w:p>
      <w:pPr>
        <w:spacing w:after="0" w:line="17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3"/>
          <w:szCs w:val="13"/>
          <w:color w:val="auto"/>
        </w:rPr>
        <w:t>We design, develop and market next-generation power semiconductors including gallium nitride (“</w:t>
      </w:r>
      <w:r>
        <w:rPr>
          <w:rFonts w:ascii="Times New Roman" w:cs="Times New Roman" w:eastAsia="Times New Roman" w:hAnsi="Times New Roman"/>
          <w:sz w:val="13"/>
          <w:szCs w:val="13"/>
          <w:i w:val="1"/>
          <w:iCs w:val="1"/>
          <w:color w:val="auto"/>
        </w:rPr>
        <w:t>GaN</w:t>
      </w:r>
      <w:r>
        <w:rPr>
          <w:rFonts w:ascii="Times New Roman" w:cs="Times New Roman" w:eastAsia="Times New Roman" w:hAnsi="Times New Roman"/>
          <w:sz w:val="13"/>
          <w:szCs w:val="13"/>
          <w:color w:val="auto"/>
        </w:rPr>
        <w:t>”) power integrated circuits (“</w:t>
      </w:r>
      <w:r>
        <w:rPr>
          <w:rFonts w:ascii="Times New Roman" w:cs="Times New Roman" w:eastAsia="Times New Roman" w:hAnsi="Times New Roman"/>
          <w:sz w:val="13"/>
          <w:szCs w:val="13"/>
          <w:i w:val="1"/>
          <w:iCs w:val="1"/>
          <w:color w:val="auto"/>
        </w:rPr>
        <w:t>ICs</w:t>
      </w:r>
      <w:r>
        <w:rPr>
          <w:rFonts w:ascii="Times New Roman" w:cs="Times New Roman" w:eastAsia="Times New Roman" w:hAnsi="Times New Roman"/>
          <w:sz w:val="13"/>
          <w:szCs w:val="13"/>
          <w:color w:val="auto"/>
        </w:rPr>
        <w:t>”), high-voltage silicon carbide (“</w:t>
      </w:r>
      <w:r>
        <w:rPr>
          <w:rFonts w:ascii="Times New Roman" w:cs="Times New Roman" w:eastAsia="Times New Roman" w:hAnsi="Times New Roman"/>
          <w:sz w:val="13"/>
          <w:szCs w:val="13"/>
          <w:i w:val="1"/>
          <w:iCs w:val="1"/>
          <w:color w:val="auto"/>
        </w:rPr>
        <w:t>SiC</w:t>
      </w:r>
      <w:r>
        <w:rPr>
          <w:rFonts w:ascii="Times New Roman" w:cs="Times New Roman" w:eastAsia="Times New Roman" w:hAnsi="Times New Roman"/>
          <w:sz w:val="13"/>
          <w:szCs w:val="13"/>
          <w:color w:val="auto"/>
        </w:rPr>
        <w:t>”) devices and associated high-speed silicon system controllers, and digital isolators used in power conversion and charging. We focus on high-power markets including artificial intelligence (“</w:t>
      </w:r>
      <w:r>
        <w:rPr>
          <w:rFonts w:ascii="Times New Roman" w:cs="Times New Roman" w:eastAsia="Times New Roman" w:hAnsi="Times New Roman"/>
          <w:sz w:val="13"/>
          <w:szCs w:val="13"/>
          <w:i w:val="1"/>
          <w:iCs w:val="1"/>
          <w:color w:val="auto"/>
        </w:rPr>
        <w:t>AI</w:t>
      </w:r>
      <w:r>
        <w:rPr>
          <w:rFonts w:ascii="Times New Roman" w:cs="Times New Roman" w:eastAsia="Times New Roman" w:hAnsi="Times New Roman"/>
          <w:sz w:val="13"/>
          <w:szCs w:val="13"/>
          <w:color w:val="auto"/>
        </w:rPr>
        <w:t>”) data centers, energy and grid infrastructure, performance computing and industrial electrification.</w:t>
      </w:r>
    </w:p>
    <w:p>
      <w:pPr>
        <w:spacing w:after="0" w:line="12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3"/>
          <w:szCs w:val="13"/>
          <w:color w:val="auto"/>
        </w:rPr>
        <w:t>Our products are engineered to deliver superior efficiency, performance, power density, and sustainability compared to legacy, silicon-based technologies. By leveraging the unique properties of wide bandgap materials such as GaN and SiC, our solutions enable higher power throughput, higher voltage operation, improved thermal performance, and reduced system size and cost, which are critical advantages for high-power applications such as hyperscale and AI data centers, grid electrification, high-performance computing clusters, and industrial automation. We operate as a product design house that contracts the manufacturing of its chips and packaging to partner suppliers.</w:t>
      </w:r>
    </w:p>
    <w:p>
      <w:pPr>
        <w:spacing w:after="0" w:line="13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3"/>
          <w:szCs w:val="13"/>
          <w:color w:val="auto"/>
        </w:rPr>
        <w:t>Through this focus on high-power markets, we are positioned to support the global transition to electrification and energy conservation. Our mission is to drive innovation in high-frequency, high-efficiency, and high-density power electronics, enabling our customers to achieve greater energy savings, operational reliability, and sustainability. By unlocking new levels of speed and efficiency, Navitas is leading the transformation of power electronics to “Electrify Our World”™ for a cleaner, more connected future.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Corporate Background</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3"/>
          <w:szCs w:val="13"/>
          <w:color w:val="auto"/>
        </w:rPr>
        <w:t>Navitas Semiconductor Corporation was originally incorporated as Live Oak Acquisition Corp. II. On October 19, 2021, as part of a series of related transactions (which we refer to as the “</w:t>
      </w:r>
      <w:r>
        <w:rPr>
          <w:rFonts w:ascii="Times New Roman" w:cs="Times New Roman" w:eastAsia="Times New Roman" w:hAnsi="Times New Roman"/>
          <w:sz w:val="13"/>
          <w:szCs w:val="13"/>
          <w:i w:val="1"/>
          <w:iCs w:val="1"/>
          <w:color w:val="auto"/>
        </w:rPr>
        <w:t>Business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Combination</w:t>
      </w:r>
      <w:r>
        <w:rPr>
          <w:rFonts w:ascii="Times New Roman" w:cs="Times New Roman" w:eastAsia="Times New Roman" w:hAnsi="Times New Roman"/>
          <w:sz w:val="13"/>
          <w:szCs w:val="13"/>
          <w:color w:val="auto"/>
        </w:rPr>
        <w:t>”), the registrant acquired all of the equity interests of Navitas Semiconductor Limited, an Irish private company domesticated in Delaware as Navitas Semiconductor Ireland, LLC (collectively,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Legacy Navitas</w:t>
      </w:r>
      <w:r>
        <w:rPr>
          <w:rFonts w:ascii="Times New Roman" w:cs="Times New Roman" w:eastAsia="Times New Roman" w:hAnsi="Times New Roman"/>
          <w:sz w:val="13"/>
          <w:szCs w:val="13"/>
          <w:color w:val="auto"/>
        </w:rPr>
        <w:t>”) and changed the name of the registrant to Navitas Semiconductor Corporation. As a result, Legacy Navitas became a wholly owned subsidiary of Navitas Semiconductor Corporation effective October 19, 2021.</w:t>
      </w:r>
    </w:p>
    <w:p>
      <w:pPr>
        <w:spacing w:after="0" w:line="29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3"/>
          <w:szCs w:val="13"/>
          <w:color w:val="auto"/>
        </w:rPr>
        <w:t>Our principal executive offices are located at 3520 Challenger Street, Torrance, California 90503-1640. Our telephone number is (844) 654-2642. Our website address is www.navitassemi.com. The information located on, or accessible from, our website is not, and shall not be deemed to be, a part of this prospectus or any accompanying prospectus supplement or incorporated into any other filings that we make with the SEC.</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3"/>
          <w:szCs w:val="13"/>
          <w:b w:val="1"/>
          <w:bCs w:val="1"/>
          <w:color w:val="auto"/>
        </w:rPr>
        <w:t>RISK FACTORS</w:t>
      </w:r>
    </w:p>
    <w:p>
      <w:pPr>
        <w:spacing w:after="0" w:line="17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An investment in any securities offered pursuant to this prospectus and the applicable prospectus supplement involves risks. Before investing in our securities, you should carefully read the risk factors discussed under the caption “</w:t>
      </w:r>
      <w:r>
        <w:rPr>
          <w:rFonts w:ascii="Times New Roman" w:cs="Times New Roman" w:eastAsia="Times New Roman" w:hAnsi="Times New Roman"/>
          <w:sz w:val="13"/>
          <w:szCs w:val="13"/>
          <w:i w:val="1"/>
          <w:iCs w:val="1"/>
          <w:color w:val="auto"/>
        </w:rPr>
        <w:t>Risk Factors</w:t>
      </w:r>
      <w:r>
        <w:rPr>
          <w:rFonts w:ascii="Times New Roman" w:cs="Times New Roman" w:eastAsia="Times New Roman" w:hAnsi="Times New Roman"/>
          <w:sz w:val="13"/>
          <w:szCs w:val="13"/>
          <w:color w:val="auto"/>
        </w:rPr>
        <w:t>” in our most recent Annual Report on Form 10-K and any subsequent Quarterly Reports on Form 10-Q, the risk factors discussed under the caption “</w:t>
      </w:r>
      <w:r>
        <w:rPr>
          <w:rFonts w:ascii="Times New Roman" w:cs="Times New Roman" w:eastAsia="Times New Roman" w:hAnsi="Times New Roman"/>
          <w:sz w:val="13"/>
          <w:szCs w:val="13"/>
          <w:i w:val="1"/>
          <w:iCs w:val="1"/>
          <w:color w:val="auto"/>
        </w:rPr>
        <w:t>Risk Factors</w:t>
      </w:r>
      <w:r>
        <w:rPr>
          <w:rFonts w:ascii="Times New Roman" w:cs="Times New Roman" w:eastAsia="Times New Roman" w:hAnsi="Times New Roman"/>
          <w:sz w:val="13"/>
          <w:szCs w:val="13"/>
          <w:color w:val="auto"/>
        </w:rPr>
        <w:t>” in any accompanying prospectus supplement, and any risk factors discussed in our other filings with the SEC which are incorporated by reference into this prospectus and any accompanying prospectus supplement. These risks and uncertainties are not the only risks and uncertainties we face. Additional risks and uncertainties not presently known to us, or that we currently view as immaterial, may also materially and adversely affect us. If any of the risks or uncertainties described in our most recent Annual Report on Form 10-K or any subsequent Quarterly Reports on Form 10-Q, any accompanying prospectus supplement or our other filings with the SEC, or if any additional risks and uncertainties actually occur, our business, financial condition, results of operations and prospects could be materially and adversely affected. In that case, the trading price of our securities could decline, and you could lose all or part of your investment. Please also carefully read the section entitled “</w:t>
      </w:r>
      <w:r>
        <w:rPr>
          <w:rFonts w:ascii="Times New Roman" w:cs="Times New Roman" w:eastAsia="Times New Roman" w:hAnsi="Times New Roman"/>
          <w:sz w:val="13"/>
          <w:szCs w:val="13"/>
          <w:i w:val="1"/>
          <w:iCs w:val="1"/>
          <w:color w:val="auto"/>
        </w:rPr>
        <w:t>Cautionary Statement About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Forward-Looking Statements</w:t>
      </w:r>
      <w:r>
        <w:rPr>
          <w:rFonts w:ascii="Times New Roman" w:cs="Times New Roman" w:eastAsia="Times New Roman" w:hAnsi="Times New Roman"/>
          <w:sz w:val="13"/>
          <w:szCs w:val="13"/>
          <w:color w:val="auto"/>
        </w:rPr>
        <w:t>” included in our most recent Annual Report on Form 10-K and any subsequent Quarterly Reports on Form 10-Q. See “</w:t>
      </w:r>
      <w:r>
        <w:rPr>
          <w:rFonts w:ascii="Times New Roman" w:cs="Times New Roman" w:eastAsia="Times New Roman" w:hAnsi="Times New Roman"/>
          <w:sz w:val="13"/>
          <w:szCs w:val="13"/>
          <w:i w:val="1"/>
          <w:iCs w:val="1"/>
          <w:color w:val="auto"/>
        </w:rPr>
        <w:t>Incorporation of Certain Information by Reference</w:t>
      </w:r>
      <w:r>
        <w:rPr>
          <w:rFonts w:ascii="Times New Roman" w:cs="Times New Roman" w:eastAsia="Times New Roman" w:hAnsi="Times New Roman"/>
          <w:sz w:val="13"/>
          <w:szCs w:val="13"/>
          <w:color w:val="auto"/>
        </w:rPr>
        <w:t>”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Where You Can Find More Information</w:t>
      </w:r>
      <w:r>
        <w:rPr>
          <w:rFonts w:ascii="Times New Roman" w:cs="Times New Roman" w:eastAsia="Times New Roman" w:hAnsi="Times New Roman"/>
          <w:sz w:val="13"/>
          <w:szCs w:val="13"/>
          <w:color w:val="auto"/>
        </w:rPr>
        <w:t>” to learn how we disclose Risk Factors and other information in this prospectus by referring you to other documents, and how you can access those documents.</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3"/>
          <w:szCs w:val="13"/>
          <w:b w:val="1"/>
          <w:bCs w:val="1"/>
          <w:color w:val="auto"/>
        </w:rPr>
        <w:t>USE OF PROCEEDS</w:t>
      </w:r>
    </w:p>
    <w:p>
      <w:pPr>
        <w:spacing w:after="0" w:line="17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3"/>
          <w:szCs w:val="13"/>
          <w:color w:val="auto"/>
        </w:rPr>
        <w:t>We cannot assure you that we will receive any proceeds in connection with securities which may be offered pursuant to this prospectus. Unless otherwise provided in the applicable prospectus supplement, we intend to use the net proceeds from the sale of the securities under this prospectus primarily for working capital and general corporate purposes to support our growth. More detailed information regarding the use of proceeds from any particular sale of securities pursuant to this prospectus may be included in the applicable prospectus supplement.</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3"/>
          <w:szCs w:val="13"/>
          <w:b w:val="1"/>
          <w:bCs w:val="1"/>
          <w:color w:val="auto"/>
        </w:rPr>
        <w:t>DESCRIPTION OF OUR CAPITAL STOCK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General</w:t>
      </w:r>
    </w:p>
    <w:p>
      <w:pPr>
        <w:spacing w:after="0" w:line="17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3"/>
          <w:szCs w:val="13"/>
          <w:color w:val="auto"/>
        </w:rPr>
        <w:t>The following description of our capital stock and provisions of our second amended and restated certificate of incorporation (the “</w:t>
      </w:r>
      <w:r>
        <w:rPr>
          <w:rFonts w:ascii="Times New Roman" w:cs="Times New Roman" w:eastAsia="Times New Roman" w:hAnsi="Times New Roman"/>
          <w:sz w:val="13"/>
          <w:szCs w:val="13"/>
          <w:i w:val="1"/>
          <w:iCs w:val="1"/>
          <w:color w:val="auto"/>
        </w:rPr>
        <w:t>Certificate of Incorporation</w:t>
      </w:r>
      <w:r>
        <w:rPr>
          <w:rFonts w:ascii="Times New Roman" w:cs="Times New Roman" w:eastAsia="Times New Roman" w:hAnsi="Times New Roman"/>
          <w:sz w:val="13"/>
          <w:szCs w:val="13"/>
          <w:color w:val="auto"/>
        </w:rPr>
        <w:t>”), and amended and restated bylaws (the “</w:t>
      </w:r>
      <w:r>
        <w:rPr>
          <w:rFonts w:ascii="Times New Roman" w:cs="Times New Roman" w:eastAsia="Times New Roman" w:hAnsi="Times New Roman"/>
          <w:sz w:val="13"/>
          <w:szCs w:val="13"/>
          <w:i w:val="1"/>
          <w:iCs w:val="1"/>
          <w:color w:val="auto"/>
        </w:rPr>
        <w:t>Bylaws</w:t>
      </w:r>
      <w:r>
        <w:rPr>
          <w:rFonts w:ascii="Times New Roman" w:cs="Times New Roman" w:eastAsia="Times New Roman" w:hAnsi="Times New Roman"/>
          <w:sz w:val="13"/>
          <w:szCs w:val="13"/>
          <w:color w:val="auto"/>
        </w:rPr>
        <w:t>”) are summaries and are qualified by reference to the Certificate of Incorporation and the Bylaws that are on file with the SEC. You should read these documents in full for complete information on our capital stock.</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Authorized Capital Stock</w:t>
      </w:r>
    </w:p>
    <w:p>
      <w:pPr>
        <w:spacing w:after="0" w:line="176"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3"/>
          <w:szCs w:val="13"/>
          <w:color w:val="auto"/>
        </w:rPr>
        <w:t>The Certificate of Incorporation authorizes us to issue 751,000,000 shares, consisting of (a) 750,000,000 shares of common stock (the “</w:t>
      </w:r>
      <w:r>
        <w:rPr>
          <w:rFonts w:ascii="Times New Roman" w:cs="Times New Roman" w:eastAsia="Times New Roman" w:hAnsi="Times New Roman"/>
          <w:sz w:val="13"/>
          <w:szCs w:val="13"/>
          <w:i w:val="1"/>
          <w:iCs w:val="1"/>
          <w:color w:val="auto"/>
        </w:rPr>
        <w:t>Common Stock</w:t>
      </w:r>
      <w:r>
        <w:rPr>
          <w:rFonts w:ascii="Times New Roman" w:cs="Times New Roman" w:eastAsia="Times New Roman" w:hAnsi="Times New Roman"/>
          <w:sz w:val="13"/>
          <w:szCs w:val="13"/>
          <w:color w:val="auto"/>
        </w:rPr>
        <w:t>”) including (i) 740,000,000 shares of Class A common stock (the “</w:t>
      </w:r>
      <w:r>
        <w:rPr>
          <w:rFonts w:ascii="Times New Roman" w:cs="Times New Roman" w:eastAsia="Times New Roman" w:hAnsi="Times New Roman"/>
          <w:sz w:val="13"/>
          <w:szCs w:val="13"/>
          <w:i w:val="1"/>
          <w:iCs w:val="1"/>
          <w:color w:val="auto"/>
        </w:rPr>
        <w:t>Class A Common Stock</w:t>
      </w:r>
      <w:r>
        <w:rPr>
          <w:rFonts w:ascii="Times New Roman" w:cs="Times New Roman" w:eastAsia="Times New Roman" w:hAnsi="Times New Roman"/>
          <w:sz w:val="13"/>
          <w:szCs w:val="13"/>
          <w:color w:val="auto"/>
        </w:rPr>
        <w:t>”) and (ii) 10,000,000 shares of Class B common stock (the “</w:t>
      </w:r>
      <w:r>
        <w:rPr>
          <w:rFonts w:ascii="Times New Roman" w:cs="Times New Roman" w:eastAsia="Times New Roman" w:hAnsi="Times New Roman"/>
          <w:sz w:val="13"/>
          <w:szCs w:val="13"/>
          <w:i w:val="1"/>
          <w:iCs w:val="1"/>
          <w:color w:val="auto"/>
        </w:rPr>
        <w:t>Class B Common Stock</w:t>
      </w:r>
      <w:r>
        <w:rPr>
          <w:rFonts w:ascii="Times New Roman" w:cs="Times New Roman" w:eastAsia="Times New Roman" w:hAnsi="Times New Roman"/>
          <w:sz w:val="13"/>
          <w:szCs w:val="13"/>
          <w:color w:val="auto"/>
        </w:rPr>
        <w:t>”), and (b) 1,000,000 shares of preferred stock (the “</w:t>
      </w:r>
      <w:r>
        <w:rPr>
          <w:rFonts w:ascii="Times New Roman" w:cs="Times New Roman" w:eastAsia="Times New Roman" w:hAnsi="Times New Roman"/>
          <w:sz w:val="13"/>
          <w:szCs w:val="13"/>
          <w:i w:val="1"/>
          <w:iCs w:val="1"/>
          <w:color w:val="auto"/>
        </w:rPr>
        <w:t>Preferred Stock</w:t>
      </w:r>
      <w:r>
        <w:rPr>
          <w:rFonts w:ascii="Times New Roman" w:cs="Times New Roman" w:eastAsia="Times New Roman" w:hAnsi="Times New Roman"/>
          <w:sz w:val="13"/>
          <w:szCs w:val="13"/>
          <w:color w:val="auto"/>
        </w:rPr>
        <w: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Common Stock</w:t>
      </w:r>
    </w:p>
    <w:p>
      <w:pPr>
        <w:spacing w:after="0" w:line="17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u w:val="single" w:color="auto"/>
          <w:color w:val="auto"/>
        </w:rPr>
        <w:t>Voting rights</w:t>
      </w:r>
      <w:r>
        <w:rPr>
          <w:rFonts w:ascii="Times New Roman" w:cs="Times New Roman" w:eastAsia="Times New Roman" w:hAnsi="Times New Roman"/>
          <w:sz w:val="13"/>
          <w:szCs w:val="13"/>
          <w:color w:val="auto"/>
        </w:rPr>
        <w:t>. Each holder of Class A Common Stock is entitled to one vote per share held. Except as otherwise required by the Certificate of Incorporation or by applicable law, holders of Class A Common Stock vote together as a single class on all matters on which stockholders are generally entitled to vote.</w:t>
      </w:r>
    </w:p>
    <w:p>
      <w:pPr>
        <w:spacing w:after="0" w:line="114"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color w:val="auto"/>
        </w:rPr>
        <w:t>Our board of directors is divided into three classes, each of which will generally serve for a term of three years with only one class of directors being elected each year. There is no cumulative voting in the election of directors. As a result, holders of more than 50% of shares eligible to vote in the election of directors can elect all of the directors.</w:t>
      </w:r>
    </w:p>
    <w:p>
      <w:pPr>
        <w:spacing w:after="0" w:line="114"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u w:val="single" w:color="auto"/>
          <w:color w:val="auto"/>
        </w:rPr>
        <w:t>Dividend rights</w:t>
      </w:r>
      <w:r>
        <w:rPr>
          <w:rFonts w:ascii="Times New Roman" w:cs="Times New Roman" w:eastAsia="Times New Roman" w:hAnsi="Times New Roman"/>
          <w:sz w:val="13"/>
          <w:szCs w:val="13"/>
          <w:color w:val="auto"/>
        </w:rPr>
        <w:t>. Subject to any other provisions of our Certificate of Incorporation, each holder of Class A Common Stock is entitled to receive, in proportion to the number of shares of Class A Common Stock held, such dividends and other distributions in cash, stock or property when, as and if declared by our board from time to time out of assets or funds of the company legally available therefor.</w:t>
      </w:r>
    </w:p>
    <w:p>
      <w:pPr>
        <w:spacing w:after="0" w:line="11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3"/>
          <w:szCs w:val="13"/>
          <w:u w:val="single" w:color="auto"/>
          <w:color w:val="auto"/>
        </w:rPr>
        <w:t>Rights upon liquidation</w:t>
      </w:r>
      <w:r>
        <w:rPr>
          <w:rFonts w:ascii="Times New Roman" w:cs="Times New Roman" w:eastAsia="Times New Roman" w:hAnsi="Times New Roman"/>
          <w:sz w:val="13"/>
          <w:szCs w:val="13"/>
          <w:color w:val="auto"/>
        </w:rPr>
        <w:t>. In the event of any liquidation, dissolution or winding up (either voluntary or involuntary) of the company, after payments to creditors that may at the time be outstanding, and subject to the rights of any holders of preferred stock that may then be outstanding, holders of shares of the Class A Common Stock will be entitled to receive, ratably in proportion to the number of shares of Class A Common Stock held, all remaining assets of the company available for distribution.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Preferred Stock</w:t>
      </w:r>
    </w:p>
    <w:p>
      <w:pPr>
        <w:spacing w:after="0" w:line="17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3"/>
          <w:szCs w:val="13"/>
          <w:color w:val="auto"/>
        </w:rPr>
        <w:t>Under the terms of our Certificate of Incorporation, our board of directors has the authority, without stockholder approval, to issue shares of preferred stock from time to time on terms it may determine, to divide shares of preferred stock into one or more class or series and to fix for each such class or series the designations, preferences, privileges, and restrictions of preferred stock, including dividend rights, conversion rights, voting rights, terms of redemption, liquidation preference, and the number of shares constituting any series or the designation of any series to the fullest extent permitted by the Delaware General Corporation Law (the “</w:t>
      </w:r>
      <w:r>
        <w:rPr>
          <w:rFonts w:ascii="Times New Roman" w:cs="Times New Roman" w:eastAsia="Times New Roman" w:hAnsi="Times New Roman"/>
          <w:sz w:val="13"/>
          <w:szCs w:val="13"/>
          <w:i w:val="1"/>
          <w:iCs w:val="1"/>
          <w:color w:val="auto"/>
        </w:rPr>
        <w:t>DGCL</w:t>
      </w:r>
      <w:r>
        <w:rPr>
          <w:rFonts w:ascii="Times New Roman" w:cs="Times New Roman" w:eastAsia="Times New Roman" w:hAnsi="Times New Roman"/>
          <w:sz w:val="13"/>
          <w:szCs w:val="13"/>
          <w:color w:val="auto"/>
        </w:rPr>
        <w:t>”). The issuance of preferred stock could have the effect of decreasing the trading price of the Class A Common Stock, restricting dividends on our capital stock, diluting the voting power of the Class A Common Stock, impairing the liquidation rights of our capital stock, or delaying or preventing a change in control of the company.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 of June 5, 2026, we had 75 holders of record of our Common Stock.</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3"/>
          <w:szCs w:val="13"/>
          <w:b w:val="1"/>
          <w:bCs w:val="1"/>
          <w:color w:val="auto"/>
        </w:rPr>
        <w:t>Annual Stockholders’ Meetings</w:t>
      </w:r>
    </w:p>
    <w:p>
      <w:pPr>
        <w:spacing w:after="0" w:line="17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3"/>
          <w:szCs w:val="13"/>
          <w:color w:val="auto"/>
        </w:rPr>
        <w:t>Our bylaws provide that annual stockholder meetings will be held at a date, time and place, if any, as exclusively selected by our board. To the extent permitted under applicable law, our board may conduct meetings by remote communications. 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received by our secretary at our principal executive offices not later than the close of business on the 90th day nor earlier than the opening of business on the 120th day prior to the anniversary date of the immediately preceding annual meeting of stockholders. Pursuant to Rule 14a-8 of the Exchange Act, proposals seeking inclusion in our annual proxy statement must comply with the notice periods contained in the annual proxy statement. Our Certificate of Incorporation specifies certain requirements as to the form and content of a stockholders’ meeting. These provisions may preclude stockholders from bringing matters before our annual meeting of stockholders or from making nominations for directors at our annual meeting of stockholders. Our Bylaws also specify certain requirements as to the form and content of a stockholder’s notice for an annual meeting. Specifically, a stockholder’s notice must include: (i) a brief description of the business desired to be brought before the annual meeting, the text of the proposal or business (including the text of any resolutions proposed for consideration and in the event such business includes a proposal to amend the Bylaws, the language of the proposed amendment) and the reasons for conducting such business at the annual meeting, (ii) the name and record address of such stockholder and the name and address of the beneficial owner, if any, on whose behalf the proposal is made, (iii) the class or series and number of shares of our capital stock that are owned beneficially and of record by such stockholder and by the beneficial owner, if any, on whose behalf the proposal is made, (iv) a description of all arrangements or understandings between such stockholder and the beneficial owner, if any, on whose behalf the proposal is made and any other person or persons (including their names) in connection with the proposal of such business by such stockholder, (v) any material interest of such stockholder and the beneficial owner, if any, on whose behalf the proposal is made in such business and (vi) a representation that such stockholder (or a qualified representative of such stockholder) intends to appear in person or by proxy at the annual meeting to bring such business before the meeting. These notice requirements will be deemed satisfied by a stockholder as to any proposal (other than nominations) if the stockholder has notified us of such stockholder’s intention to present such proposal at an annual meeting in compliance with Rule 14a-8 (or any successor thereof) of the Exchange Act, and such stockholder has complied with the requirements of such rule for inclusion of such proposal in a proxy statement prepared by us to solicit proxies for such annual meeting. The foregoing provisions may limit our stockholders’ ability to bring matters before our annual meeting of stockholders or from making nominations for directors at our annual meeting of stockholders.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Authorized but Unissued Capital Stock</w:t>
      </w:r>
    </w:p>
    <w:p>
      <w:pPr>
        <w:spacing w:after="0" w:line="17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3"/>
          <w:szCs w:val="13"/>
          <w:color w:val="auto"/>
        </w:rPr>
        <w:t>Delaware law does not require stockholder approval for any issuance of authorized shares. However, the listing requirements of Nasdaq, which would apply if and so long as the Class A Common Stock remains listed on Nasdaq, require stockholder approval of certain issuances equal to or exceeding 20% of the then-outstanding voting power or then-outstanding number of shares of the Class A Common Stock. Additional shares that may be issued in the future may be used for a variety of corporate purposes, including future public offerings, to raise additional capital or to facilitate acquisitions.</w:t>
      </w:r>
    </w:p>
    <w:p>
      <w:pPr>
        <w:spacing w:after="0" w:line="12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3"/>
          <w:szCs w:val="13"/>
          <w:color w:val="auto"/>
        </w:rPr>
        <w:t>One of the effects of the existence of unissued and unreserved common stock may be to enable our board to issue shares to persons friendly to current management, which issuance could render more difficult or discourage an attempt to obtain control of the Company by means of a merger, tender offer, proxy contest or otherwise and thereby protect the continuity of management and possibly deprive stockholders of opportunities to sell their shares of the Class A Common Stock at prices higher than prevailing market prices.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Special Meetings</w:t>
      </w:r>
    </w:p>
    <w:p>
      <w:pPr>
        <w:spacing w:after="0" w:line="17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color w:val="auto"/>
        </w:rPr>
        <w:t>Our Certificate of Incorporation provides that special meetings of our stockholders may be called only by the chairman of our board, our chief executive officer or our board pursuant to a resolution adopted by a majority of our board. Our stockholders are not eligible and have no right to call a special meeting of stockholders.</w:t>
      </w:r>
    </w:p>
    <w:p>
      <w:pPr>
        <w:spacing w:after="0" w:line="11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3"/>
          <w:szCs w:val="13"/>
          <w:color w:val="auto"/>
        </w:rPr>
        <w:t>Our Bylaws also provide that unless otherwise restricted by the Certificate of Incorporation or the Bylaws, any action required or permitted to be taken at any meeting of our board or of any committee thereof may be taken without a meeting, if all members of our board or committee thereof, as the case may be, consent thereto in writing or by electronic transmission, and the writing or writings or electronic transmission or transmissions (or paper reproductions thereof) are filed with the minutes of proceedings of our board or committee thereof.</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3"/>
          <w:szCs w:val="13"/>
          <w:b w:val="1"/>
          <w:bCs w:val="1"/>
          <w:color w:val="auto"/>
        </w:rPr>
        <w:t>Certificate of Incorporation and Bylaws</w:t>
      </w:r>
    </w:p>
    <w:p>
      <w:pPr>
        <w:spacing w:after="0" w:line="17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color w:val="auto"/>
        </w:rPr>
        <w:t>The DGCL provides generally that the affirmative vote of a majority of the outstanding stock entitled to vote on amendments to a corporation’s certificate of incorporation or bylaws is required to approve such amendment, unless a corporation’s certificate of incorporation or bylaws, as the case may be, requires a greater percentage.</w:t>
      </w:r>
    </w:p>
    <w:p>
      <w:pPr>
        <w:spacing w:after="0" w:line="114"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color w:val="auto"/>
        </w:rPr>
        <w:t>The Bylaws may be amended, altered or repealed (i) by the affirmative vote of a majority of our entire board; or (ii) by the affirmative vote of the holders of at least a majority of the voting power of the shares entitled to vote at an election of directors.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Limitations on Liability and Indemnification of Officers and Directors</w:t>
      </w:r>
    </w:p>
    <w:p>
      <w:pPr>
        <w:spacing w:after="0" w:line="17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3"/>
          <w:szCs w:val="13"/>
          <w:color w:val="auto"/>
        </w:rPr>
        <w:t>The DGCL authorizes corporations to limit or eliminate the personal liability of directors to corporations and their stockholders for monetary damages for breaches of directors’ fiduciary duties, subject to certain exceptions. We have entered into and expect to continue to enter into agreements to indemnify our directors, executive officers and other employees as determined by our board. Under the terms of such indemnification agreements, we are required to indemnify each of our directors and officers, to the fullest extent permitted by the laws of the state of Delaware, if the basis of the indemnitee’s involvement was by reason of the fact that the indemnitee is or was a director or officer of the Company or any of its subsidiaries or was serving at the Company’s request in an official capacity for another entity. We must indemnify our officers and directors against all expenses, judgments, fines, penalties and amounts paid in settlement (if pre-approved), including all costs, expenses and obligations incurred in connection with investigating, defending, being a witness in, participating in (including on appeal), or preparing to defend, be a witness or participate in any completed, actual, pending or threatened action, suit, proceeding or alternative dispute resolution mechanism, whether civil, criminal, administrative, investigative or other, arising out of the officers’ or directors’ role as an officer or director of the Company, or establishing or enforcing a right to indemnification under the indemnification agreement.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Exclusive Jurisdiction of Certain Actions</w:t>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3"/>
          <w:szCs w:val="13"/>
          <w:color w:val="auto"/>
        </w:rPr>
        <w:t>Our Certificate of Incorporation requires that derivative actions brought in the name of the company, actions against directors, officers and other employees for breach of fiduciary duty and other similar actions may be brought only in the Court of Chancery in the State of Delaware and, if brought outside of Delaware, the stockholder bringing the suit will, subject to certain exceptions, be deemed to have consented to service of process on such stockholder’s counsel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Although we believe this provision benefits us by providing increased consistency in the application of Delaware law in the types of lawsuits to which it applies, the provision may have the effect of discouraging lawsuits against our directors, officers and other employees.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Listing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Our Class A Common Stock is listed on Nasdaq under the symbol “NVTS.”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Transfer Agent and Registrar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transfer agent and registrar for our common stock is Continental Stock Transfer &amp; Trust Company, 1 State Street, 30th Floor, New York, New York 10004.</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3"/>
          <w:szCs w:val="13"/>
          <w:b w:val="1"/>
          <w:bCs w:val="1"/>
          <w:color w:val="auto"/>
        </w:rPr>
        <w:t>DESCRIPTION OF DEBT SECURITIES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General</w:t>
      </w:r>
    </w:p>
    <w:p>
      <w:pPr>
        <w:spacing w:after="0" w:line="17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3"/>
          <w:szCs w:val="13"/>
          <w:color w:val="auto"/>
        </w:rPr>
        <w:t>The debt securities that we may offer by this prospectus consist of notes, debentures, or other evidences of indebtedness. The debt securities may constitute either senior or subordinated debt securities, and in either case may be either secured or unsecured. Any debt securities that we offer and sell will be our direct obligations. Debt securities may be issued in one or more series. All debt securities of any one series need not be issued at the same time, and unless otherwise provided, a series of debt securities may be reopened, with the required consent of the holders of outstanding debt securities, for issuance of additional debt securities of that series or to establish additional terms of that series of debt securities (with such additional terms applicable only to unissued or additional debt securities of that series). The form of indenture has been filed as an exhibit to the registration statement of which this prospectus is a part and is subject to any amendments or supplements that we may enter into with the trustee(s), however, we may issue debt securities not subject to the indenture provided such terms of debt securities are not otherwise required to be set forth in the indenture. The material terms of the indenture are summarized below and we refer you to the indenture for a detailed description of these material terms. Additional or different provisions that are applicable to a particular series of debt securities will, if material, be described in a prospectus supplement relating to the offering of debt securities of that series. These provisions may include, among other things and to the extent applicable, the following:</w:t>
      </w:r>
    </w:p>
    <w:p>
      <w:pPr>
        <w:spacing w:after="0" w:line="135" w:lineRule="exact"/>
        <w:rPr>
          <w:sz w:val="20"/>
          <w:szCs w:val="20"/>
          <w:color w:val="auto"/>
        </w:rPr>
      </w:pPr>
    </w:p>
    <w:p>
      <w:pPr>
        <w:ind w:left="480" w:hanging="237"/>
        <w:spacing w:after="0" w:line="298" w:lineRule="auto"/>
        <w:tabs>
          <w:tab w:leader="none" w:pos="480" w:val="left"/>
        </w:tabs>
        <w:numPr>
          <w:ilvl w:val="0"/>
          <w:numId w:val="3"/>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title of the debt securities, including, as applicable, whether the debt securities will be issued as senior debt securities, senior subordinated debt securities or subordinated debt securities, any subordination provisions particular to the series of debt securities;</w:t>
      </w:r>
    </w:p>
    <w:p>
      <w:pPr>
        <w:spacing w:after="0" w:line="113" w:lineRule="exact"/>
        <w:rPr>
          <w:rFonts w:ascii="Arial" w:cs="Arial" w:eastAsia="Arial" w:hAnsi="Arial"/>
          <w:sz w:val="13"/>
          <w:szCs w:val="13"/>
          <w:b w:val="1"/>
          <w:bCs w:val="1"/>
          <w:color w:val="auto"/>
        </w:rPr>
      </w:pPr>
    </w:p>
    <w:p>
      <w:pPr>
        <w:ind w:left="480" w:hanging="237"/>
        <w:spacing w:after="0"/>
        <w:tabs>
          <w:tab w:leader="none" w:pos="480" w:val="left"/>
        </w:tabs>
        <w:numPr>
          <w:ilvl w:val="0"/>
          <w:numId w:val="3"/>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any limit on the aggregate principal amount of the debt securities;</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3"/>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whether the debt securities are senior debt securities or subordinated debt securities and applicable subordination provisions, if any;</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3"/>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whether the debt securities will be secured or unsecured;</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3"/>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if other than 100% of the aggregate principal amount, the percentage of the aggregate principal amount at which we will sell the debt securities, such as an original issuance discount;</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3"/>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date or dates, whether fixed or extendable, on which the principal of the debt securities will be payable;</w:t>
      </w:r>
    </w:p>
    <w:p>
      <w:pPr>
        <w:spacing w:after="0" w:line="173" w:lineRule="exact"/>
        <w:rPr>
          <w:rFonts w:ascii="Arial" w:cs="Arial" w:eastAsia="Arial" w:hAnsi="Arial"/>
          <w:sz w:val="13"/>
          <w:szCs w:val="13"/>
          <w:b w:val="1"/>
          <w:bCs w:val="1"/>
          <w:color w:val="auto"/>
        </w:rPr>
      </w:pPr>
    </w:p>
    <w:p>
      <w:pPr>
        <w:jc w:val="both"/>
        <w:ind w:left="480" w:hanging="237"/>
        <w:spacing w:after="0" w:line="278" w:lineRule="auto"/>
        <w:tabs>
          <w:tab w:leader="none" w:pos="480" w:val="left"/>
        </w:tabs>
        <w:numPr>
          <w:ilvl w:val="0"/>
          <w:numId w:val="3"/>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rate or rates, which may be fixed or variable, at which the debt securities will bear interest, if any, the date or dates from which any such interest will accrue, the interest payment dates on which we will pay any such interest, the basis upon which interest will be calculated if other than that of a 360-day year consisting of twelve 30-day months, and, in the case of registered securities, the record dates for the determination of holders to whom interest is payable;</w:t>
      </w:r>
    </w:p>
    <w:p>
      <w:pPr>
        <w:spacing w:after="0" w:line="126" w:lineRule="exact"/>
        <w:rPr>
          <w:rFonts w:ascii="Arial" w:cs="Arial" w:eastAsia="Arial" w:hAnsi="Arial"/>
          <w:sz w:val="13"/>
          <w:szCs w:val="13"/>
          <w:b w:val="1"/>
          <w:bCs w:val="1"/>
          <w:color w:val="auto"/>
        </w:rPr>
      </w:pPr>
    </w:p>
    <w:p>
      <w:pPr>
        <w:ind w:left="480" w:hanging="237"/>
        <w:spacing w:after="0"/>
        <w:tabs>
          <w:tab w:leader="none" w:pos="480" w:val="left"/>
        </w:tabs>
        <w:numPr>
          <w:ilvl w:val="0"/>
          <w:numId w:val="3"/>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place or places where the principal of and any premium or interest on the debt securities will be payable and where the debt securities may be surrendered for conversion or exchange;</w:t>
      </w:r>
    </w:p>
    <w:p>
      <w:pPr>
        <w:spacing w:after="0" w:line="173" w:lineRule="exact"/>
        <w:rPr>
          <w:rFonts w:ascii="Arial" w:cs="Arial" w:eastAsia="Arial" w:hAnsi="Arial"/>
          <w:sz w:val="13"/>
          <w:szCs w:val="13"/>
          <w:b w:val="1"/>
          <w:bCs w:val="1"/>
          <w:color w:val="auto"/>
        </w:rPr>
      </w:pPr>
    </w:p>
    <w:p>
      <w:pPr>
        <w:ind w:left="480" w:hanging="237"/>
        <w:spacing w:after="0" w:line="298" w:lineRule="auto"/>
        <w:tabs>
          <w:tab w:leader="none" w:pos="480" w:val="left"/>
        </w:tabs>
        <w:numPr>
          <w:ilvl w:val="0"/>
          <w:numId w:val="3"/>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whether we may, at our option, redeem the debt securities, and if so, the price or prices at which, the period or periods within which, and the terms and conditions upon which, we may redeem the debt securities, in whole or in part, pursuant to any sinking fund or otherwise;</w:t>
      </w:r>
    </w:p>
    <w:p>
      <w:pPr>
        <w:spacing w:after="0" w:line="113" w:lineRule="exact"/>
        <w:rPr>
          <w:rFonts w:ascii="Arial" w:cs="Arial" w:eastAsia="Arial" w:hAnsi="Arial"/>
          <w:sz w:val="13"/>
          <w:szCs w:val="13"/>
          <w:b w:val="1"/>
          <w:bCs w:val="1"/>
          <w:color w:val="auto"/>
        </w:rPr>
      </w:pPr>
    </w:p>
    <w:p>
      <w:pPr>
        <w:ind w:left="480" w:hanging="237"/>
        <w:spacing w:after="0" w:line="298" w:lineRule="auto"/>
        <w:tabs>
          <w:tab w:leader="none" w:pos="480" w:val="left"/>
        </w:tabs>
        <w:numPr>
          <w:ilvl w:val="0"/>
          <w:numId w:val="3"/>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if other than 100% of the aggregate principal amount thereof, the portion of the principal amount of the debt securities which will be payable upon declaration of acceleration of the maturity date thereof or provable in bankruptcy, or, if applicable, which is convertible or exchangeable;</w:t>
      </w:r>
    </w:p>
    <w:p>
      <w:pPr>
        <w:spacing w:after="0" w:line="113" w:lineRule="exact"/>
        <w:rPr>
          <w:rFonts w:ascii="Arial" w:cs="Arial" w:eastAsia="Arial" w:hAnsi="Arial"/>
          <w:sz w:val="13"/>
          <w:szCs w:val="13"/>
          <w:b w:val="1"/>
          <w:bCs w:val="1"/>
          <w:color w:val="auto"/>
        </w:rPr>
      </w:pPr>
    </w:p>
    <w:p>
      <w:pPr>
        <w:jc w:val="both"/>
        <w:ind w:left="480" w:hanging="237"/>
        <w:spacing w:after="0" w:line="278" w:lineRule="auto"/>
        <w:tabs>
          <w:tab w:leader="none" w:pos="480" w:val="left"/>
        </w:tabs>
        <w:numPr>
          <w:ilvl w:val="0"/>
          <w:numId w:val="3"/>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any obligation we may have to redeem, purchase or repay the debt securities pursuant to any sinking fund or analogous provisions or at the option of a holder of debt securities, and the price or prices at which, the currency in which and the period or periods within which, and the terms and conditions upon which, the debt securities will be redeemed, purchased or repaid, in whole or in part, pursuant to any such obligation, and any provision for the remarketing of the debt securities;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15" w:name="page16"/>
    <w:bookmarkEnd w:id="15"/>
    <w:p>
      <w:pPr>
        <w:ind w:left="240" w:hanging="237"/>
        <w:spacing w:after="0" w:line="298" w:lineRule="auto"/>
        <w:tabs>
          <w:tab w:leader="none" w:pos="240" w:val="left"/>
        </w:tabs>
        <w:numPr>
          <w:ilvl w:val="0"/>
          <w:numId w:val="4"/>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issuance of debt securities as registered securities or unregistered securities or both, and the rights of the holders of the debt securities to exchange unregistered securities for registered securities, or vice versa, and the circumstances under which any such exchanges, if permitted, may be made;</w:t>
      </w:r>
    </w:p>
    <w:p>
      <w:pPr>
        <w:spacing w:after="0" w:line="113" w:lineRule="exact"/>
        <w:rPr>
          <w:rFonts w:ascii="Arial" w:cs="Arial" w:eastAsia="Arial" w:hAnsi="Arial"/>
          <w:sz w:val="13"/>
          <w:szCs w:val="13"/>
          <w:b w:val="1"/>
          <w:bCs w:val="1"/>
          <w:color w:val="auto"/>
        </w:rPr>
      </w:pPr>
    </w:p>
    <w:p>
      <w:pPr>
        <w:ind w:left="240" w:hanging="237"/>
        <w:spacing w:after="0"/>
        <w:tabs>
          <w:tab w:leader="none" w:pos="240" w:val="left"/>
        </w:tabs>
        <w:numPr>
          <w:ilvl w:val="0"/>
          <w:numId w:val="4"/>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denominations, which may be in United States dollars or in any foreign currency, in which the debt securities will be issued, if other than denominations of $1,000 and any integral multiple thereof;</w:t>
      </w:r>
    </w:p>
    <w:p>
      <w:pPr>
        <w:spacing w:after="0" w:line="173" w:lineRule="exact"/>
        <w:rPr>
          <w:rFonts w:ascii="Arial" w:cs="Arial" w:eastAsia="Arial" w:hAnsi="Arial"/>
          <w:sz w:val="13"/>
          <w:szCs w:val="13"/>
          <w:b w:val="1"/>
          <w:bCs w:val="1"/>
          <w:color w:val="auto"/>
        </w:rPr>
      </w:pPr>
    </w:p>
    <w:p>
      <w:pPr>
        <w:jc w:val="both"/>
        <w:ind w:left="240" w:hanging="237"/>
        <w:spacing w:after="0" w:line="278" w:lineRule="auto"/>
        <w:tabs>
          <w:tab w:leader="none" w:pos="240" w:val="left"/>
        </w:tabs>
        <w:numPr>
          <w:ilvl w:val="0"/>
          <w:numId w:val="4"/>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whether the debt securities will be issued in the form of certificated debt securities, and if so, the form of the debt securities (or forms thereof if unregistered and registered securities are issuable in that series), including the legends required by law or as we deem necessary or appropriate, the form of any coupons or temporary global security which may be issued and the forms of any other certificates which may be required under the indenture or which we may require in connection with the offering, sale, delivery or exchange of the debt securities;</w:t>
      </w:r>
    </w:p>
    <w:p>
      <w:pPr>
        <w:spacing w:after="0" w:line="126" w:lineRule="exact"/>
        <w:rPr>
          <w:rFonts w:ascii="Arial" w:cs="Arial" w:eastAsia="Arial" w:hAnsi="Arial"/>
          <w:sz w:val="13"/>
          <w:szCs w:val="13"/>
          <w:b w:val="1"/>
          <w:bCs w:val="1"/>
          <w:color w:val="auto"/>
        </w:rPr>
      </w:pPr>
    </w:p>
    <w:p>
      <w:pPr>
        <w:ind w:left="240" w:hanging="237"/>
        <w:spacing w:after="0" w:line="298" w:lineRule="auto"/>
        <w:tabs>
          <w:tab w:leader="none" w:pos="240" w:val="left"/>
        </w:tabs>
        <w:numPr>
          <w:ilvl w:val="0"/>
          <w:numId w:val="4"/>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if other than United States dollars, the currency or currencies in which payments of principal, interest and other amounts payable with respect to the debt securities will be denominated, payable, redeemable or repurchasable, as the case may be;</w:t>
      </w:r>
    </w:p>
    <w:p>
      <w:pPr>
        <w:spacing w:after="0" w:line="113" w:lineRule="exact"/>
        <w:rPr>
          <w:rFonts w:ascii="Arial" w:cs="Arial" w:eastAsia="Arial" w:hAnsi="Arial"/>
          <w:sz w:val="13"/>
          <w:szCs w:val="13"/>
          <w:b w:val="1"/>
          <w:bCs w:val="1"/>
          <w:color w:val="auto"/>
        </w:rPr>
      </w:pPr>
    </w:p>
    <w:p>
      <w:pPr>
        <w:ind w:left="240" w:hanging="237"/>
        <w:spacing w:after="0"/>
        <w:tabs>
          <w:tab w:leader="none" w:pos="240" w:val="left"/>
        </w:tabs>
        <w:numPr>
          <w:ilvl w:val="0"/>
          <w:numId w:val="4"/>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whether the debt securities may be issuable in tranches;</w:t>
      </w:r>
    </w:p>
    <w:p>
      <w:pPr>
        <w:spacing w:after="0" w:line="173" w:lineRule="exact"/>
        <w:rPr>
          <w:rFonts w:ascii="Arial" w:cs="Arial" w:eastAsia="Arial" w:hAnsi="Arial"/>
          <w:sz w:val="13"/>
          <w:szCs w:val="13"/>
          <w:b w:val="1"/>
          <w:bCs w:val="1"/>
          <w:color w:val="auto"/>
        </w:rPr>
      </w:pPr>
    </w:p>
    <w:p>
      <w:pPr>
        <w:jc w:val="both"/>
        <w:ind w:left="240" w:hanging="237"/>
        <w:spacing w:after="0" w:line="278" w:lineRule="auto"/>
        <w:tabs>
          <w:tab w:leader="none" w:pos="240" w:val="left"/>
        </w:tabs>
        <w:numPr>
          <w:ilvl w:val="0"/>
          <w:numId w:val="4"/>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obligations, if any, we may have to permit the conversion or exchange of the debt securities into common stock, preferred stock or other capital stock or property, or a combination thereof, and the terms and conditions upon which such conversion or exchange will be effected (including conversion price or exchange ratio), and any limitations on the ownership or transferability of the securities or property into which the debt securities may be converted or exchanged;</w:t>
      </w:r>
    </w:p>
    <w:p>
      <w:pPr>
        <w:spacing w:after="0" w:line="126" w:lineRule="exact"/>
        <w:rPr>
          <w:rFonts w:ascii="Arial" w:cs="Arial" w:eastAsia="Arial" w:hAnsi="Arial"/>
          <w:sz w:val="13"/>
          <w:szCs w:val="13"/>
          <w:b w:val="1"/>
          <w:bCs w:val="1"/>
          <w:color w:val="auto"/>
        </w:rPr>
      </w:pPr>
    </w:p>
    <w:p>
      <w:pPr>
        <w:ind w:left="240" w:hanging="237"/>
        <w:spacing w:after="0"/>
        <w:tabs>
          <w:tab w:leader="none" w:pos="240" w:val="left"/>
        </w:tabs>
        <w:numPr>
          <w:ilvl w:val="0"/>
          <w:numId w:val="4"/>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if other than the trustee under the indenture, any trustees, authenticating or paying agents, transfer agents or registrars or any other agents with respect to the debt securities;</w:t>
      </w:r>
    </w:p>
    <w:p>
      <w:pPr>
        <w:spacing w:after="0" w:line="173" w:lineRule="exact"/>
        <w:rPr>
          <w:rFonts w:ascii="Arial" w:cs="Arial" w:eastAsia="Arial" w:hAnsi="Arial"/>
          <w:sz w:val="13"/>
          <w:szCs w:val="13"/>
          <w:b w:val="1"/>
          <w:bCs w:val="1"/>
          <w:color w:val="auto"/>
        </w:rPr>
      </w:pPr>
    </w:p>
    <w:p>
      <w:pPr>
        <w:ind w:left="240" w:hanging="237"/>
        <w:spacing w:after="0" w:line="268" w:lineRule="auto"/>
        <w:tabs>
          <w:tab w:leader="none" w:pos="240" w:val="left"/>
        </w:tabs>
        <w:numPr>
          <w:ilvl w:val="0"/>
          <w:numId w:val="4"/>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any deletions from, modifications of or additions to the events of default with respect to the debt securities or the right of the trustee or the holders of the debt securities in connection with events of default;</w:t>
      </w:r>
    </w:p>
    <w:p>
      <w:pPr>
        <w:spacing w:after="0" w:line="317" w:lineRule="exact"/>
        <w:rPr>
          <w:rFonts w:ascii="Arial" w:cs="Arial" w:eastAsia="Arial" w:hAnsi="Arial"/>
          <w:sz w:val="13"/>
          <w:szCs w:val="13"/>
          <w:b w:val="1"/>
          <w:bCs w:val="1"/>
          <w:color w:val="auto"/>
        </w:rPr>
      </w:pPr>
    </w:p>
    <w:p>
      <w:pPr>
        <w:ind w:left="240" w:hanging="237"/>
        <w:spacing w:after="0"/>
        <w:tabs>
          <w:tab w:leader="none" w:pos="240" w:val="left"/>
        </w:tabs>
        <w:numPr>
          <w:ilvl w:val="0"/>
          <w:numId w:val="4"/>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any deletions from, modifications of or additions to the covenants with respect to the debt securities;</w:t>
      </w:r>
    </w:p>
    <w:p>
      <w:pPr>
        <w:spacing w:after="0" w:line="173" w:lineRule="exact"/>
        <w:rPr>
          <w:rFonts w:ascii="Arial" w:cs="Arial" w:eastAsia="Arial" w:hAnsi="Arial"/>
          <w:sz w:val="13"/>
          <w:szCs w:val="13"/>
          <w:b w:val="1"/>
          <w:bCs w:val="1"/>
          <w:color w:val="auto"/>
        </w:rPr>
      </w:pPr>
    </w:p>
    <w:p>
      <w:pPr>
        <w:ind w:left="240" w:hanging="237"/>
        <w:spacing w:after="0" w:line="298" w:lineRule="auto"/>
        <w:tabs>
          <w:tab w:leader="none" w:pos="240" w:val="left"/>
        </w:tabs>
        <w:numPr>
          <w:ilvl w:val="0"/>
          <w:numId w:val="4"/>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if the amount of payments of principal of, and make-whole amount, if any, and interest on the debt securities may be determined with reference to an index, the manner in which such amount will be determined;</w:t>
      </w:r>
    </w:p>
    <w:p>
      <w:pPr>
        <w:spacing w:after="0" w:line="113" w:lineRule="exact"/>
        <w:rPr>
          <w:rFonts w:ascii="Arial" w:cs="Arial" w:eastAsia="Arial" w:hAnsi="Arial"/>
          <w:sz w:val="13"/>
          <w:szCs w:val="13"/>
          <w:b w:val="1"/>
          <w:bCs w:val="1"/>
          <w:color w:val="auto"/>
        </w:rPr>
      </w:pPr>
    </w:p>
    <w:p>
      <w:pPr>
        <w:jc w:val="both"/>
        <w:ind w:left="240" w:hanging="237"/>
        <w:spacing w:after="0" w:line="278" w:lineRule="auto"/>
        <w:tabs>
          <w:tab w:leader="none" w:pos="240" w:val="left"/>
        </w:tabs>
        <w:numPr>
          <w:ilvl w:val="0"/>
          <w:numId w:val="4"/>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whether the debt securities will be issued in whole or in part in the global form of one or more debt securities and, if so, the depositary for such debt securities, the circumstances under which any such debt security may be exchanged for debt securities registered in the name of, and under which any transfer of debt securities may be registered in the name of, any person other than such depositary or its nominee, and any other provisions regarding such debt securities;</w:t>
      </w:r>
    </w:p>
    <w:p>
      <w:pPr>
        <w:spacing w:after="0" w:line="126" w:lineRule="exact"/>
        <w:rPr>
          <w:rFonts w:ascii="Arial" w:cs="Arial" w:eastAsia="Arial" w:hAnsi="Arial"/>
          <w:sz w:val="13"/>
          <w:szCs w:val="13"/>
          <w:b w:val="1"/>
          <w:bCs w:val="1"/>
          <w:color w:val="auto"/>
        </w:rPr>
      </w:pPr>
    </w:p>
    <w:p>
      <w:pPr>
        <w:ind w:left="240" w:hanging="237"/>
        <w:spacing w:after="0" w:line="298" w:lineRule="auto"/>
        <w:tabs>
          <w:tab w:leader="none" w:pos="240" w:val="left"/>
        </w:tabs>
        <w:numPr>
          <w:ilvl w:val="0"/>
          <w:numId w:val="4"/>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whether, under what circumstances and the currency in which, we will pay additional amounts on the debt securities to any holder of the debt securities who is not a United States person in respect of any tax, assessment or governmental charge and, if so, whether we will have the option to redeem such debt securities rather than pay such additional amounts, and the terms of any such option;</w:t>
      </w:r>
    </w:p>
    <w:p>
      <w:pPr>
        <w:spacing w:after="0" w:line="113" w:lineRule="exact"/>
        <w:rPr>
          <w:rFonts w:ascii="Arial" w:cs="Arial" w:eastAsia="Arial" w:hAnsi="Arial"/>
          <w:sz w:val="13"/>
          <w:szCs w:val="13"/>
          <w:b w:val="1"/>
          <w:bCs w:val="1"/>
          <w:color w:val="auto"/>
        </w:rPr>
      </w:pPr>
    </w:p>
    <w:p>
      <w:pPr>
        <w:ind w:left="240" w:hanging="237"/>
        <w:spacing w:after="0"/>
        <w:tabs>
          <w:tab w:leader="none" w:pos="240" w:val="left"/>
        </w:tabs>
        <w:numPr>
          <w:ilvl w:val="0"/>
          <w:numId w:val="4"/>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whether the debt securities will be secured by any collateral and, if so, a general description of the collateral and the terms of any related security, pledge or other agreements;</w:t>
      </w:r>
    </w:p>
    <w:p>
      <w:pPr>
        <w:spacing w:after="0" w:line="173" w:lineRule="exact"/>
        <w:rPr>
          <w:rFonts w:ascii="Arial" w:cs="Arial" w:eastAsia="Arial" w:hAnsi="Arial"/>
          <w:sz w:val="13"/>
          <w:szCs w:val="13"/>
          <w:b w:val="1"/>
          <w:bCs w:val="1"/>
          <w:color w:val="auto"/>
        </w:rPr>
      </w:pPr>
    </w:p>
    <w:p>
      <w:pPr>
        <w:ind w:left="240" w:hanging="237"/>
        <w:spacing w:after="0"/>
        <w:tabs>
          <w:tab w:leader="none" w:pos="240" w:val="left"/>
        </w:tabs>
        <w:numPr>
          <w:ilvl w:val="0"/>
          <w:numId w:val="4"/>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persons to whom any interest on the debt securities will be payable, if other than the registered holders thereof on the regular record date therefor; and</w:t>
      </w:r>
    </w:p>
    <w:p>
      <w:pPr>
        <w:spacing w:after="0" w:line="173" w:lineRule="exact"/>
        <w:rPr>
          <w:rFonts w:ascii="Arial" w:cs="Arial" w:eastAsia="Arial" w:hAnsi="Arial"/>
          <w:sz w:val="13"/>
          <w:szCs w:val="13"/>
          <w:b w:val="1"/>
          <w:bCs w:val="1"/>
          <w:color w:val="auto"/>
        </w:rPr>
      </w:pPr>
    </w:p>
    <w:p>
      <w:pPr>
        <w:ind w:left="240" w:hanging="237"/>
        <w:spacing w:after="0"/>
        <w:tabs>
          <w:tab w:leader="none" w:pos="240" w:val="left"/>
        </w:tabs>
        <w:numPr>
          <w:ilvl w:val="0"/>
          <w:numId w:val="4"/>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any other material terms or conditions upon which the debt securities will be issued.</w:t>
      </w:r>
    </w:p>
    <w:p>
      <w:pPr>
        <w:spacing w:after="0" w:line="33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15875</wp:posOffset>
            </wp:positionV>
            <wp:extent cx="7166610"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040"/>
          </w:cols>
          <w:pgMar w:left="540" w:top="713" w:right="319" w:bottom="1440" w:gutter="0" w:footer="0" w:header="0"/>
        </w:sectPr>
      </w:pPr>
    </w:p>
    <w:bookmarkStart w:id="16" w:name="page17"/>
    <w:bookmarkEnd w:id="16"/>
    <w:p>
      <w:pPr>
        <w:jc w:val="both"/>
        <w:spacing w:after="0" w:line="272" w:lineRule="auto"/>
        <w:rPr>
          <w:sz w:val="20"/>
          <w:szCs w:val="20"/>
          <w:color w:val="auto"/>
        </w:rPr>
      </w:pPr>
      <w:r>
        <w:rPr>
          <w:rFonts w:ascii="Times New Roman" w:cs="Times New Roman" w:eastAsia="Times New Roman" w:hAnsi="Times New Roman"/>
          <w:sz w:val="13"/>
          <w:szCs w:val="13"/>
          <w:color w:val="auto"/>
        </w:rPr>
        <w:t>Unless otherwise indicated in the applicable prospectus supplement, we will issue debt securities in fully registered form without coupons and in denominations of $1,000 and in integral multiples of $1,000, and interest will be computed on the basis of a 360-day year of twelve 30-day months. If any interest payment date or the maturity date falls on a day that is not a business day, then the payment will be made on the next business day without additional interest and with the same effect as if it were made on the originally scheduled date. “</w:t>
      </w:r>
      <w:r>
        <w:rPr>
          <w:rFonts w:ascii="Times New Roman" w:cs="Times New Roman" w:eastAsia="Times New Roman" w:hAnsi="Times New Roman"/>
          <w:sz w:val="13"/>
          <w:szCs w:val="13"/>
          <w:i w:val="1"/>
          <w:iCs w:val="1"/>
          <w:color w:val="auto"/>
        </w:rPr>
        <w:t>Business day</w:t>
      </w:r>
      <w:r>
        <w:rPr>
          <w:rFonts w:ascii="Times New Roman" w:cs="Times New Roman" w:eastAsia="Times New Roman" w:hAnsi="Times New Roman"/>
          <w:sz w:val="13"/>
          <w:szCs w:val="13"/>
          <w:color w:val="auto"/>
        </w:rPr>
        <w:t>” means any calendar day that is not a Saturday, Sunday or legal holiday in New York, New York, and on which the trustee and commercial banks are open for business in New York, New York.</w:t>
      </w:r>
    </w:p>
    <w:p>
      <w:pPr>
        <w:spacing w:after="0" w:line="13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color w:val="auto"/>
        </w:rPr>
        <w:t>Unless we inform you otherwise in a prospectus supplement, each series of our senior debt securities will rank equally in right of payment with all of our other unsubordinated debt. The subordinated debt securities will rank junior in right of payment and be subordinate to all of our unsubordinated debt.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Unless otherwise indicated in the applicable prospectus supplement, the trustee will act as paying agent and registrar for the debt securities under the indenture. We may act as paying agent under the indenture.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prospectus supplement will contain a description of United States federal income tax consequences relating to the debt securities, to the extent applicable.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Covenants</w:t>
      </w:r>
    </w:p>
    <w:p>
      <w:pPr>
        <w:spacing w:after="0" w:line="17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color w:val="auto"/>
        </w:rPr>
        <w:t>The applicable prospectus supplement will describe any covenants, such as restrictive covenants restricting us or our subsidiaries, if any, from incurring, issuing, assuming or guarantying any indebtedness or restricting us or our subsidiaries, if any, from paying dividends or acquiring any of our or its capital stock.</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Consolidation, Merger and Transfer of Assets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indenture permits a consolidation or merger between us and another entity and/or the sale, conveyance or lease by us of all or substantially all of our property and assets, provided that:</w:t>
      </w:r>
    </w:p>
    <w:p>
      <w:pPr>
        <w:spacing w:after="0" w:line="174" w:lineRule="exact"/>
        <w:rPr>
          <w:sz w:val="20"/>
          <w:szCs w:val="20"/>
          <w:color w:val="auto"/>
        </w:rPr>
      </w:pPr>
    </w:p>
    <w:p>
      <w:pPr>
        <w:ind w:left="480" w:hanging="237"/>
        <w:spacing w:after="0" w:line="298" w:lineRule="auto"/>
        <w:tabs>
          <w:tab w:leader="none" w:pos="480" w:val="left"/>
        </w:tabs>
        <w:numPr>
          <w:ilvl w:val="0"/>
          <w:numId w:val="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resulting or acquiring entity, if other than us, is organized and existing under the laws of a United States jurisdiction and assumes all of our responsibilities and liabilities under the indenture, including the payment of all amounts due on the debt securities and performance of the covenants in the indenture;</w:t>
      </w:r>
    </w:p>
    <w:p>
      <w:pPr>
        <w:spacing w:after="0" w:line="113" w:lineRule="exact"/>
        <w:rPr>
          <w:rFonts w:ascii="Arial" w:cs="Arial" w:eastAsia="Arial" w:hAnsi="Arial"/>
          <w:sz w:val="13"/>
          <w:szCs w:val="13"/>
          <w:b w:val="1"/>
          <w:bCs w:val="1"/>
          <w:color w:val="auto"/>
        </w:rPr>
      </w:pPr>
    </w:p>
    <w:p>
      <w:pPr>
        <w:ind w:left="480" w:hanging="237"/>
        <w:spacing w:after="0"/>
        <w:tabs>
          <w:tab w:leader="none" w:pos="480" w:val="left"/>
        </w:tabs>
        <w:numPr>
          <w:ilvl w:val="0"/>
          <w:numId w:val="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immediately after the transaction, and giving effect to the transaction, no event of default under the indenture exists; and</w:t>
      </w:r>
    </w:p>
    <w:p>
      <w:pPr>
        <w:spacing w:after="0" w:line="173" w:lineRule="exact"/>
        <w:rPr>
          <w:rFonts w:ascii="Arial" w:cs="Arial" w:eastAsia="Arial" w:hAnsi="Arial"/>
          <w:sz w:val="13"/>
          <w:szCs w:val="13"/>
          <w:b w:val="1"/>
          <w:bCs w:val="1"/>
          <w:color w:val="auto"/>
        </w:rPr>
      </w:pPr>
    </w:p>
    <w:p>
      <w:pPr>
        <w:ind w:left="480" w:hanging="237"/>
        <w:spacing w:after="0" w:line="298" w:lineRule="auto"/>
        <w:tabs>
          <w:tab w:leader="none" w:pos="480" w:val="left"/>
        </w:tabs>
        <w:numPr>
          <w:ilvl w:val="0"/>
          <w:numId w:val="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we have delivered to the trustee an officers’ certificate stating that the transaction and, if a supplemental indenture is required in connection with the transaction, the supplemental indenture comply with the indenture and that all conditions precedent to the transaction contained in the indenture have been satisfied.</w:t>
      </w:r>
    </w:p>
    <w:p>
      <w:pPr>
        <w:spacing w:after="0" w:line="11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3"/>
          <w:szCs w:val="13"/>
          <w:color w:val="auto"/>
        </w:rPr>
        <w:t>If we consolidate or merge with or into any other entity, or sell or lease all or substantially all of our assets in compliance with the terms and conditions of the indenture, the resulting or acquiring entity will be substituted for us in the indenture and the debt securities with the same effect as if it had been an original party to the indenture and the debt securities. As a result, such successor entity may exercise our rights and powers under the indenture and the debt securities, in our name and, except in the case of a lease, we will be released from all our liabilities and obligations under the indenture and under the debt securities.</w:t>
      </w:r>
    </w:p>
    <w:p>
      <w:pPr>
        <w:spacing w:after="0" w:line="291"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3"/>
          <w:szCs w:val="13"/>
          <w:color w:val="auto"/>
        </w:rPr>
        <w:t>Notwithstanding the foregoing, we may transfer all of our property and assets to another entity if, immediately after giving effect to the transfer, such entity is our wholly owned subsidiary. The term “</w:t>
      </w:r>
      <w:r>
        <w:rPr>
          <w:rFonts w:ascii="Times New Roman" w:cs="Times New Roman" w:eastAsia="Times New Roman" w:hAnsi="Times New Roman"/>
          <w:sz w:val="13"/>
          <w:szCs w:val="13"/>
          <w:i w:val="1"/>
          <w:iCs w:val="1"/>
          <w:color w:val="auto"/>
        </w:rPr>
        <w:t>wholly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owned subsidiary</w:t>
      </w:r>
      <w:r>
        <w:rPr>
          <w:rFonts w:ascii="Times New Roman" w:cs="Times New Roman" w:eastAsia="Times New Roman" w:hAnsi="Times New Roman"/>
          <w:sz w:val="13"/>
          <w:szCs w:val="13"/>
          <w:color w:val="auto"/>
        </w:rPr>
        <w:t>” means any subsidiary in which we and/or our other wholly owned subsidiaries, if any, own all of the outstanding capital stock.</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3"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3"/>
          <w:szCs w:val="13"/>
          <w:b w:val="1"/>
          <w:bCs w:val="1"/>
          <w:color w:val="auto"/>
        </w:rPr>
        <w:t>Modification and Waiver</w:t>
      </w:r>
    </w:p>
    <w:p>
      <w:pPr>
        <w:spacing w:after="0" w:line="17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3"/>
          <w:szCs w:val="13"/>
          <w:color w:val="auto"/>
        </w:rPr>
        <w:t>Under the indenture, some of our rights and obligations and some of the rights of the holders of the debt securities may be modified or amended with the consent of the holders of not less than a majority in aggregate principal amount of the outstanding debt securities affected by the modification or amendment. However, the following modifications and amendments will not be effective against any holder without its consent:</w:t>
      </w:r>
    </w:p>
    <w:p>
      <w:pPr>
        <w:spacing w:after="0" w:line="283" w:lineRule="exact"/>
        <w:rPr>
          <w:sz w:val="20"/>
          <w:szCs w:val="20"/>
          <w:color w:val="auto"/>
        </w:rPr>
      </w:pPr>
    </w:p>
    <w:p>
      <w:pPr>
        <w:ind w:left="480" w:hanging="237"/>
        <w:spacing w:after="0"/>
        <w:tabs>
          <w:tab w:leader="none" w:pos="480" w:val="left"/>
        </w:tabs>
        <w:numPr>
          <w:ilvl w:val="0"/>
          <w:numId w:val="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a change in the stated maturity date of any payment of principal or interest;</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a reduction in the principal amount of or interest on any debt securities;</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an alteration or impairment of any right to convert at the rate or upon the terms provided in the indenture;</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a change in the currency in which any payment on the debt securities is payable;</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an impairment of a holder’s right to sue us for the enforcement of payments due on the debt securities; or</w:t>
      </w:r>
    </w:p>
    <w:p>
      <w:pPr>
        <w:spacing w:after="0" w:line="173" w:lineRule="exact"/>
        <w:rPr>
          <w:rFonts w:ascii="Arial" w:cs="Arial" w:eastAsia="Arial" w:hAnsi="Arial"/>
          <w:sz w:val="13"/>
          <w:szCs w:val="13"/>
          <w:b w:val="1"/>
          <w:bCs w:val="1"/>
          <w:color w:val="auto"/>
        </w:rPr>
      </w:pPr>
    </w:p>
    <w:p>
      <w:pPr>
        <w:ind w:left="480" w:hanging="237"/>
        <w:spacing w:after="0" w:line="298" w:lineRule="auto"/>
        <w:tabs>
          <w:tab w:leader="none" w:pos="480" w:val="left"/>
        </w:tabs>
        <w:numPr>
          <w:ilvl w:val="0"/>
          <w:numId w:val="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a reduction in the percentage of outstanding debt securities required to consent to a modification or amendment of the indenture or required to consent to a waiver of compliance with certain provisions of the indenture or certain defaults under the indenture.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Under the indenture, the holders of not less than a majority in aggregate principal amount of the outstanding debt securities may, on behalf of all holders of the debt securities:</w:t>
      </w:r>
    </w:p>
    <w:p>
      <w:pPr>
        <w:spacing w:after="0" w:line="174" w:lineRule="exact"/>
        <w:rPr>
          <w:sz w:val="20"/>
          <w:szCs w:val="20"/>
          <w:color w:val="auto"/>
        </w:rPr>
      </w:pPr>
    </w:p>
    <w:p>
      <w:pPr>
        <w:ind w:left="480" w:hanging="237"/>
        <w:spacing w:after="0"/>
        <w:tabs>
          <w:tab w:leader="none" w:pos="480" w:val="left"/>
        </w:tabs>
        <w:numPr>
          <w:ilvl w:val="0"/>
          <w:numId w:val="7"/>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waive compliance by us with certain restrictive provisions of the indenture; and</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7"/>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waive any past default under the indenture in accordance with the applicable provisions of the indenture, except a default in the payment of the principal of or interest on any series of debt securities.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Events of Default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Unless we indicate otherwise in the applicable prospectus supplement, “</w:t>
      </w:r>
      <w:r>
        <w:rPr>
          <w:rFonts w:ascii="Times New Roman" w:cs="Times New Roman" w:eastAsia="Times New Roman" w:hAnsi="Times New Roman"/>
          <w:sz w:val="13"/>
          <w:szCs w:val="13"/>
          <w:i w:val="1"/>
          <w:iCs w:val="1"/>
          <w:color w:val="auto"/>
        </w:rPr>
        <w:t>event of default</w:t>
      </w:r>
      <w:r>
        <w:rPr>
          <w:rFonts w:ascii="Times New Roman" w:cs="Times New Roman" w:eastAsia="Times New Roman" w:hAnsi="Times New Roman"/>
          <w:sz w:val="13"/>
          <w:szCs w:val="13"/>
          <w:color w:val="auto"/>
        </w:rPr>
        <w:t>” under the indenture will mean, with respect to any series of debt securities, any of the following:</w:t>
      </w:r>
    </w:p>
    <w:p>
      <w:pPr>
        <w:spacing w:after="0" w:line="176" w:lineRule="exact"/>
        <w:rPr>
          <w:sz w:val="20"/>
          <w:szCs w:val="20"/>
          <w:color w:val="auto"/>
        </w:rPr>
      </w:pPr>
    </w:p>
    <w:p>
      <w:pPr>
        <w:ind w:left="480" w:hanging="237"/>
        <w:spacing w:after="0"/>
        <w:tabs>
          <w:tab w:leader="none" w:pos="480" w:val="left"/>
        </w:tabs>
        <w:numPr>
          <w:ilvl w:val="0"/>
          <w:numId w:val="8"/>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failure to pay interest on any debt security for 30 days after the payment is due;</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8"/>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failure to pay the principal of any debt security when due, either at maturity, upon redemption, by declaration or otherwise;</w:t>
      </w:r>
    </w:p>
    <w:p>
      <w:pPr>
        <w:spacing w:after="0" w:line="173" w:lineRule="exact"/>
        <w:rPr>
          <w:rFonts w:ascii="Arial" w:cs="Arial" w:eastAsia="Arial" w:hAnsi="Arial"/>
          <w:sz w:val="13"/>
          <w:szCs w:val="13"/>
          <w:b w:val="1"/>
          <w:bCs w:val="1"/>
          <w:color w:val="auto"/>
        </w:rPr>
      </w:pPr>
    </w:p>
    <w:p>
      <w:pPr>
        <w:ind w:left="480" w:hanging="237"/>
        <w:spacing w:after="0" w:line="298" w:lineRule="auto"/>
        <w:tabs>
          <w:tab w:leader="none" w:pos="480" w:val="left"/>
        </w:tabs>
        <w:numPr>
          <w:ilvl w:val="0"/>
          <w:numId w:val="8"/>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failure on our part to observe or perform any other covenant or agreement in the indenture that applies to the debt securities for 90 days after we have received written notice of the failure to perform in the manner specified in the indenture; and</w:t>
      </w:r>
    </w:p>
    <w:p>
      <w:pPr>
        <w:spacing w:after="0" w:line="113" w:lineRule="exact"/>
        <w:rPr>
          <w:rFonts w:ascii="Arial" w:cs="Arial" w:eastAsia="Arial" w:hAnsi="Arial"/>
          <w:sz w:val="13"/>
          <w:szCs w:val="13"/>
          <w:b w:val="1"/>
          <w:bCs w:val="1"/>
          <w:color w:val="auto"/>
        </w:rPr>
      </w:pPr>
    </w:p>
    <w:p>
      <w:pPr>
        <w:ind w:left="480" w:hanging="237"/>
        <w:spacing w:after="0"/>
        <w:tabs>
          <w:tab w:leader="none" w:pos="480" w:val="left"/>
        </w:tabs>
        <w:numPr>
          <w:ilvl w:val="0"/>
          <w:numId w:val="8"/>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certain events of bankruptcy, insolvency or reorganization.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Remedies Upon an Event of Default</w:t>
      </w:r>
    </w:p>
    <w:p>
      <w:pPr>
        <w:spacing w:after="0" w:line="17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3"/>
          <w:szCs w:val="13"/>
          <w:color w:val="auto"/>
        </w:rPr>
        <w:t>If an event of default occurs and continues, the trustee or the holders of not less than 25% in aggregate principal amount of the outstanding debt securities of such series may declare the entire principal of all the debt securities to be due and payable immediately, except that, if the event of default is caused by certain events in bankruptcy, insolvency or reorganization, the entire principal of all of the debt securities of such series will become due and payable immediately without any act on the part of the trustee or holders of the debt securities. If such a declaration occurs, the holders of a majority of the aggregate principal amount of the outstanding debt securities of such series can, subject to conditions, rescind the declaration.</w:t>
      </w:r>
    </w:p>
    <w:p>
      <w:pPr>
        <w:spacing w:after="0" w:line="13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3"/>
          <w:szCs w:val="13"/>
          <w:color w:val="auto"/>
        </w:rPr>
        <w:t>The indenture requires us to furnish to the trustee not less often than annually, a certificate from our principal executive officer, principal financial officer or principal accounting officer, as the case may be, as to such officer’s knowledge of our compliance with all conditions and covenants under the indenture. The trustee may withhold notice to the holders of debt securities of any default, except defaults in the payment of principal of or interest on any debt securities if the trustee in good faith determines that the withholding of notice is in the best interests of the holders. For purposes of this paragraph, “</w:t>
      </w:r>
      <w:r>
        <w:rPr>
          <w:rFonts w:ascii="Times New Roman" w:cs="Times New Roman" w:eastAsia="Times New Roman" w:hAnsi="Times New Roman"/>
          <w:sz w:val="13"/>
          <w:szCs w:val="13"/>
          <w:i w:val="1"/>
          <w:iCs w:val="1"/>
          <w:color w:val="auto"/>
        </w:rPr>
        <w:t>default</w:t>
      </w:r>
      <w:r>
        <w:rPr>
          <w:rFonts w:ascii="Times New Roman" w:cs="Times New Roman" w:eastAsia="Times New Roman" w:hAnsi="Times New Roman"/>
          <w:sz w:val="13"/>
          <w:szCs w:val="13"/>
          <w:color w:val="auto"/>
        </w:rPr>
        <w:t>” means any event which is, or after notice or lapse of time or both would become, an event of default under the indenture.</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18" w:name="page19"/>
    <w:bookmarkEnd w:id="18"/>
    <w:p>
      <w:pPr>
        <w:jc w:val="both"/>
        <w:spacing w:after="0" w:line="279" w:lineRule="auto"/>
        <w:rPr>
          <w:sz w:val="20"/>
          <w:szCs w:val="20"/>
          <w:color w:val="auto"/>
        </w:rPr>
      </w:pPr>
      <w:r>
        <w:rPr>
          <w:rFonts w:ascii="Times New Roman" w:cs="Times New Roman" w:eastAsia="Times New Roman" w:hAnsi="Times New Roman"/>
          <w:sz w:val="13"/>
          <w:szCs w:val="13"/>
          <w:color w:val="auto"/>
        </w:rPr>
        <w:t>The trustee is not obligated to exercise any of its rights or powers under the indenture at the request, order or direction of any holders of debt securities, unless the holders offer the trustee satisfactory security or indemnity. If satisfactory security or indemnity is provided, then, subject to other rights of the trustee, the holders of a majority in aggregate principal amount of the outstanding debt securities may direct the time, method and place of:</w:t>
      </w:r>
    </w:p>
    <w:p>
      <w:pPr>
        <w:spacing w:after="0" w:line="125" w:lineRule="exact"/>
        <w:rPr>
          <w:sz w:val="20"/>
          <w:szCs w:val="20"/>
          <w:color w:val="auto"/>
        </w:rPr>
      </w:pPr>
    </w:p>
    <w:p>
      <w:pPr>
        <w:ind w:left="480" w:hanging="237"/>
        <w:spacing w:after="0"/>
        <w:tabs>
          <w:tab w:leader="none" w:pos="480" w:val="left"/>
        </w:tabs>
        <w:numPr>
          <w:ilvl w:val="0"/>
          <w:numId w:val="9"/>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conducting any proceeding for any remedy available to the trustee; or</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9"/>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exercising any trust or power conferred upon the trustee.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holder of a debt security will have the right to begin any proceeding with respect to the indenture or for any remedy only if:</w:t>
      </w:r>
    </w:p>
    <w:p>
      <w:pPr>
        <w:spacing w:after="0" w:line="174" w:lineRule="exact"/>
        <w:rPr>
          <w:sz w:val="20"/>
          <w:szCs w:val="20"/>
          <w:color w:val="auto"/>
        </w:rPr>
      </w:pPr>
    </w:p>
    <w:p>
      <w:pPr>
        <w:ind w:left="480" w:hanging="237"/>
        <w:spacing w:after="0"/>
        <w:tabs>
          <w:tab w:leader="none" w:pos="480" w:val="left"/>
        </w:tabs>
        <w:numPr>
          <w:ilvl w:val="0"/>
          <w:numId w:val="10"/>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holder has previously given the trustee written notice of a continuing event of default;</w:t>
      </w:r>
    </w:p>
    <w:p>
      <w:pPr>
        <w:spacing w:after="0" w:line="173" w:lineRule="exact"/>
        <w:rPr>
          <w:rFonts w:ascii="Arial" w:cs="Arial" w:eastAsia="Arial" w:hAnsi="Arial"/>
          <w:sz w:val="13"/>
          <w:szCs w:val="13"/>
          <w:b w:val="1"/>
          <w:bCs w:val="1"/>
          <w:color w:val="auto"/>
        </w:rPr>
      </w:pPr>
    </w:p>
    <w:p>
      <w:pPr>
        <w:ind w:left="480" w:hanging="237"/>
        <w:spacing w:after="0" w:line="298" w:lineRule="auto"/>
        <w:tabs>
          <w:tab w:leader="none" w:pos="480" w:val="left"/>
        </w:tabs>
        <w:numPr>
          <w:ilvl w:val="0"/>
          <w:numId w:val="10"/>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holders of not less than a majority in aggregate principal amount of the outstanding debt securities have made a written request of, and offered reasonable indemnity to, the trustee to begin such proceeding;</w:t>
      </w:r>
    </w:p>
    <w:p>
      <w:pPr>
        <w:spacing w:after="0" w:line="113" w:lineRule="exact"/>
        <w:rPr>
          <w:rFonts w:ascii="Arial" w:cs="Arial" w:eastAsia="Arial" w:hAnsi="Arial"/>
          <w:sz w:val="13"/>
          <w:szCs w:val="13"/>
          <w:b w:val="1"/>
          <w:bCs w:val="1"/>
          <w:color w:val="auto"/>
        </w:rPr>
      </w:pPr>
    </w:p>
    <w:p>
      <w:pPr>
        <w:ind w:left="480" w:hanging="237"/>
        <w:spacing w:after="0"/>
        <w:tabs>
          <w:tab w:leader="none" w:pos="480" w:val="left"/>
        </w:tabs>
        <w:numPr>
          <w:ilvl w:val="0"/>
          <w:numId w:val="10"/>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trustee has not started such proceeding within 60 days after receiving the request; and</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10"/>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no direction inconsistent with such written request has been given to the trustee under the indenture.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However, the holder of any debt security will have an absolute right to receive payment of principal of and interest on the debt security when due and to institute suit to enforce this payment.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Satisfaction and Discharge; Defeasance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Satisfaction and Discharge of Indenture</w:t>
      </w:r>
      <w:r>
        <w:rPr>
          <w:rFonts w:ascii="Times New Roman" w:cs="Times New Roman" w:eastAsia="Times New Roman" w:hAnsi="Times New Roman"/>
          <w:sz w:val="13"/>
          <w:szCs w:val="13"/>
          <w:color w:val="auto"/>
        </w:rPr>
        <w:t>. Unless otherwise indicated in the applicable prospectus supplement, if at any time,</w:t>
      </w:r>
    </w:p>
    <w:p>
      <w:pPr>
        <w:spacing w:after="0" w:line="176" w:lineRule="exact"/>
        <w:rPr>
          <w:sz w:val="20"/>
          <w:szCs w:val="20"/>
          <w:color w:val="auto"/>
        </w:rPr>
      </w:pPr>
    </w:p>
    <w:p>
      <w:pPr>
        <w:ind w:left="480" w:hanging="237"/>
        <w:spacing w:after="0" w:line="298" w:lineRule="auto"/>
        <w:tabs>
          <w:tab w:leader="none" w:pos="480" w:val="left"/>
        </w:tabs>
        <w:numPr>
          <w:ilvl w:val="0"/>
          <w:numId w:val="11"/>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we have paid the principal of and interest on all the debt securities of any series, except for debt securities which have been destroyed, lost or stolen and which have been replaced or paid in accordance with the indenture, as and when the same shall have become due and payable, or</w:t>
      </w:r>
    </w:p>
    <w:p>
      <w:pPr>
        <w:spacing w:after="0" w:line="113" w:lineRule="exact"/>
        <w:rPr>
          <w:rFonts w:ascii="Arial" w:cs="Arial" w:eastAsia="Arial" w:hAnsi="Arial"/>
          <w:sz w:val="13"/>
          <w:szCs w:val="13"/>
          <w:b w:val="1"/>
          <w:bCs w:val="1"/>
          <w:color w:val="auto"/>
        </w:rPr>
      </w:pPr>
    </w:p>
    <w:p>
      <w:pPr>
        <w:ind w:left="480" w:hanging="237"/>
        <w:spacing w:after="0" w:line="298" w:lineRule="auto"/>
        <w:tabs>
          <w:tab w:leader="none" w:pos="480" w:val="left"/>
        </w:tabs>
        <w:numPr>
          <w:ilvl w:val="0"/>
          <w:numId w:val="11"/>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we have delivered to the trustee for cancellation all debt securities of any series theretofore authenticated, except for debt securities of such series which have been destroyed, lost or stolen and which have been replaced or paid as provided in the indenture, or</w:t>
      </w:r>
    </w:p>
    <w:p>
      <w:pPr>
        <w:spacing w:after="0" w:line="113" w:lineRule="exact"/>
        <w:rPr>
          <w:rFonts w:ascii="Arial" w:cs="Arial" w:eastAsia="Arial" w:hAnsi="Arial"/>
          <w:sz w:val="13"/>
          <w:szCs w:val="13"/>
          <w:b w:val="1"/>
          <w:bCs w:val="1"/>
          <w:color w:val="auto"/>
        </w:rPr>
      </w:pPr>
    </w:p>
    <w:p>
      <w:pPr>
        <w:jc w:val="both"/>
        <w:ind w:left="480" w:hanging="237"/>
        <w:spacing w:after="0" w:line="278" w:lineRule="auto"/>
        <w:tabs>
          <w:tab w:leader="none" w:pos="480" w:val="left"/>
        </w:tabs>
        <w:numPr>
          <w:ilvl w:val="0"/>
          <w:numId w:val="11"/>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all the debt securities of such series not theretofore delivered to the trustee for cancellation have become due and payable, or are by their terms to become due and payable within one year or are to be called for redemption within one year, and we have deposited with the trustee, in trust, sufficient money or government obligations, or a combination thereof, to pay the principal, any interest and any other sums due on the debt securities, on the dates the payments are due or become due under the indenture and the terms of the debt securities,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then the indenture shall cease to be of further effect with respect to the debt securities of such series, except for:</w:t>
      </w:r>
    </w:p>
    <w:p>
      <w:pPr>
        <w:spacing w:after="0" w:line="174" w:lineRule="exact"/>
        <w:rPr>
          <w:sz w:val="20"/>
          <w:szCs w:val="20"/>
          <w:color w:val="auto"/>
        </w:rPr>
      </w:pPr>
    </w:p>
    <w:p>
      <w:pPr>
        <w:ind w:left="480" w:hanging="237"/>
        <w:spacing w:after="0"/>
        <w:tabs>
          <w:tab w:leader="none" w:pos="480" w:val="left"/>
        </w:tabs>
        <w:numPr>
          <w:ilvl w:val="0"/>
          <w:numId w:val="12"/>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rights of registration of transfer and exchange, and our right of optional redemption;</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12"/>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substitution of mutilated, defaced, destroyed, lost or stolen debt securities;</w:t>
      </w:r>
    </w:p>
    <w:p>
      <w:pPr>
        <w:spacing w:after="0" w:line="173" w:lineRule="exact"/>
        <w:rPr>
          <w:rFonts w:ascii="Arial" w:cs="Arial" w:eastAsia="Arial" w:hAnsi="Arial"/>
          <w:sz w:val="13"/>
          <w:szCs w:val="13"/>
          <w:b w:val="1"/>
          <w:bCs w:val="1"/>
          <w:color w:val="auto"/>
        </w:rPr>
      </w:pPr>
    </w:p>
    <w:p>
      <w:pPr>
        <w:ind w:left="480" w:hanging="237"/>
        <w:spacing w:after="0" w:line="298" w:lineRule="auto"/>
        <w:tabs>
          <w:tab w:leader="none" w:pos="480" w:val="left"/>
        </w:tabs>
        <w:numPr>
          <w:ilvl w:val="0"/>
          <w:numId w:val="12"/>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rights of holders to receive payments of principal thereof and interest thereon upon the original stated due dates therefor (but not upon acceleration) and remaining rights of the holders to receive mandatory sinking fund payments, if any;</w:t>
      </w:r>
    </w:p>
    <w:p>
      <w:pPr>
        <w:spacing w:after="0" w:line="113" w:lineRule="exact"/>
        <w:rPr>
          <w:rFonts w:ascii="Arial" w:cs="Arial" w:eastAsia="Arial" w:hAnsi="Arial"/>
          <w:sz w:val="13"/>
          <w:szCs w:val="13"/>
          <w:b w:val="1"/>
          <w:bCs w:val="1"/>
          <w:color w:val="auto"/>
        </w:rPr>
      </w:pPr>
    </w:p>
    <w:p>
      <w:pPr>
        <w:ind w:left="480" w:hanging="237"/>
        <w:spacing w:after="0"/>
        <w:tabs>
          <w:tab w:leader="none" w:pos="480" w:val="left"/>
        </w:tabs>
        <w:numPr>
          <w:ilvl w:val="0"/>
          <w:numId w:val="12"/>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rights, obligations and immunities of the trustee under the indenture; and</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12"/>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rights of the holders of such series of debt securities as beneficiaries thereof with respect to the property so deposited with the trustee payable to all or any of them.</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3"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3"/>
          <w:szCs w:val="13"/>
          <w:i w:val="1"/>
          <w:iCs w:val="1"/>
          <w:color w:val="auto"/>
        </w:rPr>
        <w:t xml:space="preserve">Defeasance and Covenant Defeasance. </w:t>
      </w:r>
      <w:r>
        <w:rPr>
          <w:rFonts w:ascii="Times New Roman" w:cs="Times New Roman" w:eastAsia="Times New Roman" w:hAnsi="Times New Roman"/>
          <w:sz w:val="13"/>
          <w:szCs w:val="13"/>
          <w:color w:val="auto"/>
        </w:rPr>
        <w:t>Unless otherwise indicated in the applicable prospectus supplement, we may elect with respect to any debt securities of any series either:</w:t>
      </w:r>
    </w:p>
    <w:p>
      <w:pPr>
        <w:spacing w:after="0" w:line="176" w:lineRule="exact"/>
        <w:rPr>
          <w:sz w:val="20"/>
          <w:szCs w:val="20"/>
          <w:color w:val="auto"/>
        </w:rPr>
      </w:pPr>
    </w:p>
    <w:p>
      <w:pPr>
        <w:ind w:left="480" w:hanging="237"/>
        <w:spacing w:after="0"/>
        <w:tabs>
          <w:tab w:leader="none" w:pos="480" w:val="left"/>
        </w:tabs>
        <w:numPr>
          <w:ilvl w:val="0"/>
          <w:numId w:val="13"/>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to defease and be discharged from all of our obligations with respect to such debt securities (“defeasance”), with certain exceptions described below; or</w:t>
      </w:r>
    </w:p>
    <w:p>
      <w:pPr>
        <w:spacing w:after="0" w:line="173" w:lineRule="exact"/>
        <w:rPr>
          <w:rFonts w:ascii="Arial" w:cs="Arial" w:eastAsia="Arial" w:hAnsi="Arial"/>
          <w:sz w:val="13"/>
          <w:szCs w:val="13"/>
          <w:b w:val="1"/>
          <w:bCs w:val="1"/>
          <w:color w:val="auto"/>
        </w:rPr>
      </w:pPr>
    </w:p>
    <w:p>
      <w:pPr>
        <w:ind w:left="480" w:hanging="237"/>
        <w:spacing w:after="0" w:line="298" w:lineRule="auto"/>
        <w:tabs>
          <w:tab w:leader="none" w:pos="480" w:val="left"/>
        </w:tabs>
        <w:numPr>
          <w:ilvl w:val="0"/>
          <w:numId w:val="13"/>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to be released from our obligations with respect to such debt securities under such covenants as may be specified in the applicable prospectus supplement, and any omission to comply with those obligations will not constitute a default or an event of default with respect to such debt securities (“</w:t>
      </w:r>
      <w:r>
        <w:rPr>
          <w:rFonts w:ascii="Times New Roman" w:cs="Times New Roman" w:eastAsia="Times New Roman" w:hAnsi="Times New Roman"/>
          <w:sz w:val="13"/>
          <w:szCs w:val="13"/>
          <w:i w:val="1"/>
          <w:iCs w:val="1"/>
          <w:color w:val="auto"/>
        </w:rPr>
        <w:t>covenant defeasance</w:t>
      </w:r>
      <w:r>
        <w:rPr>
          <w:rFonts w:ascii="Times New Roman" w:cs="Times New Roman" w:eastAsia="Times New Roman" w:hAnsi="Times New Roman"/>
          <w:sz w:val="13"/>
          <w:szCs w:val="13"/>
          <w:color w:val="auto"/>
        </w:rPr>
        <w: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must comply with the following conditions before the defeasance or covenant defeasance can be effected:</w:t>
      </w:r>
    </w:p>
    <w:p>
      <w:pPr>
        <w:spacing w:after="0" w:line="174" w:lineRule="exact"/>
        <w:rPr>
          <w:sz w:val="20"/>
          <w:szCs w:val="20"/>
          <w:color w:val="auto"/>
        </w:rPr>
      </w:pPr>
    </w:p>
    <w:p>
      <w:pPr>
        <w:jc w:val="both"/>
        <w:ind w:left="480" w:hanging="237"/>
        <w:spacing w:after="0" w:line="278" w:lineRule="auto"/>
        <w:tabs>
          <w:tab w:leader="none" w:pos="480" w:val="left"/>
        </w:tabs>
        <w:numPr>
          <w:ilvl w:val="0"/>
          <w:numId w:val="14"/>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we must irrevocably deposit with the indenture trustee or other qualifying trustee, under the terms of an irrevocable trust agreement in form and substance satisfactory to the trustee, trust funds in trust solely for the benefit of the holders of such debt securities, sufficient money or government obligations, or a combination thereof, to pay the principal, any interest and any other sums on the due dates for those payments; and</w:t>
      </w:r>
    </w:p>
    <w:p>
      <w:pPr>
        <w:spacing w:after="0" w:line="126" w:lineRule="exact"/>
        <w:rPr>
          <w:rFonts w:ascii="Arial" w:cs="Arial" w:eastAsia="Arial" w:hAnsi="Arial"/>
          <w:sz w:val="13"/>
          <w:szCs w:val="13"/>
          <w:b w:val="1"/>
          <w:bCs w:val="1"/>
          <w:color w:val="auto"/>
        </w:rPr>
      </w:pPr>
    </w:p>
    <w:p>
      <w:pPr>
        <w:jc w:val="both"/>
        <w:ind w:left="480" w:hanging="237"/>
        <w:spacing w:after="0" w:line="278" w:lineRule="auto"/>
        <w:tabs>
          <w:tab w:leader="none" w:pos="480" w:val="left"/>
        </w:tabs>
        <w:numPr>
          <w:ilvl w:val="0"/>
          <w:numId w:val="14"/>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we must deliver to the trustee an opinion of counsel to the effect that the holders of such debt securities will not recognize income, gain or loss for federal income tax purposes as a result of defeasance or covenant defeasance, as the case may be, to be effected with respect to such debt securities and will be subject to federal income tax on the same amount, in the same manner and at the same times as would be the case if such defeasance or covenant defeasance, as the case may be, had not occurred.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connection with defeasance, any irrevocable trust agreement contemplated by the indenture must include, among other things, provision for:</w:t>
      </w:r>
    </w:p>
    <w:p>
      <w:pPr>
        <w:spacing w:after="0" w:line="174" w:lineRule="exact"/>
        <w:rPr>
          <w:sz w:val="20"/>
          <w:szCs w:val="20"/>
          <w:color w:val="auto"/>
        </w:rPr>
      </w:pPr>
    </w:p>
    <w:p>
      <w:pPr>
        <w:ind w:left="480" w:hanging="237"/>
        <w:spacing w:after="0"/>
        <w:tabs>
          <w:tab w:leader="none" w:pos="480" w:val="left"/>
        </w:tabs>
        <w:numPr>
          <w:ilvl w:val="0"/>
          <w:numId w:val="1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payment of the principal of and interest on such debt securities, if any, appertaining thereto when due (by redemption, sinking fund payments or otherwise),</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1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payment of the expenses of the trustee incurred or to be incurred in connection with carrying out such trust provisions,</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1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rights of registration, transfer, substitution and exchange of such debt securities in accordance with the terms stated in the indenture, and</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1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continuation of the rights, obligations and immunities of the trustee as against the holders of such debt securities as stated in the indenture.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accompanying prospectus supplement may further describe any provisions permitting or restricting defeasance or covenant defeasance with respect to the debt securities of a particular series.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Global Securities</w:t>
      </w:r>
    </w:p>
    <w:p>
      <w:pPr>
        <w:spacing w:after="0" w:line="17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3"/>
          <w:szCs w:val="13"/>
          <w:color w:val="auto"/>
        </w:rPr>
        <w:t>Unless otherwise indicated in the applicable prospectus supplement, each debt security offered by this prospectus will be issued in the form of one or more global debt securities representing all or part of that series of debt securities. This means that we will not issue certificates for that series of debt securities to the holders. Instead, a global debt security representing that series will be deposited with, or on behalf of, a securities depositary and registered in the name of the depositary or a nominee of the depositary. Any such depositary must be a clearing agency registered under the Exchange Act. We will describe the specific terms of the depositary arrangement with respect to a series of debt securities to be represented by a global security in the applicable prospectus supplement.</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1"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3"/>
          <w:szCs w:val="13"/>
          <w:b w:val="1"/>
          <w:bCs w:val="1"/>
          <w:color w:val="auto"/>
        </w:rPr>
        <w:t>Notices</w:t>
      </w:r>
    </w:p>
    <w:p>
      <w:pPr>
        <w:spacing w:after="0" w:line="17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color w:val="auto"/>
        </w:rPr>
        <w:t>We will give notices to holders of the debt securities by mail at the addresses listed in the security register. In the case of notice in respect of unregistered securities or coupon securities, we may give notice by publication in a newspaper of general circulation in New York, New York.</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Governing Law</w:t>
      </w:r>
    </w:p>
    <w:p>
      <w:pPr>
        <w:spacing w:after="0" w:line="17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3"/>
          <w:szCs w:val="13"/>
          <w:color w:val="auto"/>
        </w:rPr>
        <w:t>The particular terms of a series of debt securities will be described in a prospectus supplement relating to such series of debt securities. Any indentures will be subject to and governed by the Trust Indenture Act of 1939, as amended, and may be supplemented or amended from time to time following their execution. Unless otherwise stated in the applicable prospectus supplement, we will not be limited in the amount of debt securities that we may issue, and neither the senior debt securities nor the subordinated debt securities will be secured by any of our property or assets. Thus, by owning debt securities, you are one of our unsecured creditors.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Regarding the Trustee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From time to time, we may maintain deposit accounts and conduct other banking transactions with the trustee to be appointed under the indenture or its affiliates in the ordinary course of business.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3"/>
          <w:szCs w:val="13"/>
          <w:b w:val="1"/>
          <w:bCs w:val="1"/>
          <w:color w:val="auto"/>
        </w:rPr>
        <w:t>DESCRIPTION OF WARRANTS</w:t>
      </w:r>
    </w:p>
    <w:p>
      <w:pPr>
        <w:spacing w:after="0" w:line="178"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3"/>
          <w:szCs w:val="13"/>
          <w:color w:val="auto"/>
        </w:rPr>
        <w:t>The following summarizes the general terms of capital stock and debt warrants that we may offer. The particular terms of any capital stock and debt warrants will be described in an accompanying prospectus supplement. The description below and in any accompanying prospectus supplement is not complete. You should read the form of warrant agreement and any warrant certificate that we will file with the SEC.</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Warrants to Purchase Capital Stock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If we offer capital stock warrants, the prospectus supplement will describe the terms of the capital stock warrants, including:</w:t>
      </w:r>
    </w:p>
    <w:p>
      <w:pPr>
        <w:spacing w:after="0" w:line="174" w:lineRule="exact"/>
        <w:rPr>
          <w:sz w:val="20"/>
          <w:szCs w:val="20"/>
          <w:color w:val="auto"/>
        </w:rPr>
      </w:pPr>
    </w:p>
    <w:p>
      <w:pPr>
        <w:ind w:left="480" w:hanging="237"/>
        <w:spacing w:after="0"/>
        <w:tabs>
          <w:tab w:leader="none" w:pos="480" w:val="left"/>
        </w:tabs>
        <w:numPr>
          <w:ilvl w:val="0"/>
          <w:numId w:val="1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offering price, if any;</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1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if applicable, the designation and terms of any preferred stock purchasable upon exercise of preferred stock warrants;</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1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number of shares of common stock or preferred stock purchasable upon exercise of one capital stock warrant and the initial price at which the shares may be purchased upon exercise;</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1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dates on which the right to exercise the stock warrants begins and expires;</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1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U.S. federal income tax consequences;</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1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call provisions, if any;</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1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currencies in which the offering price and exercise price are payable; and</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1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if applicable, the antidilution provisions of the capital stock warrants.</w:t>
      </w:r>
    </w:p>
    <w:p>
      <w:pPr>
        <w:spacing w:after="0" w:line="17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3"/>
          <w:szCs w:val="13"/>
          <w:color w:val="auto"/>
        </w:rPr>
        <w:t>The shares of common stock or preferred stock we issue upon exercise of the capital stock warrants will, when issued in accordance with the stock warrant agreement, be validly issued, fully paid and nonassessable.</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Exercise of Warrants to Purchase Capital Stock</w:t>
      </w:r>
    </w:p>
    <w:p>
      <w:pPr>
        <w:spacing w:after="0" w:line="17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3"/>
          <w:szCs w:val="13"/>
          <w:color w:val="auto"/>
        </w:rPr>
        <w:t>You may exercise capital stock warrants by surrendering to the capital stock warrant agent the capital stock warrant certificate, which indicates your election to exercise all or a portion of the capital stock warrants evidenced by the certificate. Surrendered capital stock warrant certificates must be accompanied by payment of the exercise price in the form of cash or check. The capital stock warrant agent will deliver certificates evidencing duly exercised capital stock warrants to the transfer agent. Upon receipt of the certificates, the transfer agent will deliver a certificate representing the number of shares of common stock or preferred stock purchased. If you exercise fewer than all the capital stock warrants evidenced by any certificate, the capital stock warrant agent will deliver a new capital stock warrant certificate representing the unexercised stock warrants.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 Rights as Stockholders</w:t>
      </w:r>
    </w:p>
    <w:p>
      <w:pPr>
        <w:spacing w:after="0" w:line="17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color w:val="auto"/>
        </w:rPr>
        <w:t>Holders of capital stock warrants are not entitled to vote, to consent, to receive dividends or to receive notice as stockholders with respect to any meeting of stockholders or to exercise any rights whatsoever as our stockholders.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Warrants to Purchase Debt Securities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If we offer debt warrants, the accompanying prospectus supplement will describe the terms of the debt warrants, including:</w:t>
      </w:r>
    </w:p>
    <w:p>
      <w:pPr>
        <w:spacing w:after="0" w:line="174" w:lineRule="exact"/>
        <w:rPr>
          <w:sz w:val="20"/>
          <w:szCs w:val="20"/>
          <w:color w:val="auto"/>
        </w:rPr>
      </w:pPr>
    </w:p>
    <w:p>
      <w:pPr>
        <w:ind w:left="480" w:hanging="237"/>
        <w:spacing w:after="0"/>
        <w:tabs>
          <w:tab w:leader="none" w:pos="480" w:val="left"/>
        </w:tabs>
        <w:numPr>
          <w:ilvl w:val="0"/>
          <w:numId w:val="17"/>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offering price, if any;</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17"/>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designation, aggregate principal amount and terms of the debt securities purchasable upon exercise of the debt warrants and the terms of the indenture under which the debt securities will be issued;</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22" w:name="page23"/>
    <w:bookmarkEnd w:id="22"/>
    <w:p>
      <w:pPr>
        <w:ind w:left="480" w:hanging="237"/>
        <w:spacing w:after="0"/>
        <w:tabs>
          <w:tab w:leader="none" w:pos="480" w:val="left"/>
        </w:tabs>
        <w:numPr>
          <w:ilvl w:val="0"/>
          <w:numId w:val="18"/>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if applicable, the designation and terms of the debt securities with which the debt warrants are issued and the number of debt warrants issued with each debt security;</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18"/>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if applicable, the date on and after which the debt warrants and the related securities will be separately transferable;</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18"/>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principal amount of debt securities purchasable upon exercise of one debt warrant, and the price at which the principal amount of debt securities may be purchased upon exercise;</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18"/>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dates on which the right to exercise the debt warrants begins and expires;</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18"/>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U.S. federal income tax consequences;</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18"/>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whether the debt warrants represented by the debt warrant certificates will be issued in registered or bearer form;</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18"/>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currencies in which the offering price and exercise price are payable; and</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18"/>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if applicable, any antidilution provisions.</w:t>
      </w:r>
    </w:p>
    <w:p>
      <w:pPr>
        <w:spacing w:after="0" w:line="173"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color w:val="auto"/>
        </w:rPr>
        <w:t>You may exchange debt warrant certificates for new debt warrant certificates of different denominations and may present debt warrant certificates for registration of transfer at the corporate trust office of the debt warrant agent, which will be listed in an accompanying prospectus supplement.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Exercise of Warrants to Purchase Debt Securities</w:t>
      </w:r>
    </w:p>
    <w:p>
      <w:pPr>
        <w:spacing w:after="0" w:line="17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3"/>
          <w:szCs w:val="13"/>
          <w:color w:val="auto"/>
        </w:rPr>
        <w:t>You may exercise debt warrants by surrendering the debt warrant certificate at the corporate trust office of the debt warrant agent, with payment in full of the exercise price. Upon the exercise of debt warrants, the debt warrant agent will, as soon as practicable, deliver the debt securities in authorized denominations in accordance with your instructions and at your sole cost and risk. If less than all the debt warrants evidenced by the debt warrant certificate are exercised, the agent will issue a new debt warrant certificate for the remaining amount of debt warrants.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 Rights as Holders of Debt Securities</w:t>
      </w:r>
    </w:p>
    <w:p>
      <w:pPr>
        <w:spacing w:after="0" w:line="17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3"/>
          <w:szCs w:val="13"/>
          <w:color w:val="auto"/>
        </w:rPr>
        <w:t>Debt warrantholders do not have any of the rights of holders of debt securities, except to the extent that the consent of warrantholders may be required for certain modifications of the terms of an indenture or form of the debt security, as the case may be, and the series of debt securities issuable upon exercise of the debt warrants. In addition, debt warrantholders are not entitled to payments of principal of and interest, if any, on the debt securities.</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3" w:right="31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3"/>
          <w:szCs w:val="13"/>
          <w:b w:val="1"/>
          <w:bCs w:val="1"/>
          <w:color w:val="auto"/>
        </w:rPr>
        <w:t>DESCRIPTION OF RIGHTS</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We may issue or distribute rights to our stockholders for the purchase of shares of our common stock, preferred stock or debt securities. We may issue rights independently or together with other securities, and the rights may be attached to or separate from any offered or distributed securities and may or may not be transferable by the stockholder receiving the rights. In connection with any offering of rights, we may enter into a standby underwriting, backstop or other arrangement with one or more underwriters or other persons pursuant to which the underwriters or other persons may agree to purchase any securities remaining unsubscribed for after such rights offering. Each series of rights will be issued under a separate rights agreement to be entered into between us and a bank or trust company, as rights agent, all as set forth in an accompanying prospectus supplement relating to the particular issue of rights. The rights agent will act solely as an agent of the Company in connection with the certificates relating to the rights of such series and will not assume any obligation or relationship of agency or trust for or with any holders of rights certificates or beneficial owners of rights.</w:t>
      </w:r>
    </w:p>
    <w:p>
      <w:pPr>
        <w:spacing w:after="0" w:line="13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3"/>
          <w:szCs w:val="13"/>
          <w:color w:val="auto"/>
        </w:rPr>
        <w:t>The following summary of material provisions of the rights are subject to, and qualified in their entirety by reference to, all the provisions of the certificates representing rights applicable to a particular series of rights. The terms of any rights offered or distributed under an accompanying prospectus supplement may differ from the terms described below. We urge you to read the accompanying prospectus supplement as well as the complete certificates representing the rights that contain the terms of the rights. The particular terms of any issue of rights will be described in an accompanying prospectus supplement relating to the issue, and may include:</w:t>
      </w:r>
    </w:p>
    <w:p>
      <w:pPr>
        <w:spacing w:after="0" w:line="131" w:lineRule="exact"/>
        <w:rPr>
          <w:sz w:val="20"/>
          <w:szCs w:val="20"/>
          <w:color w:val="auto"/>
        </w:rPr>
      </w:pPr>
    </w:p>
    <w:p>
      <w:pPr>
        <w:ind w:left="480" w:hanging="237"/>
        <w:spacing w:after="0"/>
        <w:tabs>
          <w:tab w:leader="none" w:pos="480" w:val="left"/>
        </w:tabs>
        <w:numPr>
          <w:ilvl w:val="0"/>
          <w:numId w:val="19"/>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in the case of a distribution of rights to our stockholders, the date for determining the stockholders entitled to the rights distribution;</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19"/>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in the case of a distribution of rights to our stockholders, the number of rights issued or to be issued to each stockholder;</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19"/>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aggregate number of shares of common stock, preferred stock or debt securities purchasable upon exercise of such rights and the exercise price;</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19"/>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aggregate number of rights being issued;</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19"/>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extent to which the rights are transferable;</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19"/>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date on which the holder’s ability to exercise such rights shall commence and the date on which such right shall expire;</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19"/>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extent to which the rights may include an over-subscription privilege with respect to unsubscribed securities;</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19"/>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a discussion of material U.S. federal income tax considerations;</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19"/>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any other material terms of such rights, including terms, procedures and limitations relating to the distribution, exchange and exercise of such rights; and</w:t>
      </w:r>
    </w:p>
    <w:p>
      <w:pPr>
        <w:spacing w:after="0" w:line="173" w:lineRule="exact"/>
        <w:rPr>
          <w:rFonts w:ascii="Arial" w:cs="Arial" w:eastAsia="Arial" w:hAnsi="Arial"/>
          <w:sz w:val="13"/>
          <w:szCs w:val="13"/>
          <w:b w:val="1"/>
          <w:bCs w:val="1"/>
          <w:color w:val="auto"/>
        </w:rPr>
      </w:pPr>
    </w:p>
    <w:p>
      <w:pPr>
        <w:ind w:left="480" w:hanging="237"/>
        <w:spacing w:after="0" w:line="268" w:lineRule="auto"/>
        <w:tabs>
          <w:tab w:leader="none" w:pos="480" w:val="left"/>
        </w:tabs>
        <w:numPr>
          <w:ilvl w:val="0"/>
          <w:numId w:val="19"/>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if applicable, the material terms of any standby underwriting, backstop or purchase arrangement which may be entered into by the Company in connection with the offering, issuance or distribution of rights.</w:t>
      </w:r>
    </w:p>
    <w:p>
      <w:pPr>
        <w:spacing w:after="0" w:line="31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3"/>
          <w:szCs w:val="13"/>
          <w:color w:val="auto"/>
        </w:rPr>
        <w:t>Each right will entitle the holder of rights to purchase for cash the number of shares of common stock or preferred stock or the principal amount of debt securities at the exercise price provided in the accompanying prospectus supplement. Rights may be exercised at any time up to the close of business on the expiration date for the rights provided in the accompanying prospectus supplement. After the close of business on the expiration date, all unexercised rights will be void and of no further force and effect.</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24" w:name="page25"/>
    <w:bookmarkEnd w:id="24"/>
    <w:p>
      <w:pPr>
        <w:jc w:val="both"/>
        <w:spacing w:after="0" w:line="269" w:lineRule="auto"/>
        <w:rPr>
          <w:sz w:val="20"/>
          <w:szCs w:val="20"/>
          <w:color w:val="auto"/>
        </w:rPr>
      </w:pPr>
      <w:r>
        <w:rPr>
          <w:rFonts w:ascii="Times New Roman" w:cs="Times New Roman" w:eastAsia="Times New Roman" w:hAnsi="Times New Roman"/>
          <w:sz w:val="13"/>
          <w:szCs w:val="13"/>
          <w:color w:val="auto"/>
        </w:rPr>
        <w:t>Holders may exercise rights as described in the accompanying prospectus supplement. Upon receipt of payment and the rights certificate properly completed and duly executed at the corporate trust office of the rights agent or any other office indicated in an accompanying prospectus supplement, we will, as soon as practicable, forward the shares of common stock or preferred stock or principal amount of debt securities purchased upon exercise of the rights. If less than all of the rights issued in any rights offering are exercised, we may offer any unsubscribed shares of common stock or preferred stock or principal amount of debt securities directly to persons, which may be to or through agents, underwriters or dealers or through a combination of such methods, including pursuant to standby underwriting arrangements, as described in the accompanying prospectus supplement.</w:t>
      </w:r>
    </w:p>
    <w:p>
      <w:pPr>
        <w:spacing w:after="0" w:line="13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3"/>
          <w:szCs w:val="13"/>
          <w:color w:val="auto"/>
        </w:rPr>
        <w:t>Until any rights to purchase common stock or preferred stock are exercised, the holders of any rights will not have any rights of holders of the underlying common stock or preferred stock, including any rights to receive dividends or payments upon any liquidation, dissolution or winding up on the common stock or preferred stock, if any. Until any rights to purchase debt securities are exercised, the holder of any rights will not have any rights of holders of the debt securities that can be purchased upon exercise, including any rights to receive payments of principal, premium or interest on the underlying debt securities or to enforce covenants in the applicable indenture.</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3" w:right="319" w:bottom="1440" w:gutter="0" w:footer="0" w:header="0"/>
        </w:sectPr>
      </w:pPr>
    </w:p>
    <w:bookmarkStart w:id="25" w:name="page26"/>
    <w:bookmarkEnd w:id="25"/>
    <w:p>
      <w:pPr>
        <w:jc w:val="center"/>
        <w:ind w:right="-379"/>
        <w:spacing w:after="0"/>
        <w:rPr>
          <w:sz w:val="20"/>
          <w:szCs w:val="20"/>
          <w:color w:val="auto"/>
        </w:rPr>
      </w:pPr>
      <w:r>
        <w:rPr>
          <w:rFonts w:ascii="Times New Roman" w:cs="Times New Roman" w:eastAsia="Times New Roman" w:hAnsi="Times New Roman"/>
          <w:sz w:val="13"/>
          <w:szCs w:val="13"/>
          <w:b w:val="1"/>
          <w:bCs w:val="1"/>
          <w:color w:val="auto"/>
        </w:rPr>
        <w:t>DESCRIPTION OF UNITS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 may be specified in an accompanying prospectus supplement, we may issue units consisting of one or more of our securities registered hereby. An accompanying prospectus supplement will describe:</w:t>
      </w:r>
    </w:p>
    <w:p>
      <w:pPr>
        <w:spacing w:after="0" w:line="174" w:lineRule="exact"/>
        <w:rPr>
          <w:sz w:val="20"/>
          <w:szCs w:val="20"/>
          <w:color w:val="auto"/>
        </w:rPr>
      </w:pPr>
    </w:p>
    <w:p>
      <w:pPr>
        <w:ind w:left="480" w:hanging="237"/>
        <w:spacing w:after="0"/>
        <w:tabs>
          <w:tab w:leader="none" w:pos="480" w:val="left"/>
        </w:tabs>
        <w:numPr>
          <w:ilvl w:val="0"/>
          <w:numId w:val="20"/>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terms of the units and of the securities comprising the units, including whether and under what circumstances the securities comprising the units may be traded separately;</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20"/>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a description of the terms of any unit agreement governing the units; and</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20"/>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a description of the provisions for the payment, settlement, transfer or exchange of the units.</w:t>
      </w:r>
    </w:p>
    <w:p>
      <w:pPr>
        <w:spacing w:after="0" w:line="33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0920"/>
          </w:cols>
          <w:pgMar w:left="300" w:top="709" w:right="67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3"/>
          <w:szCs w:val="13"/>
          <w:b w:val="1"/>
          <w:bCs w:val="1"/>
          <w:color w:val="auto"/>
        </w:rPr>
        <w:t>PLAN OF DISTRIBUTION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may offer and sell the securities in any one or more of the following ways:</w:t>
      </w:r>
    </w:p>
    <w:p>
      <w:pPr>
        <w:spacing w:after="0" w:line="174" w:lineRule="exact"/>
        <w:rPr>
          <w:sz w:val="20"/>
          <w:szCs w:val="20"/>
          <w:color w:val="auto"/>
        </w:rPr>
      </w:pPr>
    </w:p>
    <w:p>
      <w:pPr>
        <w:ind w:left="480" w:hanging="237"/>
        <w:spacing w:after="0"/>
        <w:tabs>
          <w:tab w:leader="none" w:pos="480" w:val="left"/>
        </w:tabs>
        <w:numPr>
          <w:ilvl w:val="0"/>
          <w:numId w:val="21"/>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to or through underwriters, brokers or dealers;</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21"/>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directly to one or more other purchasers;</w:t>
      </w:r>
    </w:p>
    <w:p>
      <w:pPr>
        <w:spacing w:after="0" w:line="173" w:lineRule="exact"/>
        <w:rPr>
          <w:rFonts w:ascii="Arial" w:cs="Arial" w:eastAsia="Arial" w:hAnsi="Arial"/>
          <w:sz w:val="13"/>
          <w:szCs w:val="13"/>
          <w:b w:val="1"/>
          <w:bCs w:val="1"/>
          <w:color w:val="auto"/>
        </w:rPr>
      </w:pPr>
    </w:p>
    <w:p>
      <w:pPr>
        <w:ind w:left="480" w:hanging="237"/>
        <w:spacing w:after="0" w:line="298" w:lineRule="auto"/>
        <w:tabs>
          <w:tab w:leader="none" w:pos="480" w:val="left"/>
        </w:tabs>
        <w:numPr>
          <w:ilvl w:val="0"/>
          <w:numId w:val="21"/>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through a block trade in which the broker or dealer engaged to handle the block trade will attempt to sell the securities as agent, but may position and resell a portion of the block as principal to facilitate the transaction;</w:t>
      </w:r>
    </w:p>
    <w:p>
      <w:pPr>
        <w:spacing w:after="0" w:line="113" w:lineRule="exact"/>
        <w:rPr>
          <w:rFonts w:ascii="Arial" w:cs="Arial" w:eastAsia="Arial" w:hAnsi="Arial"/>
          <w:sz w:val="13"/>
          <w:szCs w:val="13"/>
          <w:b w:val="1"/>
          <w:bCs w:val="1"/>
          <w:color w:val="auto"/>
        </w:rPr>
      </w:pPr>
    </w:p>
    <w:p>
      <w:pPr>
        <w:ind w:left="480" w:hanging="237"/>
        <w:spacing w:after="0"/>
        <w:tabs>
          <w:tab w:leader="none" w:pos="480" w:val="left"/>
        </w:tabs>
        <w:numPr>
          <w:ilvl w:val="0"/>
          <w:numId w:val="21"/>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through agents on a best-efforts basis;</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21"/>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any method that is deemed an “at the market offering” as defined in Rule 415(a)(4) under the Securities Act; or</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21"/>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otherwise through a combination of any of the above methods of sale.</w:t>
      </w:r>
    </w:p>
    <w:p>
      <w:pPr>
        <w:spacing w:after="0" w:line="173"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3"/>
          <w:szCs w:val="13"/>
          <w:color w:val="auto"/>
        </w:rPr>
        <w:t>In addition, we may enter into option, share lending or other types of transactions that require us to deliver shares of common stock to an underwriter, broker or dealer, who will then resell or transfer the shares of common stock under this prospectus. We may also enter into hedging transactions with respect to our securities. For example, we may:</w:t>
      </w:r>
    </w:p>
    <w:p>
      <w:pPr>
        <w:spacing w:after="0" w:line="114" w:lineRule="exact"/>
        <w:rPr>
          <w:sz w:val="20"/>
          <w:szCs w:val="20"/>
          <w:color w:val="auto"/>
        </w:rPr>
      </w:pPr>
    </w:p>
    <w:p>
      <w:pPr>
        <w:ind w:left="480" w:hanging="237"/>
        <w:spacing w:after="0"/>
        <w:tabs>
          <w:tab w:leader="none" w:pos="480" w:val="left"/>
        </w:tabs>
        <w:numPr>
          <w:ilvl w:val="0"/>
          <w:numId w:val="22"/>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enter into transactions involving short sales of the shares of common stock by underwriters, brokers or dealers;</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22"/>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sell shares of Common Stock short and deliver the shares to close out short positions;</w:t>
      </w:r>
    </w:p>
    <w:p>
      <w:pPr>
        <w:spacing w:after="0" w:line="173" w:lineRule="exact"/>
        <w:rPr>
          <w:rFonts w:ascii="Arial" w:cs="Arial" w:eastAsia="Arial" w:hAnsi="Arial"/>
          <w:sz w:val="13"/>
          <w:szCs w:val="13"/>
          <w:b w:val="1"/>
          <w:bCs w:val="1"/>
          <w:color w:val="auto"/>
        </w:rPr>
      </w:pPr>
    </w:p>
    <w:p>
      <w:pPr>
        <w:ind w:left="480" w:hanging="237"/>
        <w:spacing w:after="0" w:line="298" w:lineRule="auto"/>
        <w:tabs>
          <w:tab w:leader="none" w:pos="480" w:val="left"/>
        </w:tabs>
        <w:numPr>
          <w:ilvl w:val="0"/>
          <w:numId w:val="22"/>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enter into option or other types of transactions that require us to deliver shares of Common Stock to an underwriter, broker or dealer, who will then resell or transfer the shares of Common Stock under this prospectus; or</w:t>
      </w:r>
    </w:p>
    <w:p>
      <w:pPr>
        <w:spacing w:after="0" w:line="113" w:lineRule="exact"/>
        <w:rPr>
          <w:rFonts w:ascii="Arial" w:cs="Arial" w:eastAsia="Arial" w:hAnsi="Arial"/>
          <w:sz w:val="13"/>
          <w:szCs w:val="13"/>
          <w:b w:val="1"/>
          <w:bCs w:val="1"/>
          <w:color w:val="auto"/>
        </w:rPr>
      </w:pPr>
    </w:p>
    <w:p>
      <w:pPr>
        <w:ind w:left="480" w:hanging="237"/>
        <w:spacing w:after="0"/>
        <w:tabs>
          <w:tab w:leader="none" w:pos="480" w:val="left"/>
        </w:tabs>
        <w:numPr>
          <w:ilvl w:val="0"/>
          <w:numId w:val="22"/>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loan or pledge the shares of Common Stock to an underwriter, broker or dealer, who may sell the loaned shares or, in the event of default, sell the pledged shares.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In addition, we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134"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color w:val="auto"/>
        </w:rPr>
        <w:t>Each time we sell securities, we will provide a prospectus supplement that will name any underwriter, dealer or agent involved in the offer and sale of the securities. The prospectus supplement will also set forth the terms of the offering, including:</w:t>
      </w:r>
    </w:p>
    <w:p>
      <w:pPr>
        <w:spacing w:after="0" w:line="114" w:lineRule="exact"/>
        <w:rPr>
          <w:sz w:val="20"/>
          <w:szCs w:val="20"/>
          <w:color w:val="auto"/>
        </w:rPr>
      </w:pPr>
    </w:p>
    <w:p>
      <w:pPr>
        <w:ind w:left="480" w:hanging="237"/>
        <w:spacing w:after="0"/>
        <w:tabs>
          <w:tab w:leader="none" w:pos="480" w:val="left"/>
        </w:tabs>
        <w:numPr>
          <w:ilvl w:val="0"/>
          <w:numId w:val="23"/>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purchase price of the securities and the proceeds we will receive from the sale of the securities;</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23"/>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any underwriting discounts and other items constituting underwriters’ compensation;</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23"/>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any public offering or purchase price and any discounts or commissions allowed or re-allowed or paid to dealers;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27" w:name="page28"/>
    <w:bookmarkEnd w:id="27"/>
    <w:p>
      <w:pPr>
        <w:ind w:left="480" w:hanging="237"/>
        <w:spacing w:after="0"/>
        <w:tabs>
          <w:tab w:leader="none" w:pos="480" w:val="left"/>
        </w:tabs>
        <w:numPr>
          <w:ilvl w:val="0"/>
          <w:numId w:val="24"/>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any commissions allowed or paid to agents;</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24"/>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any other offering expenses;</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24"/>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any securities exchanges on which the securities may be listed;</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24"/>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method of distribution of the securities;</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24"/>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terms of any agreement, arrangement or understanding entered into with the underwriters, brokers or dealers; and</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24"/>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any other information we think is important.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If underwriters or dealers are used in the sale, the securities will be acquired by the underwriters or dealers for their own account. The securities may be sold from time to time by us in one or more transactions:</w:t>
      </w:r>
    </w:p>
    <w:p>
      <w:pPr>
        <w:spacing w:after="0" w:line="174" w:lineRule="exact"/>
        <w:rPr>
          <w:sz w:val="20"/>
          <w:szCs w:val="20"/>
          <w:color w:val="auto"/>
        </w:rPr>
      </w:pPr>
    </w:p>
    <w:p>
      <w:pPr>
        <w:ind w:left="480" w:hanging="237"/>
        <w:spacing w:after="0"/>
        <w:tabs>
          <w:tab w:leader="none" w:pos="480" w:val="left"/>
        </w:tabs>
        <w:numPr>
          <w:ilvl w:val="0"/>
          <w:numId w:val="2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at a fixed price or prices that may be changed;</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2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at market prices prevailing at the time of sale;</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2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at prices related to such prevailing market prices;</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2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at varying prices determined at the time of sale; or</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2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at negotiated prices.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Such sales may be effected:</w:t>
      </w:r>
    </w:p>
    <w:p>
      <w:pPr>
        <w:spacing w:after="0" w:line="174" w:lineRule="exact"/>
        <w:rPr>
          <w:sz w:val="20"/>
          <w:szCs w:val="20"/>
          <w:color w:val="auto"/>
        </w:rPr>
      </w:pPr>
    </w:p>
    <w:p>
      <w:pPr>
        <w:ind w:left="480" w:hanging="237"/>
        <w:spacing w:after="0"/>
        <w:tabs>
          <w:tab w:leader="none" w:pos="480" w:val="left"/>
        </w:tabs>
        <w:numPr>
          <w:ilvl w:val="0"/>
          <w:numId w:val="2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in transactions on any national securities exchange or quotation service on which the securities may be listed or quoted at the time of sale;</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2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in transactions in the over-the-counter market;</w:t>
      </w:r>
    </w:p>
    <w:p>
      <w:pPr>
        <w:spacing w:after="0" w:line="173" w:lineRule="exact"/>
        <w:rPr>
          <w:rFonts w:ascii="Arial" w:cs="Arial" w:eastAsia="Arial" w:hAnsi="Arial"/>
          <w:sz w:val="13"/>
          <w:szCs w:val="13"/>
          <w:b w:val="1"/>
          <w:bCs w:val="1"/>
          <w:color w:val="auto"/>
        </w:rPr>
      </w:pPr>
    </w:p>
    <w:p>
      <w:pPr>
        <w:ind w:left="480" w:right="80" w:hanging="237"/>
        <w:spacing w:after="0" w:line="298" w:lineRule="auto"/>
        <w:tabs>
          <w:tab w:leader="none" w:pos="480" w:val="left"/>
        </w:tabs>
        <w:numPr>
          <w:ilvl w:val="0"/>
          <w:numId w:val="2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in block transactions in which the broker or dealer so engaged will attempt to sell the securities as agent but may position and resell a portion of the block as principal to facilitate the transaction, or in crosses, in which the same broker acts as an agent on both sides of the trade;</w:t>
      </w:r>
    </w:p>
    <w:p>
      <w:pPr>
        <w:spacing w:after="0" w:line="113" w:lineRule="exact"/>
        <w:rPr>
          <w:rFonts w:ascii="Arial" w:cs="Arial" w:eastAsia="Arial" w:hAnsi="Arial"/>
          <w:sz w:val="13"/>
          <w:szCs w:val="13"/>
          <w:b w:val="1"/>
          <w:bCs w:val="1"/>
          <w:color w:val="auto"/>
        </w:rPr>
      </w:pPr>
    </w:p>
    <w:p>
      <w:pPr>
        <w:ind w:left="480" w:hanging="237"/>
        <w:spacing w:after="0"/>
        <w:tabs>
          <w:tab w:leader="none" w:pos="480" w:val="left"/>
        </w:tabs>
        <w:numPr>
          <w:ilvl w:val="0"/>
          <w:numId w:val="2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through the writing of options; or</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2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through other types of transactions.</w:t>
      </w:r>
    </w:p>
    <w:p>
      <w:pPr>
        <w:spacing w:after="0" w:line="17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3"/>
          <w:szCs w:val="13"/>
          <w:color w:val="auto"/>
        </w:rPr>
        <w:t>The securities may be offered to the public either through underwriting syndicates represented by one or more managing underwriters or directly by one or more of such firms. Unless otherwise set forth in the prospectus supplement, the obligations of underwriters or dealers to purchase the securities offered will be subject to certain conditions precedent and the underwriters or dealers will be obligated to purchase all the offered securities if any are purchased. Any public offering price and any discount or concession allowed or reallowed or paid by underwriters or dealers to other dealers may be changed from time to time.</w:t>
      </w:r>
    </w:p>
    <w:p>
      <w:pPr>
        <w:spacing w:after="0" w:line="29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3"/>
          <w:szCs w:val="13"/>
          <w:color w:val="auto"/>
        </w:rPr>
        <w:t>Any shares of Common Stock covered by this prospectus that qualify for sale pursuant to Rule 144 under the Securities Act may be sold under Rule 144 rather than pursuant to this prospectus. Any shares of Class A Common Stock offered under this prospectus will be listed on Nasdaq (or other such exchange or automated quotation system on which the Class A Common Stock is listed), subject to official notice of issuance.</w:t>
      </w:r>
    </w:p>
    <w:p>
      <w:pPr>
        <w:spacing w:after="0" w:line="28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3"/>
          <w:szCs w:val="13"/>
          <w:color w:val="auto"/>
        </w:rPr>
        <w:t>The securities may be sold directly by us or through agents designated by us from time to time. Any agent involved in the offer or sale of the securities in respect of which this prospectus is delivered will be named, and any commissions payable by us to such agent will be set forth in, the prospectus supplement. Unless otherwise indicated in the prospectus supplement, any such agent will be acting on a best efforts basis for the period of its appointment.</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3" w:right="319" w:bottom="1440" w:gutter="0" w:footer="0" w:header="0"/>
        </w:sectPr>
      </w:pPr>
    </w:p>
    <w:bookmarkStart w:id="28" w:name="page29"/>
    <w:bookmarkEnd w:id="28"/>
    <w:p>
      <w:pPr>
        <w:spacing w:after="0" w:line="298" w:lineRule="auto"/>
        <w:rPr>
          <w:sz w:val="20"/>
          <w:szCs w:val="20"/>
          <w:color w:val="auto"/>
        </w:rPr>
      </w:pPr>
      <w:r>
        <w:rPr>
          <w:rFonts w:ascii="Times New Roman" w:cs="Times New Roman" w:eastAsia="Times New Roman" w:hAnsi="Times New Roman"/>
          <w:sz w:val="13"/>
          <w:szCs w:val="13"/>
          <w:color w:val="auto"/>
        </w:rPr>
        <w:t>Offers to purchase the securities offered by this prospectus may be solicited, and sales of the securities may be made by us directly to institutional investors or others, who may be deemed to be underwriters within the meaning of the Securities Act with respect to any resale of the securities. The terms of any offer made in this manner will be included in the prospectus supplement relating to the offer.</w:t>
      </w:r>
    </w:p>
    <w:p>
      <w:pPr>
        <w:spacing w:after="0" w:line="114"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3"/>
          <w:szCs w:val="13"/>
          <w:color w:val="auto"/>
        </w:rPr>
        <w:t>If indicated in the applicable prospectus supplement, underwriters, dealers or agents will be authorized to solicit offers by certain institutional investors to purchase securities from us pursuant to contracts providing for payment and delivery at a future date. Institutional investors with which these contracts may be made include, among others:</w:t>
      </w:r>
    </w:p>
    <w:p>
      <w:pPr>
        <w:spacing w:after="0" w:line="114" w:lineRule="exact"/>
        <w:rPr>
          <w:sz w:val="20"/>
          <w:szCs w:val="20"/>
          <w:color w:val="auto"/>
        </w:rPr>
      </w:pPr>
    </w:p>
    <w:p>
      <w:pPr>
        <w:ind w:left="480" w:hanging="237"/>
        <w:spacing w:after="0"/>
        <w:tabs>
          <w:tab w:leader="none" w:pos="480" w:val="left"/>
        </w:tabs>
        <w:numPr>
          <w:ilvl w:val="0"/>
          <w:numId w:val="27"/>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commercial and savings banks;</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27"/>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insurance companies;</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27"/>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pension funds;</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27"/>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investment companies; and</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27"/>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educational charitable institutions.</w:t>
      </w:r>
    </w:p>
    <w:p>
      <w:pPr>
        <w:spacing w:after="0" w:line="17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3"/>
          <w:szCs w:val="13"/>
          <w:color w:val="auto"/>
        </w:rPr>
        <w:t>In all cases, these purchasers must be approved by us. Unless otherwise set forth in the applicable prospectus supplement, the obligations of any purchaser under any of these contracts will not be subject to any conditions except that (a) the purchase of the securities must not at the time of delivery be prohibited under the laws of any jurisdiction to which that purchaser is subject, and (b) if the securities are also being sold to underwriters, we must have sold to these underwriters the securities not subject to delayed delivery. Underwriters and other agents will not have any responsibility in respect of the validity or performance of these contracts.</w:t>
      </w:r>
    </w:p>
    <w:p>
      <w:pPr>
        <w:spacing w:after="0" w:line="13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3"/>
          <w:szCs w:val="13"/>
          <w:color w:val="auto"/>
        </w:rPr>
        <w:t>Some of the underwriters, dealers or agents used by us in any offering of securities under this prospectus may be customers of, engage in transactions with, and perform services for us or affiliates of ours in the ordinary course of business. Underwriters, dealers, agents and other persons may be entitled under agreements which may be entered into with us to indemnification against and contribution toward certain civil liabilities, including liabilities under the Securities Act, and to be reimbursed by us for certain expenses.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Subject to any restrictions relating to debt securities in bearer form, any securities initially sold outside the United States may be resold in the United States through underwriters, dealers or otherwise.</w:t>
      </w:r>
    </w:p>
    <w:p>
      <w:pPr>
        <w:spacing w:after="0" w:line="174"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color w:val="auto"/>
        </w:rPr>
        <w:t>Any underwriters to which offered securities are sold by us for public offering and sale may make a market in such securities, but those underwriters will not be obligated to do so and may discontinue any market making at any time.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anticipated date of delivery of the securities offered by this prospectus will be described in the applicable prospectus supplement relating to the offering.</w:t>
      </w:r>
    </w:p>
    <w:p>
      <w:pPr>
        <w:spacing w:after="0" w:line="174"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color w:val="auto"/>
        </w:rPr>
        <w:t>To comply with the securities laws of some states, if applicable, the securities may be sold in these jurisdictions only through registered or licensed brokers or dealers. In addition, in some states the securities may not be sold unless they have been registered or qualified for sale or an exemption from registration or qualification requirements is available and is complied with.</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3" w:right="31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3"/>
          <w:szCs w:val="13"/>
          <w:b w:val="1"/>
          <w:bCs w:val="1"/>
          <w:color w:val="auto"/>
        </w:rPr>
        <w:t>LEGAL MATTERS</w:t>
      </w:r>
    </w:p>
    <w:p>
      <w:pPr>
        <w:spacing w:after="0" w:line="17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color w:val="auto"/>
        </w:rPr>
        <w:t>Unless otherwise indicated in the applicable prospectus supplement, certain legal matters will be passed upon for us by Cozen O’Connor, New York, New York. If legal matters in connection with offerings made pursuant to this prospectus are passed upon by counsel for underwriters, dealers or agents, if any, such counsel will be named in the prospectus supplement relating to such offering.</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EXPERTS</w:t>
      </w:r>
    </w:p>
    <w:p>
      <w:pPr>
        <w:spacing w:after="0" w:line="178" w:lineRule="exact"/>
        <w:rPr>
          <w:sz w:val="20"/>
          <w:szCs w:val="20"/>
          <w:color w:val="auto"/>
        </w:rPr>
      </w:pPr>
    </w:p>
    <w:p>
      <w:pPr>
        <w:jc w:val="both"/>
        <w:spacing w:after="0" w:line="279" w:lineRule="auto"/>
        <w:rPr>
          <w:rFonts w:ascii="Times New Roman" w:cs="Times New Roman" w:eastAsia="Times New Roman" w:hAnsi="Times New Roman"/>
          <w:sz w:val="13"/>
          <w:szCs w:val="13"/>
          <w:color w:val="0000EE"/>
        </w:rPr>
      </w:pPr>
      <w:hyperlink r:id="rId59">
        <w:r>
          <w:rPr>
            <w:rFonts w:ascii="Times New Roman" w:cs="Times New Roman" w:eastAsia="Times New Roman" w:hAnsi="Times New Roman"/>
            <w:sz w:val="13"/>
            <w:szCs w:val="13"/>
            <w:color w:val="auto"/>
          </w:rPr>
          <w:t xml:space="preserve">The consolidated financial statements of the Company as of December 31, 2025 and for the year then ended, incorporated in this prospectus by reference from our </w:t>
        </w:r>
        <w:r>
          <w:rPr>
            <w:rFonts w:ascii="Times New Roman" w:cs="Times New Roman" w:eastAsia="Times New Roman" w:hAnsi="Times New Roman"/>
            <w:sz w:val="13"/>
            <w:szCs w:val="13"/>
            <w:u w:val="single" w:color="auto"/>
            <w:color w:val="0000EE"/>
          </w:rPr>
          <w:t>Annual Report on Form 10-K for the fiscal</w:t>
        </w:r>
      </w:hyperlink>
      <w:r>
        <w:rPr>
          <w:rFonts w:ascii="Times New Roman" w:cs="Times New Roman" w:eastAsia="Times New Roman" w:hAnsi="Times New Roman"/>
          <w:sz w:val="13"/>
          <w:szCs w:val="13"/>
          <w:color w:val="auto"/>
        </w:rPr>
        <w:t xml:space="preserve"> </w:t>
      </w:r>
      <w:hyperlink r:id="rId59">
        <w:r>
          <w:rPr>
            <w:rFonts w:ascii="Times New Roman" w:cs="Times New Roman" w:eastAsia="Times New Roman" w:hAnsi="Times New Roman"/>
            <w:sz w:val="13"/>
            <w:szCs w:val="13"/>
            <w:u w:val="single" w:color="auto"/>
            <w:color w:val="0000EE"/>
          </w:rPr>
          <w:t>year ended December 31, 2025</w:t>
        </w:r>
        <w:r>
          <w:rPr>
            <w:rFonts w:ascii="Times New Roman" w:cs="Times New Roman" w:eastAsia="Times New Roman" w:hAnsi="Times New Roman"/>
            <w:sz w:val="13"/>
            <w:szCs w:val="13"/>
            <w:color w:val="000000"/>
          </w:rPr>
          <w:t>, have been audited by KPMG LLP, an independent registered public accounting firm, as stated in their report, which is incorporated herein by reference. Such consolidated</w:t>
        </w:r>
      </w:hyperlink>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financial statements are incorporated by reference in reliance upon the report of such firm given their authority as experts in accounting and auditing.</w:t>
      </w:r>
    </w:p>
    <w:p>
      <w:pPr>
        <w:spacing w:after="0" w:line="125" w:lineRule="exact"/>
        <w:rPr>
          <w:sz w:val="20"/>
          <w:szCs w:val="20"/>
          <w:color w:val="auto"/>
        </w:rPr>
      </w:pPr>
    </w:p>
    <w:p>
      <w:pPr>
        <w:jc w:val="both"/>
        <w:spacing w:after="0" w:line="279" w:lineRule="auto"/>
        <w:rPr>
          <w:rFonts w:ascii="Times New Roman" w:cs="Times New Roman" w:eastAsia="Times New Roman" w:hAnsi="Times New Roman"/>
          <w:sz w:val="13"/>
          <w:szCs w:val="13"/>
          <w:color w:val="0000EE"/>
        </w:rPr>
      </w:pPr>
      <w:hyperlink r:id="rId59">
        <w:r>
          <w:rPr>
            <w:rFonts w:ascii="Times New Roman" w:cs="Times New Roman" w:eastAsia="Times New Roman" w:hAnsi="Times New Roman"/>
            <w:sz w:val="13"/>
            <w:szCs w:val="13"/>
            <w:color w:val="auto"/>
          </w:rPr>
          <w:t xml:space="preserve">The consolidated financial statements of the Company as of December 31, 2024 and for the year then ended, incorporated in this prospectus by reference from our </w:t>
        </w:r>
        <w:r>
          <w:rPr>
            <w:rFonts w:ascii="Times New Roman" w:cs="Times New Roman" w:eastAsia="Times New Roman" w:hAnsi="Times New Roman"/>
            <w:sz w:val="13"/>
            <w:szCs w:val="13"/>
            <w:u w:val="single" w:color="auto"/>
            <w:color w:val="0000EE"/>
          </w:rPr>
          <w:t>Annual Report on Form 10-K for the fiscal</w:t>
        </w:r>
      </w:hyperlink>
      <w:r>
        <w:rPr>
          <w:rFonts w:ascii="Times New Roman" w:cs="Times New Roman" w:eastAsia="Times New Roman" w:hAnsi="Times New Roman"/>
          <w:sz w:val="13"/>
          <w:szCs w:val="13"/>
          <w:color w:val="auto"/>
        </w:rPr>
        <w:t xml:space="preserve"> </w:t>
      </w:r>
      <w:hyperlink r:id="rId59">
        <w:r>
          <w:rPr>
            <w:rFonts w:ascii="Times New Roman" w:cs="Times New Roman" w:eastAsia="Times New Roman" w:hAnsi="Times New Roman"/>
            <w:sz w:val="13"/>
            <w:szCs w:val="13"/>
            <w:u w:val="single" w:color="auto"/>
            <w:color w:val="0000EE"/>
          </w:rPr>
          <w:t>year ended December 31, 2025</w:t>
        </w:r>
        <w:r>
          <w:rPr>
            <w:rFonts w:ascii="Times New Roman" w:cs="Times New Roman" w:eastAsia="Times New Roman" w:hAnsi="Times New Roman"/>
            <w:sz w:val="13"/>
            <w:szCs w:val="13"/>
            <w:color w:val="000000"/>
          </w:rPr>
          <w:t>, have been audited by Baker Tilly US, LLP, an independent registered public accounting firm, as stated in their report, which is incorporated herein by reference. Such</w:t>
        </w:r>
      </w:hyperlink>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consolidated financial statements are incorporated by reference in reliance upon the report of such firm given their authority as experts in accounting and auditing.</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3"/>
          <w:szCs w:val="13"/>
          <w:b w:val="1"/>
          <w:bCs w:val="1"/>
          <w:color w:val="auto"/>
        </w:rPr>
        <w:t>PROSPECTUS SUPPLEMENT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 Prospectus Dated June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2477135</wp:posOffset>
            </wp:positionH>
            <wp:positionV relativeFrom="paragraph">
              <wp:posOffset>110490</wp:posOffset>
            </wp:positionV>
            <wp:extent cx="2194560" cy="526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2194560" cy="526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Navitas Semiconductor Corporation</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Up to $500,000,000</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Class A Common Stock</w:t>
      </w:r>
    </w:p>
    <w:p>
      <w:pPr>
        <w:spacing w:after="0" w:line="16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3"/>
          <w:szCs w:val="13"/>
          <w:color w:val="auto"/>
        </w:rPr>
        <w:t>We have entered into a Sales Agreement (the “</w:t>
      </w:r>
      <w:r>
        <w:rPr>
          <w:rFonts w:ascii="Times New Roman" w:cs="Times New Roman" w:eastAsia="Times New Roman" w:hAnsi="Times New Roman"/>
          <w:sz w:val="13"/>
          <w:szCs w:val="13"/>
          <w:i w:val="1"/>
          <w:iCs w:val="1"/>
          <w:color w:val="auto"/>
        </w:rPr>
        <w:t>Sales Agreement</w:t>
      </w:r>
      <w:r>
        <w:rPr>
          <w:rFonts w:ascii="Times New Roman" w:cs="Times New Roman" w:eastAsia="Times New Roman" w:hAnsi="Times New Roman"/>
          <w:sz w:val="13"/>
          <w:szCs w:val="13"/>
          <w:color w:val="auto"/>
        </w:rPr>
        <w:t>”) with UBS Securities LLC, Morgan Stanley &amp; Co. LLC and Needham &amp; Company, LLC (each a “</w:t>
      </w:r>
      <w:r>
        <w:rPr>
          <w:rFonts w:ascii="Times New Roman" w:cs="Times New Roman" w:eastAsia="Times New Roman" w:hAnsi="Times New Roman"/>
          <w:sz w:val="13"/>
          <w:szCs w:val="13"/>
          <w:i w:val="1"/>
          <w:iCs w:val="1"/>
          <w:color w:val="auto"/>
        </w:rPr>
        <w:t>Sales Agent</w:t>
      </w:r>
      <w:r>
        <w:rPr>
          <w:rFonts w:ascii="Times New Roman" w:cs="Times New Roman" w:eastAsia="Times New Roman" w:hAnsi="Times New Roman"/>
          <w:sz w:val="13"/>
          <w:szCs w:val="13"/>
          <w:color w:val="auto"/>
        </w:rPr>
        <w:t>” and together, the “</w:t>
      </w:r>
      <w:r>
        <w:rPr>
          <w:rFonts w:ascii="Times New Roman" w:cs="Times New Roman" w:eastAsia="Times New Roman" w:hAnsi="Times New Roman"/>
          <w:sz w:val="13"/>
          <w:szCs w:val="13"/>
          <w:i w:val="1"/>
          <w:iCs w:val="1"/>
          <w:color w:val="auto"/>
        </w:rPr>
        <w:t>Sales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Agents</w:t>
      </w:r>
      <w:r>
        <w:rPr>
          <w:rFonts w:ascii="Times New Roman" w:cs="Times New Roman" w:eastAsia="Times New Roman" w:hAnsi="Times New Roman"/>
          <w:sz w:val="13"/>
          <w:szCs w:val="13"/>
          <w:color w:val="auto"/>
        </w:rPr>
        <w:t>”) relating to shares of our Class A common stock, par value $0.0001 per share (“</w:t>
      </w:r>
      <w:r>
        <w:rPr>
          <w:rFonts w:ascii="Times New Roman" w:cs="Times New Roman" w:eastAsia="Times New Roman" w:hAnsi="Times New Roman"/>
          <w:sz w:val="13"/>
          <w:szCs w:val="13"/>
          <w:i w:val="1"/>
          <w:iCs w:val="1"/>
          <w:color w:val="auto"/>
        </w:rPr>
        <w:t>Class A Common Stock</w:t>
      </w:r>
      <w:r>
        <w:rPr>
          <w:rFonts w:ascii="Times New Roman" w:cs="Times New Roman" w:eastAsia="Times New Roman" w:hAnsi="Times New Roman"/>
          <w:sz w:val="13"/>
          <w:szCs w:val="13"/>
          <w:color w:val="auto"/>
        </w:rPr>
        <w:t>”). In accordance with the terms of the Sales Agreement, pursuant to this prospectus supplement,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we may offer and sell shares of our Class A Common Stock having an aggregate offering price of up to $500.0 million from time to time through the Sales Agents acting as our agents or principals.</w:t>
      </w:r>
    </w:p>
    <w:p>
      <w:pPr>
        <w:spacing w:after="0" w:line="123"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3"/>
          <w:szCs w:val="13"/>
          <w:color w:val="auto"/>
        </w:rPr>
        <w:t>Our Class A Common Stock is listed on The Nasdaq Global Market (“</w:t>
      </w:r>
      <w:r>
        <w:rPr>
          <w:rFonts w:ascii="Times New Roman" w:cs="Times New Roman" w:eastAsia="Times New Roman" w:hAnsi="Times New Roman"/>
          <w:sz w:val="13"/>
          <w:szCs w:val="13"/>
          <w:i w:val="1"/>
          <w:iCs w:val="1"/>
          <w:color w:val="auto"/>
        </w:rPr>
        <w:t>Nasdaq</w:t>
      </w:r>
      <w:r>
        <w:rPr>
          <w:rFonts w:ascii="Times New Roman" w:cs="Times New Roman" w:eastAsia="Times New Roman" w:hAnsi="Times New Roman"/>
          <w:sz w:val="13"/>
          <w:szCs w:val="13"/>
          <w:color w:val="auto"/>
        </w:rPr>
        <w:t>”) under the symbol “NVTS”. On June 5, 2026, the last reported sale price of our Class A Common Stock on Nasdaq was $25.08 per share.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Sales of our Class A Common Stock, if any, under this prospectus supplement and the accompanying prospectus may be made in sales deemed to be an “at the market offering” as defined in Rule 415(a)</w:t>
      </w:r>
    </w:p>
    <w:p>
      <w:pPr>
        <w:spacing w:after="0" w:line="25" w:lineRule="exact"/>
        <w:rPr>
          <w:sz w:val="20"/>
          <w:szCs w:val="20"/>
          <w:color w:val="auto"/>
        </w:rPr>
      </w:pPr>
    </w:p>
    <w:p>
      <w:pPr>
        <w:jc w:val="both"/>
        <w:ind w:firstLine="1"/>
        <w:spacing w:after="0" w:line="269" w:lineRule="auto"/>
        <w:tabs>
          <w:tab w:leader="none" w:pos="191"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promulgated under the Securities Act of 1933, as amended (the “</w:t>
      </w:r>
      <w:r>
        <w:rPr>
          <w:rFonts w:ascii="Times New Roman" w:cs="Times New Roman" w:eastAsia="Times New Roman" w:hAnsi="Times New Roman"/>
          <w:sz w:val="13"/>
          <w:szCs w:val="13"/>
          <w:i w:val="1"/>
          <w:iCs w:val="1"/>
          <w:color w:val="auto"/>
        </w:rPr>
        <w:t>Securities Act</w:t>
      </w:r>
      <w:r>
        <w:rPr>
          <w:rFonts w:ascii="Times New Roman" w:cs="Times New Roman" w:eastAsia="Times New Roman" w:hAnsi="Times New Roman"/>
          <w:sz w:val="13"/>
          <w:szCs w:val="13"/>
          <w:color w:val="auto"/>
        </w:rPr>
        <w:t>”). The Sales Agents are not required to sell any specific number or dollar amounts of securities but will act as our sales agents using commercially reasonable efforts consistent with their normal trading and sales practices and mutually agreed terms between the Sales Agents and us. There is no arrangement for funds to be received in any escrow, trust or similar arrangement. The Sales Agents may also purchase shares of our Class A Common Stock as principals.</w:t>
      </w:r>
    </w:p>
    <w:p>
      <w:pPr>
        <w:spacing w:after="0" w:line="13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3"/>
          <w:szCs w:val="13"/>
          <w:color w:val="auto"/>
        </w:rPr>
        <w:t>The compensation to the Sales Agents for sales of Class A Common Stock sold pursuant to the Sales Agreement will be at a commission rate of up to 3.0% of the gross proceeds of any shares of Class A Common Stock sold under the Sales Agreement. In connection with the sale of the Class A Common Stock on our behalf, each Sales Agent may be deemed to be an “underwriter” within the meaning of the Securities Act and the compensation of the Sales Agents may be deemed to be underwriting commissions or discounts. We have also agreed to provide indemnification and contribution to the Sales Agents against certain civil liabilities, including liabilities under the Securities Act. See “</w:t>
      </w:r>
      <w:r>
        <w:rPr>
          <w:rFonts w:ascii="Times New Roman" w:cs="Times New Roman" w:eastAsia="Times New Roman" w:hAnsi="Times New Roman"/>
          <w:sz w:val="13"/>
          <w:szCs w:val="13"/>
          <w:i w:val="1"/>
          <w:iCs w:val="1"/>
          <w:color w:val="auto"/>
        </w:rPr>
        <w:t>Plan of Distribution</w:t>
      </w:r>
      <w:r>
        <w:rPr>
          <w:rFonts w:ascii="Times New Roman" w:cs="Times New Roman" w:eastAsia="Times New Roman" w:hAnsi="Times New Roman"/>
          <w:sz w:val="13"/>
          <w:szCs w:val="13"/>
          <w:color w:val="auto"/>
        </w:rPr>
        <w:t>” beginning on page S-9 for additional information regarding the compensation to be paid to the Sales Agents.</w:t>
      </w:r>
    </w:p>
    <w:p>
      <w:pPr>
        <w:spacing w:after="0" w:line="29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______________________</w:t>
      </w:r>
    </w:p>
    <w:p>
      <w:pPr>
        <w:spacing w:after="0" w:line="17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3"/>
          <w:szCs w:val="13"/>
          <w:b w:val="1"/>
          <w:bCs w:val="1"/>
          <w:color w:val="auto"/>
        </w:rPr>
        <w:t>Investing in our Class A Common Stock involves a high degree of risk. Please read the information contained in and incorporated by reference under the heading “</w:t>
      </w:r>
      <w:r>
        <w:rPr>
          <w:rFonts w:ascii="Times New Roman" w:cs="Times New Roman" w:eastAsia="Times New Roman" w:hAnsi="Times New Roman"/>
          <w:sz w:val="13"/>
          <w:szCs w:val="13"/>
          <w:b w:val="1"/>
          <w:bCs w:val="1"/>
          <w:i w:val="1"/>
          <w:iCs w:val="1"/>
          <w:color w:val="auto"/>
        </w:rPr>
        <w:t>Risk Factors</w:t>
      </w:r>
      <w:r>
        <w:rPr>
          <w:rFonts w:ascii="Times New Roman" w:cs="Times New Roman" w:eastAsia="Times New Roman" w:hAnsi="Times New Roman"/>
          <w:sz w:val="13"/>
          <w:szCs w:val="13"/>
          <w:b w:val="1"/>
          <w:bCs w:val="1"/>
          <w:color w:val="auto"/>
        </w:rPr>
        <w:t>” beginning on page S-3 of this prospectus supplement, under the heading “</w:t>
      </w:r>
      <w:r>
        <w:rPr>
          <w:rFonts w:ascii="Times New Roman" w:cs="Times New Roman" w:eastAsia="Times New Roman" w:hAnsi="Times New Roman"/>
          <w:sz w:val="13"/>
          <w:szCs w:val="13"/>
          <w:b w:val="1"/>
          <w:bCs w:val="1"/>
          <w:i w:val="1"/>
          <w:iCs w:val="1"/>
          <w:color w:val="auto"/>
        </w:rPr>
        <w:t>Risk Factors</w:t>
      </w:r>
      <w:r>
        <w:rPr>
          <w:rFonts w:ascii="Times New Roman" w:cs="Times New Roman" w:eastAsia="Times New Roman" w:hAnsi="Times New Roman"/>
          <w:sz w:val="13"/>
          <w:szCs w:val="13"/>
          <w:b w:val="1"/>
          <w:bCs w:val="1"/>
          <w:color w:val="auto"/>
        </w:rPr>
        <w:t>” beginning on page 6 of the accompanying prospectus, and the risk factors described in the documents that are incorporated by reference into this prospectus supplement and the accompanying prospectus, as they may be amended, updated or modified periodically in our reports filed with the Securities and Exchange Commission.</w:t>
      </w:r>
    </w:p>
    <w:p>
      <w:pPr>
        <w:spacing w:after="0" w:line="287"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3"/>
          <w:szCs w:val="13"/>
          <w:b w:val="1"/>
          <w:b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00" w:type="dxa"/>
            <w:vAlign w:val="bottom"/>
          </w:tcPr>
          <w:p>
            <w:pPr>
              <w:spacing w:after="0"/>
              <w:rPr>
                <w:sz w:val="15"/>
                <w:szCs w:val="15"/>
                <w:color w:val="auto"/>
              </w:rPr>
            </w:pPr>
          </w:p>
        </w:tc>
        <w:tc>
          <w:tcPr>
            <w:tcW w:w="4300" w:type="dxa"/>
            <w:vAlign w:val="bottom"/>
          </w:tcPr>
          <w:p>
            <w:pPr>
              <w:jc w:val="right"/>
              <w:ind w:right="1339"/>
              <w:spacing w:after="0"/>
              <w:rPr>
                <w:sz w:val="20"/>
                <w:szCs w:val="20"/>
                <w:color w:val="auto"/>
              </w:rPr>
            </w:pPr>
            <w:r>
              <w:rPr>
                <w:rFonts w:ascii="Times New Roman" w:cs="Times New Roman" w:eastAsia="Times New Roman" w:hAnsi="Times New Roman"/>
                <w:sz w:val="13"/>
                <w:szCs w:val="13"/>
                <w:color w:val="auto"/>
              </w:rPr>
              <w:t>______________________</w:t>
            </w:r>
          </w:p>
        </w:tc>
        <w:tc>
          <w:tcPr>
            <w:tcW w:w="3480" w:type="dxa"/>
            <w:vAlign w:val="bottom"/>
          </w:tcPr>
          <w:p>
            <w:pPr>
              <w:spacing w:after="0"/>
              <w:rPr>
                <w:sz w:val="15"/>
                <w:szCs w:val="15"/>
                <w:color w:val="auto"/>
              </w:rPr>
            </w:pPr>
          </w:p>
        </w:tc>
      </w:tr>
      <w:tr>
        <w:trPr>
          <w:trHeight w:val="418"/>
        </w:trPr>
        <w:tc>
          <w:tcPr>
            <w:tcW w:w="3500" w:type="dxa"/>
            <w:vAlign w:val="bottom"/>
          </w:tcPr>
          <w:p>
            <w:pPr>
              <w:ind w:left="900"/>
              <w:spacing w:after="0"/>
              <w:rPr>
                <w:sz w:val="20"/>
                <w:szCs w:val="20"/>
                <w:color w:val="auto"/>
              </w:rPr>
            </w:pPr>
            <w:r>
              <w:rPr>
                <w:rFonts w:ascii="Times New Roman" w:cs="Times New Roman" w:eastAsia="Times New Roman" w:hAnsi="Times New Roman"/>
                <w:sz w:val="22"/>
                <w:szCs w:val="22"/>
                <w:b w:val="1"/>
                <w:bCs w:val="1"/>
                <w:color w:val="auto"/>
              </w:rPr>
              <w:t>UBS Investment Bank</w:t>
            </w:r>
          </w:p>
        </w:tc>
        <w:tc>
          <w:tcPr>
            <w:tcW w:w="4300" w:type="dxa"/>
            <w:vAlign w:val="bottom"/>
          </w:tcPr>
          <w:p>
            <w:pPr>
              <w:ind w:left="1460"/>
              <w:spacing w:after="0"/>
              <w:rPr>
                <w:sz w:val="20"/>
                <w:szCs w:val="20"/>
                <w:color w:val="auto"/>
              </w:rPr>
            </w:pPr>
            <w:r>
              <w:rPr>
                <w:rFonts w:ascii="Times New Roman" w:cs="Times New Roman" w:eastAsia="Times New Roman" w:hAnsi="Times New Roman"/>
                <w:sz w:val="22"/>
                <w:szCs w:val="22"/>
                <w:b w:val="1"/>
                <w:bCs w:val="1"/>
                <w:color w:val="auto"/>
              </w:rPr>
              <w:t>Morgan Stanley</w:t>
            </w:r>
          </w:p>
        </w:tc>
        <w:tc>
          <w:tcPr>
            <w:tcW w:w="3480" w:type="dxa"/>
            <w:vAlign w:val="bottom"/>
          </w:tcPr>
          <w:p>
            <w:pPr>
              <w:ind w:left="600"/>
              <w:spacing w:after="0"/>
              <w:rPr>
                <w:sz w:val="20"/>
                <w:szCs w:val="20"/>
                <w:color w:val="auto"/>
              </w:rPr>
            </w:pPr>
            <w:r>
              <w:rPr>
                <w:rFonts w:ascii="Times New Roman" w:cs="Times New Roman" w:eastAsia="Times New Roman" w:hAnsi="Times New Roman"/>
                <w:sz w:val="22"/>
                <w:szCs w:val="22"/>
                <w:b w:val="1"/>
                <w:bCs w:val="1"/>
                <w:color w:val="auto"/>
              </w:rPr>
              <w:t>Needham &amp; Company</w:t>
            </w:r>
          </w:p>
        </w:tc>
      </w:tr>
      <w:tr>
        <w:trPr>
          <w:trHeight w:val="320"/>
        </w:trPr>
        <w:tc>
          <w:tcPr>
            <w:tcW w:w="3500" w:type="dxa"/>
            <w:vAlign w:val="bottom"/>
          </w:tcPr>
          <w:p>
            <w:pPr>
              <w:spacing w:after="0"/>
              <w:rPr>
                <w:sz w:val="24"/>
                <w:szCs w:val="24"/>
                <w:color w:val="auto"/>
              </w:rPr>
            </w:pPr>
          </w:p>
        </w:tc>
        <w:tc>
          <w:tcPr>
            <w:tcW w:w="4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The date of this prospectus supplement is June 8, 2026.</w:t>
            </w:r>
          </w:p>
        </w:tc>
        <w:tc>
          <w:tcPr>
            <w:tcW w:w="3480" w:type="dxa"/>
            <w:vAlign w:val="bottom"/>
          </w:tcPr>
          <w:p>
            <w:pPr>
              <w:spacing w:after="0"/>
              <w:rPr>
                <w:sz w:val="24"/>
                <w:szCs w:val="24"/>
                <w:color w:val="auto"/>
              </w:rPr>
            </w:pPr>
          </w:p>
        </w:tc>
      </w:tr>
      <w:tr>
        <w:trPr>
          <w:trHeight w:val="506"/>
        </w:trPr>
        <w:tc>
          <w:tcPr>
            <w:tcW w:w="350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09" w:right="31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60" w:type="dxa"/>
            <w:vAlign w:val="bottom"/>
            <w:gridSpan w:val="3"/>
          </w:tcPr>
          <w:p>
            <w:pPr>
              <w:jc w:val="right"/>
              <w:ind w:right="4862"/>
              <w:spacing w:after="0"/>
              <w:rPr>
                <w:sz w:val="20"/>
                <w:szCs w:val="20"/>
                <w:color w:val="auto"/>
              </w:rPr>
            </w:pPr>
            <w:r>
              <w:rPr>
                <w:rFonts w:ascii="Times New Roman" w:cs="Times New Roman" w:eastAsia="Times New Roman" w:hAnsi="Times New Roman"/>
                <w:sz w:val="13"/>
                <w:szCs w:val="13"/>
                <w:b w:val="1"/>
                <w:bCs w:val="1"/>
                <w:color w:val="auto"/>
              </w:rPr>
              <w:t>TABLE OF CONTENTS</w:t>
            </w:r>
          </w:p>
        </w:tc>
        <w:tc>
          <w:tcPr>
            <w:tcW w:w="0" w:type="dxa"/>
            <w:vAlign w:val="bottom"/>
          </w:tcPr>
          <w:p>
            <w:pPr>
              <w:spacing w:after="0"/>
              <w:rPr>
                <w:sz w:val="1"/>
                <w:szCs w:val="1"/>
                <w:color w:val="auto"/>
              </w:rPr>
            </w:pPr>
          </w:p>
        </w:tc>
      </w:tr>
      <w:tr>
        <w:trPr>
          <w:trHeight w:val="293"/>
        </w:trPr>
        <w:tc>
          <w:tcPr>
            <w:tcW w:w="4620" w:type="dxa"/>
            <w:vAlign w:val="bottom"/>
            <w:gridSpan w:val="15"/>
          </w:tcPr>
          <w:p>
            <w:pPr>
              <w:spacing w:after="0"/>
              <w:rPr>
                <w:sz w:val="20"/>
                <w:szCs w:val="20"/>
                <w:color w:val="auto"/>
              </w:rPr>
            </w:pPr>
            <w:r>
              <w:rPr>
                <w:rFonts w:ascii="Times New Roman" w:cs="Times New Roman" w:eastAsia="Times New Roman" w:hAnsi="Times New Roman"/>
                <w:sz w:val="13"/>
                <w:szCs w:val="13"/>
                <w:b w:val="1"/>
                <w:bCs w:val="1"/>
                <w:color w:val="auto"/>
              </w:rPr>
              <w:t>PROSPECTUS SUPPLEMENT</w:t>
            </w:r>
          </w:p>
        </w:tc>
        <w:tc>
          <w:tcPr>
            <w:tcW w:w="6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PAGE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56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3"/>
                <w:szCs w:val="13"/>
                <w:color w:val="0000EE"/>
              </w:rPr>
              <w:t>ABOUT THIS PROSPECTUS SUPPLEMENT</w:t>
            </w:r>
          </w:p>
        </w:tc>
        <w:tc>
          <w:tcPr>
            <w:tcW w:w="2040" w:type="dxa"/>
            <w:vAlign w:val="bottom"/>
            <w:gridSpan w:val="4"/>
            <w:shd w:val="clear" w:color="auto" w:fill="CCEEFF"/>
          </w:tcPr>
          <w:p>
            <w:pPr>
              <w:spacing w:after="0"/>
              <w:rPr>
                <w:sz w:val="13"/>
                <w:szCs w:val="13"/>
                <w:color w:val="auto"/>
              </w:rPr>
            </w:pPr>
          </w:p>
        </w:tc>
        <w:tc>
          <w:tcPr>
            <w:tcW w:w="6320" w:type="dxa"/>
            <w:vAlign w:val="bottom"/>
            <w:shd w:val="clear" w:color="auto" w:fill="CCEEFF"/>
          </w:tcPr>
          <w:p>
            <w:pPr>
              <w:spacing w:after="0"/>
              <w:rPr>
                <w:sz w:val="13"/>
                <w:szCs w:val="13"/>
                <w:color w:val="auto"/>
              </w:rPr>
            </w:pPr>
          </w:p>
        </w:tc>
        <w:tc>
          <w:tcPr>
            <w:tcW w:w="200" w:type="dxa"/>
            <w:vAlign w:val="bottom"/>
            <w:tcBorders>
              <w:top w:val="single" w:sz="8" w:color="auto"/>
              <w:right w:val="single" w:sz="8" w:color="CCEEFF"/>
            </w:tcBorders>
            <w:shd w:val="clear" w:color="auto" w:fill="CCEEFF"/>
          </w:tcPr>
          <w:p>
            <w:pPr>
              <w:spacing w:after="0"/>
              <w:rPr>
                <w:sz w:val="13"/>
                <w:szCs w:val="13"/>
                <w:color w:val="auto"/>
              </w:rPr>
            </w:pPr>
          </w:p>
        </w:tc>
        <w:tc>
          <w:tcPr>
            <w:tcW w:w="140" w:type="dxa"/>
            <w:vAlign w:val="bottom"/>
            <w:tcBorders>
              <w:top w:val="single" w:sz="8" w:color="auto"/>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0000EE"/>
                <w:w w:val="75"/>
              </w:rPr>
              <w:t>S-ii</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20" w:type="dxa"/>
            <w:vAlign w:val="bottom"/>
            <w:tcBorders>
              <w:righ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40" w:type="dxa"/>
            <w:vAlign w:val="bottom"/>
            <w:tcBorders>
              <w:left w:val="single" w:sz="8" w:color="0000EE"/>
              <w:right w:val="single" w:sz="8" w:color="0000EE"/>
            </w:tcBorders>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320" w:type="dxa"/>
            <w:vAlign w:val="bottom"/>
            <w:shd w:val="clear" w:color="auto" w:fill="CCEEFF"/>
          </w:tcPr>
          <w:p>
            <w:pPr>
              <w:spacing w:after="0"/>
              <w:rPr>
                <w:sz w:val="2"/>
                <w:szCs w:val="2"/>
                <w:color w:val="auto"/>
              </w:rPr>
            </w:pPr>
          </w:p>
        </w:tc>
        <w:tc>
          <w:tcPr>
            <w:tcW w:w="200" w:type="dxa"/>
            <w:vAlign w:val="bottom"/>
            <w:tcBorders>
              <w:right w:val="single" w:sz="8" w:color="0000EE"/>
            </w:tcBorders>
            <w:shd w:val="clear" w:color="auto" w:fill="CCEEFF"/>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620" w:type="dxa"/>
            <w:vAlign w:val="bottom"/>
            <w:gridSpan w:val="15"/>
          </w:tcPr>
          <w:p>
            <w:pPr>
              <w:spacing w:after="0"/>
              <w:rPr>
                <w:sz w:val="20"/>
                <w:szCs w:val="20"/>
                <w:color w:val="auto"/>
              </w:rPr>
            </w:pPr>
            <w:r>
              <w:rPr>
                <w:rFonts w:ascii="Times New Roman" w:cs="Times New Roman" w:eastAsia="Times New Roman" w:hAnsi="Times New Roman"/>
                <w:sz w:val="13"/>
                <w:szCs w:val="13"/>
                <w:color w:val="0000EE"/>
              </w:rPr>
              <w:t>CAUTIONARY NOTE REGARDING FORWARD-LOOKING STATEMENTS</w:t>
            </w:r>
          </w:p>
        </w:tc>
        <w:tc>
          <w:tcPr>
            <w:tcW w:w="6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9"/>
                <w:szCs w:val="9"/>
                <w:color w:val="0000EE"/>
                <w:w w:val="77"/>
              </w:rPr>
              <w:t>S-iii</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300" w:type="dxa"/>
            <w:vAlign w:val="bottom"/>
            <w:tcBorders>
              <w:top w:val="single" w:sz="8" w:color="0000EE"/>
            </w:tcBorders>
            <w:gridSpan w:val="13"/>
            <w:shd w:val="clear" w:color="auto" w:fill="CCEEFF"/>
          </w:tcPr>
          <w:p>
            <w:pPr>
              <w:spacing w:after="0"/>
              <w:rPr>
                <w:sz w:val="20"/>
                <w:szCs w:val="20"/>
                <w:color w:val="auto"/>
              </w:rPr>
            </w:pPr>
            <w:r>
              <w:rPr>
                <w:rFonts w:ascii="Times New Roman" w:cs="Times New Roman" w:eastAsia="Times New Roman" w:hAnsi="Times New Roman"/>
                <w:sz w:val="13"/>
                <w:szCs w:val="13"/>
                <w:color w:val="0000EE"/>
              </w:rPr>
              <w:t>PROSPECTUS SUPPLEMENT SUMMARY</w:t>
            </w:r>
          </w:p>
        </w:tc>
        <w:tc>
          <w:tcPr>
            <w:tcW w:w="300" w:type="dxa"/>
            <w:vAlign w:val="bottom"/>
            <w:shd w:val="clear" w:color="auto" w:fill="CCEEFF"/>
          </w:tcPr>
          <w:p>
            <w:pPr>
              <w:spacing w:after="0"/>
              <w:rPr>
                <w:sz w:val="13"/>
                <w:szCs w:val="13"/>
                <w:color w:val="auto"/>
              </w:rPr>
            </w:pPr>
          </w:p>
        </w:tc>
        <w:tc>
          <w:tcPr>
            <w:tcW w:w="63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40" w:type="dxa"/>
            <w:vAlign w:val="bottom"/>
            <w:tcBorders>
              <w:top w:val="single" w:sz="8" w:color="0000EE"/>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0000EE"/>
                <w:w w:val="71"/>
              </w:rPr>
              <w:t>S-1</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20" w:type="dxa"/>
            <w:vAlign w:val="bottom"/>
            <w:tcBorders>
              <w:righ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40" w:type="dxa"/>
            <w:vAlign w:val="bottom"/>
            <w:tcBorders>
              <w:left w:val="single" w:sz="8" w:color="0000EE"/>
              <w:right w:val="single" w:sz="8" w:color="0000EE"/>
            </w:tcBorders>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320" w:type="dxa"/>
            <w:vAlign w:val="bottom"/>
            <w:shd w:val="clear" w:color="auto" w:fill="CCEEFF"/>
          </w:tcPr>
          <w:p>
            <w:pPr>
              <w:spacing w:after="0"/>
              <w:rPr>
                <w:sz w:val="2"/>
                <w:szCs w:val="2"/>
                <w:color w:val="auto"/>
              </w:rPr>
            </w:pPr>
          </w:p>
        </w:tc>
        <w:tc>
          <w:tcPr>
            <w:tcW w:w="200" w:type="dxa"/>
            <w:vAlign w:val="bottom"/>
            <w:tcBorders>
              <w:right w:val="single" w:sz="8" w:color="0000EE"/>
            </w:tcBorders>
            <w:shd w:val="clear" w:color="auto" w:fill="CCEEFF"/>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620" w:type="dxa"/>
            <w:vAlign w:val="bottom"/>
            <w:gridSpan w:val="15"/>
          </w:tcPr>
          <w:p>
            <w:pPr>
              <w:spacing w:after="0"/>
              <w:rPr>
                <w:sz w:val="20"/>
                <w:szCs w:val="20"/>
                <w:color w:val="auto"/>
              </w:rPr>
            </w:pPr>
            <w:r>
              <w:rPr>
                <w:rFonts w:ascii="Times New Roman" w:cs="Times New Roman" w:eastAsia="Times New Roman" w:hAnsi="Times New Roman"/>
                <w:sz w:val="13"/>
                <w:szCs w:val="13"/>
                <w:color w:val="0000EE"/>
              </w:rPr>
              <w:t>THE OFFERING</w:t>
            </w:r>
          </w:p>
        </w:tc>
        <w:tc>
          <w:tcPr>
            <w:tcW w:w="6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0000EE"/>
                <w:w w:val="71"/>
              </w:rPr>
              <w:t>S-2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20" w:type="dxa"/>
            <w:vAlign w:val="bottom"/>
            <w:tcBorders>
              <w:top w:val="single" w:sz="8" w:color="0000EE"/>
              <w:bottom w:val="single" w:sz="8" w:color="0000EE"/>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0000EE"/>
                <w:w w:val="96"/>
              </w:rPr>
              <w:t>RISK FACTORS</w:t>
            </w:r>
          </w:p>
        </w:tc>
        <w:tc>
          <w:tcPr>
            <w:tcW w:w="3680" w:type="dxa"/>
            <w:vAlign w:val="bottom"/>
            <w:tcBorders>
              <w:left w:val="single" w:sz="8" w:color="CCEEFF"/>
              <w:bottom w:val="single" w:sz="8" w:color="CCEEFF"/>
            </w:tcBorders>
            <w:gridSpan w:val="12"/>
            <w:shd w:val="clear" w:color="auto" w:fill="CCEEFF"/>
          </w:tcPr>
          <w:p>
            <w:pPr>
              <w:spacing w:after="0"/>
              <w:rPr>
                <w:sz w:val="14"/>
                <w:szCs w:val="14"/>
                <w:color w:val="auto"/>
              </w:rPr>
            </w:pPr>
          </w:p>
        </w:tc>
        <w:tc>
          <w:tcPr>
            <w:tcW w:w="63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right w:val="single" w:sz="8" w:color="CCEEFF"/>
            </w:tcBorders>
            <w:shd w:val="clear" w:color="auto" w:fill="CCEEFF"/>
          </w:tcPr>
          <w:p>
            <w:pPr>
              <w:spacing w:after="0"/>
              <w:rPr>
                <w:sz w:val="14"/>
                <w:szCs w:val="14"/>
                <w:color w:val="auto"/>
              </w:rPr>
            </w:pPr>
          </w:p>
        </w:tc>
        <w:tc>
          <w:tcPr>
            <w:tcW w:w="140" w:type="dxa"/>
            <w:vAlign w:val="bottom"/>
            <w:tcBorders>
              <w:top w:val="single" w:sz="8" w:color="0000EE"/>
              <w:left w:val="single" w:sz="8" w:color="CCEEFF"/>
              <w:bottom w:val="single" w:sz="8" w:color="0000EE"/>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0000EE"/>
                <w:w w:val="71"/>
              </w:rPr>
              <w:t>S-3</w:t>
            </w:r>
          </w:p>
        </w:tc>
        <w:tc>
          <w:tcPr>
            <w:tcW w:w="0" w:type="dxa"/>
            <w:vAlign w:val="bottom"/>
          </w:tcPr>
          <w:p>
            <w:pPr>
              <w:spacing w:after="0"/>
              <w:rPr>
                <w:sz w:val="1"/>
                <w:szCs w:val="1"/>
                <w:color w:val="auto"/>
              </w:rPr>
            </w:pPr>
          </w:p>
        </w:tc>
      </w:tr>
      <w:tr>
        <w:trPr>
          <w:trHeight w:val="157"/>
        </w:trPr>
        <w:tc>
          <w:tcPr>
            <w:tcW w:w="4620" w:type="dxa"/>
            <w:vAlign w:val="bottom"/>
            <w:gridSpan w:val="15"/>
          </w:tcPr>
          <w:p>
            <w:pPr>
              <w:spacing w:after="0"/>
              <w:rPr>
                <w:sz w:val="20"/>
                <w:szCs w:val="20"/>
                <w:color w:val="auto"/>
              </w:rPr>
            </w:pPr>
            <w:r>
              <w:rPr>
                <w:rFonts w:ascii="Times New Roman" w:cs="Times New Roman" w:eastAsia="Times New Roman" w:hAnsi="Times New Roman"/>
                <w:sz w:val="13"/>
                <w:szCs w:val="13"/>
                <w:color w:val="0000EE"/>
              </w:rPr>
              <w:t>USE OF PROCEEDS</w:t>
            </w:r>
          </w:p>
        </w:tc>
        <w:tc>
          <w:tcPr>
            <w:tcW w:w="6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0000EE"/>
                <w:w w:val="71"/>
              </w:rPr>
              <w:t>S-5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160" w:type="dxa"/>
            <w:vAlign w:val="bottom"/>
            <w:tcBorders>
              <w:top w:val="single" w:sz="8" w:color="0000EE"/>
            </w:tcBorders>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0000EE"/>
              </w:rPr>
              <w:t>DILUTION</w:t>
            </w:r>
          </w:p>
        </w:tc>
        <w:tc>
          <w:tcPr>
            <w:tcW w:w="3440" w:type="dxa"/>
            <w:vAlign w:val="bottom"/>
            <w:gridSpan w:val="10"/>
            <w:shd w:val="clear" w:color="auto" w:fill="CCEEFF"/>
          </w:tcPr>
          <w:p>
            <w:pPr>
              <w:spacing w:after="0"/>
              <w:rPr>
                <w:sz w:val="13"/>
                <w:szCs w:val="13"/>
                <w:color w:val="auto"/>
              </w:rPr>
            </w:pPr>
          </w:p>
        </w:tc>
        <w:tc>
          <w:tcPr>
            <w:tcW w:w="63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40" w:type="dxa"/>
            <w:vAlign w:val="bottom"/>
            <w:tcBorders>
              <w:top w:val="single" w:sz="8" w:color="0000EE"/>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0000EE"/>
                <w:w w:val="71"/>
              </w:rPr>
              <w:t>S-6</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20" w:type="dxa"/>
            <w:vAlign w:val="bottom"/>
            <w:tcBorders>
              <w:right w:val="single" w:sz="8" w:color="0000EE"/>
            </w:tcBorders>
            <w:shd w:val="clear" w:color="auto" w:fill="0000EE"/>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0" w:type="dxa"/>
            <w:vAlign w:val="bottom"/>
            <w:tcBorders>
              <w:left w:val="single" w:sz="8" w:color="CCEEFF"/>
              <w:right w:val="single" w:sz="8" w:color="CCEEFF"/>
            </w:tcBorders>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320" w:type="dxa"/>
            <w:vAlign w:val="bottom"/>
            <w:shd w:val="clear" w:color="auto" w:fill="CCEEFF"/>
          </w:tcPr>
          <w:p>
            <w:pPr>
              <w:spacing w:after="0"/>
              <w:rPr>
                <w:sz w:val="2"/>
                <w:szCs w:val="2"/>
                <w:color w:val="auto"/>
              </w:rPr>
            </w:pPr>
          </w:p>
        </w:tc>
        <w:tc>
          <w:tcPr>
            <w:tcW w:w="200" w:type="dxa"/>
            <w:vAlign w:val="bottom"/>
            <w:tcBorders>
              <w:right w:val="single" w:sz="8" w:color="0000EE"/>
            </w:tcBorders>
            <w:shd w:val="clear" w:color="auto" w:fill="CCEEFF"/>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4620" w:type="dxa"/>
            <w:vAlign w:val="bottom"/>
            <w:gridSpan w:val="15"/>
          </w:tcPr>
          <w:p>
            <w:pPr>
              <w:spacing w:after="0"/>
              <w:rPr>
                <w:sz w:val="20"/>
                <w:szCs w:val="20"/>
                <w:color w:val="auto"/>
              </w:rPr>
            </w:pPr>
            <w:r>
              <w:rPr>
                <w:rFonts w:ascii="Times New Roman" w:cs="Times New Roman" w:eastAsia="Times New Roman" w:hAnsi="Times New Roman"/>
                <w:sz w:val="13"/>
                <w:szCs w:val="13"/>
                <w:color w:val="0000EE"/>
              </w:rPr>
              <w:t>DIVIDEND POLICY</w:t>
            </w:r>
          </w:p>
        </w:tc>
        <w:tc>
          <w:tcPr>
            <w:tcW w:w="6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0000EE"/>
                <w:w w:val="71"/>
              </w:rPr>
              <w:t>S-8</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Borders>
              <w:righ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320" w:type="dxa"/>
            <w:vAlign w:val="bottom"/>
          </w:tcPr>
          <w:p>
            <w:pPr>
              <w:spacing w:after="0"/>
              <w:rPr>
                <w:sz w:val="2"/>
                <w:szCs w:val="2"/>
                <w:color w:val="auto"/>
              </w:rPr>
            </w:pPr>
          </w:p>
        </w:tc>
        <w:tc>
          <w:tcPr>
            <w:tcW w:w="200" w:type="dxa"/>
            <w:vAlign w:val="bottom"/>
            <w:tcBorders>
              <w:right w:val="single" w:sz="8" w:color="0000EE"/>
            </w:tcBorders>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tcBorders>
              <w:bottom w:val="single" w:sz="8" w:color="0000EE"/>
            </w:tcBorders>
            <w:gridSpan w:val="5"/>
            <w:shd w:val="clear" w:color="auto" w:fill="CCEEFF"/>
          </w:tcPr>
          <w:p>
            <w:pPr>
              <w:spacing w:after="0"/>
              <w:rPr>
                <w:sz w:val="20"/>
                <w:szCs w:val="20"/>
                <w:color w:val="auto"/>
              </w:rPr>
            </w:pPr>
            <w:r>
              <w:rPr>
                <w:rFonts w:ascii="Times New Roman" w:cs="Times New Roman" w:eastAsia="Times New Roman" w:hAnsi="Times New Roman"/>
                <w:sz w:val="13"/>
                <w:szCs w:val="13"/>
                <w:color w:val="0000EE"/>
                <w:w w:val="98"/>
              </w:rPr>
              <w:t>PLAN OF DISTRIBUTION</w:t>
            </w:r>
          </w:p>
        </w:tc>
        <w:tc>
          <w:tcPr>
            <w:tcW w:w="3100" w:type="dxa"/>
            <w:vAlign w:val="bottom"/>
            <w:tcBorders>
              <w:left w:val="single" w:sz="8" w:color="CCEEFF"/>
              <w:bottom w:val="single" w:sz="8" w:color="CCEEFF"/>
            </w:tcBorders>
            <w:gridSpan w:val="9"/>
            <w:shd w:val="clear" w:color="auto" w:fill="CCEEFF"/>
          </w:tcPr>
          <w:p>
            <w:pPr>
              <w:spacing w:after="0"/>
              <w:rPr>
                <w:sz w:val="14"/>
                <w:szCs w:val="14"/>
                <w:color w:val="auto"/>
              </w:rPr>
            </w:pPr>
          </w:p>
        </w:tc>
        <w:tc>
          <w:tcPr>
            <w:tcW w:w="63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right w:val="single" w:sz="8" w:color="CCEEFF"/>
            </w:tcBorders>
            <w:shd w:val="clear" w:color="auto" w:fill="CCEEFF"/>
          </w:tcPr>
          <w:p>
            <w:pPr>
              <w:spacing w:after="0"/>
              <w:rPr>
                <w:sz w:val="14"/>
                <w:szCs w:val="14"/>
                <w:color w:val="auto"/>
              </w:rPr>
            </w:pPr>
          </w:p>
        </w:tc>
        <w:tc>
          <w:tcPr>
            <w:tcW w:w="140" w:type="dxa"/>
            <w:vAlign w:val="bottom"/>
            <w:tcBorders>
              <w:left w:val="single" w:sz="8" w:color="CCEEFF"/>
              <w:bottom w:val="single" w:sz="8" w:color="0000EE"/>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0000EE"/>
                <w:w w:val="71"/>
              </w:rPr>
              <w:t>S-9</w:t>
            </w:r>
          </w:p>
        </w:tc>
        <w:tc>
          <w:tcPr>
            <w:tcW w:w="0" w:type="dxa"/>
            <w:vAlign w:val="bottom"/>
          </w:tcPr>
          <w:p>
            <w:pPr>
              <w:spacing w:after="0"/>
              <w:rPr>
                <w:sz w:val="1"/>
                <w:szCs w:val="1"/>
                <w:color w:val="auto"/>
              </w:rPr>
            </w:pPr>
          </w:p>
        </w:tc>
      </w:tr>
      <w:tr>
        <w:trPr>
          <w:trHeight w:val="152"/>
        </w:trPr>
        <w:tc>
          <w:tcPr>
            <w:tcW w:w="4620" w:type="dxa"/>
            <w:vAlign w:val="bottom"/>
            <w:gridSpan w:val="15"/>
          </w:tcPr>
          <w:p>
            <w:pPr>
              <w:spacing w:after="0"/>
              <w:rPr>
                <w:sz w:val="20"/>
                <w:szCs w:val="20"/>
                <w:color w:val="auto"/>
              </w:rPr>
            </w:pPr>
            <w:r>
              <w:rPr>
                <w:rFonts w:ascii="Times New Roman" w:cs="Times New Roman" w:eastAsia="Times New Roman" w:hAnsi="Times New Roman"/>
                <w:sz w:val="13"/>
                <w:szCs w:val="13"/>
                <w:color w:val="0000EE"/>
              </w:rPr>
              <w:t>LEGAL MATTERS</w:t>
            </w:r>
          </w:p>
        </w:tc>
        <w:tc>
          <w:tcPr>
            <w:tcW w:w="6320" w:type="dxa"/>
            <w:vAlign w:val="bottom"/>
          </w:tcPr>
          <w:p>
            <w:pPr>
              <w:spacing w:after="0"/>
              <w:rPr>
                <w:sz w:val="13"/>
                <w:szCs w:val="13"/>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0000EE"/>
              </w:rPr>
              <w:t>S-10</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Borders>
              <w:righ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320" w:type="dxa"/>
            <w:vAlign w:val="bottom"/>
          </w:tcPr>
          <w:p>
            <w:pPr>
              <w:spacing w:after="0"/>
              <w:rPr>
                <w:sz w:val="2"/>
                <w:szCs w:val="2"/>
                <w:color w:val="auto"/>
              </w:rPr>
            </w:pPr>
          </w:p>
        </w:tc>
        <w:tc>
          <w:tcPr>
            <w:tcW w:w="200" w:type="dxa"/>
            <w:vAlign w:val="bottom"/>
            <w:tcBorders>
              <w:right w:val="single" w:sz="8" w:color="0000EE"/>
            </w:tcBorders>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6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0000EE"/>
              </w:rPr>
              <w:t>EXPERTS</w:t>
            </w:r>
          </w:p>
        </w:tc>
        <w:tc>
          <w:tcPr>
            <w:tcW w:w="440" w:type="dxa"/>
            <w:vAlign w:val="bottom"/>
            <w:gridSpan w:val="2"/>
            <w:shd w:val="clear" w:color="auto" w:fill="CCEEFF"/>
          </w:tcPr>
          <w:p>
            <w:pPr>
              <w:spacing w:after="0"/>
              <w:rPr>
                <w:sz w:val="13"/>
                <w:szCs w:val="13"/>
                <w:color w:val="auto"/>
              </w:rPr>
            </w:pPr>
          </w:p>
        </w:tc>
        <w:tc>
          <w:tcPr>
            <w:tcW w:w="3540" w:type="dxa"/>
            <w:vAlign w:val="bottom"/>
            <w:gridSpan w:val="11"/>
            <w:shd w:val="clear" w:color="auto" w:fill="CCEEFF"/>
          </w:tcPr>
          <w:p>
            <w:pPr>
              <w:spacing w:after="0"/>
              <w:rPr>
                <w:sz w:val="13"/>
                <w:szCs w:val="13"/>
                <w:color w:val="auto"/>
              </w:rPr>
            </w:pPr>
          </w:p>
        </w:tc>
        <w:tc>
          <w:tcPr>
            <w:tcW w:w="632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0000EE"/>
              </w:rPr>
              <w:t>S-10</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20" w:type="dxa"/>
            <w:vAlign w:val="bottom"/>
            <w:tcBorders>
              <w:right w:val="single" w:sz="8" w:color="CCEEFF"/>
            </w:tcBorders>
            <w:shd w:val="clear" w:color="auto" w:fill="0000EE"/>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0" w:type="dxa"/>
            <w:vAlign w:val="bottom"/>
            <w:tcBorders>
              <w:left w:val="single" w:sz="8" w:color="CCEEFF"/>
              <w:right w:val="single" w:sz="8" w:color="CCEEFF"/>
            </w:tcBorders>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320" w:type="dxa"/>
            <w:vAlign w:val="bottom"/>
            <w:shd w:val="clear" w:color="auto" w:fill="CCEEFF"/>
          </w:tcPr>
          <w:p>
            <w:pPr>
              <w:spacing w:after="0"/>
              <w:rPr>
                <w:sz w:val="2"/>
                <w:szCs w:val="2"/>
                <w:color w:val="auto"/>
              </w:rPr>
            </w:pPr>
          </w:p>
        </w:tc>
        <w:tc>
          <w:tcPr>
            <w:tcW w:w="200" w:type="dxa"/>
            <w:vAlign w:val="bottom"/>
            <w:tcBorders>
              <w:right w:val="single" w:sz="8" w:color="0000EE"/>
            </w:tcBorders>
            <w:shd w:val="clear" w:color="auto" w:fill="CCEEFF"/>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620" w:type="dxa"/>
            <w:vAlign w:val="bottom"/>
            <w:gridSpan w:val="15"/>
          </w:tcPr>
          <w:p>
            <w:pPr>
              <w:spacing w:after="0"/>
              <w:rPr>
                <w:sz w:val="20"/>
                <w:szCs w:val="20"/>
                <w:color w:val="auto"/>
              </w:rPr>
            </w:pPr>
            <w:r>
              <w:rPr>
                <w:rFonts w:ascii="Times New Roman" w:cs="Times New Roman" w:eastAsia="Times New Roman" w:hAnsi="Times New Roman"/>
                <w:sz w:val="13"/>
                <w:szCs w:val="13"/>
                <w:color w:val="0000EE"/>
              </w:rPr>
              <w:t>INCORPORATION OF CERTAIN INFORMATION BY REFERENCE</w:t>
            </w:r>
          </w:p>
        </w:tc>
        <w:tc>
          <w:tcPr>
            <w:tcW w:w="6320" w:type="dxa"/>
            <w:vAlign w:val="bottom"/>
          </w:tcPr>
          <w:p>
            <w:pPr>
              <w:spacing w:after="0"/>
              <w:rPr>
                <w:sz w:val="13"/>
                <w:szCs w:val="13"/>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0000EE"/>
              </w:rPr>
              <w:t>S-10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40" w:type="dxa"/>
            <w:vAlign w:val="bottom"/>
            <w:tcBorders>
              <w:top w:val="single" w:sz="8" w:color="0000EE"/>
              <w:bottom w:val="single" w:sz="8" w:color="0000EE"/>
            </w:tcBorders>
            <w:gridSpan w:val="11"/>
            <w:shd w:val="clear" w:color="auto" w:fill="CCEEFF"/>
          </w:tcPr>
          <w:p>
            <w:pPr>
              <w:spacing w:after="0"/>
              <w:rPr>
                <w:sz w:val="20"/>
                <w:szCs w:val="20"/>
                <w:color w:val="auto"/>
              </w:rPr>
            </w:pPr>
            <w:r>
              <w:rPr>
                <w:rFonts w:ascii="Times New Roman" w:cs="Times New Roman" w:eastAsia="Times New Roman" w:hAnsi="Times New Roman"/>
                <w:sz w:val="13"/>
                <w:szCs w:val="13"/>
                <w:color w:val="0000EE"/>
              </w:rPr>
              <w:t>WHERE YOU CAN FIND MORE INFORMATION</w:t>
            </w:r>
          </w:p>
        </w:tc>
        <w:tc>
          <w:tcPr>
            <w:tcW w:w="1020" w:type="dxa"/>
            <w:vAlign w:val="bottom"/>
            <w:tcBorders>
              <w:top w:val="single" w:sz="8" w:color="0000EE"/>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spacing w:after="0"/>
              <w:rPr>
                <w:sz w:val="14"/>
                <w:szCs w:val="14"/>
                <w:color w:val="auto"/>
              </w:rPr>
            </w:pPr>
          </w:p>
        </w:tc>
        <w:tc>
          <w:tcPr>
            <w:tcW w:w="63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right w:val="single" w:sz="8" w:color="CCEEFF"/>
            </w:tcBorders>
            <w:shd w:val="clear" w:color="auto" w:fill="CCEEFF"/>
          </w:tcPr>
          <w:p>
            <w:pPr>
              <w:spacing w:after="0"/>
              <w:rPr>
                <w:sz w:val="14"/>
                <w:szCs w:val="14"/>
                <w:color w:val="auto"/>
              </w:rPr>
            </w:pPr>
          </w:p>
        </w:tc>
        <w:tc>
          <w:tcPr>
            <w:tcW w:w="140" w:type="dxa"/>
            <w:vAlign w:val="bottom"/>
            <w:tcBorders>
              <w:top w:val="single" w:sz="8" w:color="0000EE"/>
              <w:left w:val="single" w:sz="8" w:color="CCEEFF"/>
              <w:bottom w:val="single" w:sz="8" w:color="0000EE"/>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0000EE"/>
                <w:w w:val="70"/>
              </w:rPr>
              <w:t>S-11</w:t>
            </w:r>
          </w:p>
        </w:tc>
        <w:tc>
          <w:tcPr>
            <w:tcW w:w="0" w:type="dxa"/>
            <w:vAlign w:val="bottom"/>
          </w:tcPr>
          <w:p>
            <w:pPr>
              <w:spacing w:after="0"/>
              <w:rPr>
                <w:sz w:val="1"/>
                <w:szCs w:val="1"/>
                <w:color w:val="auto"/>
              </w:rPr>
            </w:pPr>
          </w:p>
        </w:tc>
      </w:tr>
      <w:tr>
        <w:trPr>
          <w:trHeight w:val="323"/>
        </w:trPr>
        <w:tc>
          <w:tcPr>
            <w:tcW w:w="4620" w:type="dxa"/>
            <w:vAlign w:val="bottom"/>
            <w:gridSpan w:val="15"/>
          </w:tcPr>
          <w:p>
            <w:pPr>
              <w:spacing w:after="0"/>
              <w:rPr>
                <w:sz w:val="20"/>
                <w:szCs w:val="20"/>
                <w:color w:val="auto"/>
              </w:rPr>
            </w:pPr>
            <w:r>
              <w:rPr>
                <w:rFonts w:ascii="Times New Roman" w:cs="Times New Roman" w:eastAsia="Times New Roman" w:hAnsi="Times New Roman"/>
                <w:sz w:val="13"/>
                <w:szCs w:val="13"/>
                <w:color w:val="auto"/>
              </w:rPr>
              <w:t>PROSPECTUS</w:t>
            </w:r>
          </w:p>
        </w:tc>
        <w:tc>
          <w:tcPr>
            <w:tcW w:w="6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vMerge w:val="continue"/>
          </w:tcPr>
          <w:p>
            <w:pPr>
              <w:spacing w:after="0"/>
              <w:rPr>
                <w:sz w:val="11"/>
                <w:szCs w:val="11"/>
                <w:color w:val="auto"/>
              </w:rPr>
            </w:pPr>
          </w:p>
        </w:tc>
        <w:tc>
          <w:tcPr>
            <w:tcW w:w="4600" w:type="dxa"/>
            <w:vAlign w:val="bottom"/>
            <w:gridSpan w:val="14"/>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0000EE"/>
              </w:rPr>
              <w:t>ABOUT THIS PROSPECTUS</w:t>
            </w:r>
          </w:p>
        </w:tc>
        <w:tc>
          <w:tcPr>
            <w:tcW w:w="6520" w:type="dxa"/>
            <w:vAlign w:val="bottom"/>
            <w:tcBorders>
              <w:right w:val="single" w:sz="8" w:color="CCEEFF"/>
            </w:tcBorders>
            <w:gridSpan w:val="2"/>
            <w:shd w:val="clear" w:color="auto" w:fill="CCEEFF"/>
          </w:tcPr>
          <w:p>
            <w:pPr>
              <w:jc w:val="center"/>
              <w:ind w:left="6393"/>
              <w:spacing w:after="0" w:line="131" w:lineRule="exact"/>
              <w:rPr>
                <w:sz w:val="20"/>
                <w:szCs w:val="20"/>
                <w:color w:val="auto"/>
              </w:rPr>
            </w:pPr>
            <w:r>
              <w:rPr>
                <w:rFonts w:ascii="Times New Roman" w:cs="Times New Roman" w:eastAsia="Times New Roman" w:hAnsi="Times New Roman"/>
                <w:sz w:val="13"/>
                <w:szCs w:val="13"/>
                <w:color w:val="0000EE"/>
                <w:w w:val="91"/>
              </w:rPr>
              <w:t>1</w:t>
            </w:r>
          </w:p>
        </w:tc>
        <w:tc>
          <w:tcPr>
            <w:tcW w:w="140" w:type="dxa"/>
            <w:vAlign w:val="bottom"/>
            <w:tcBorders>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20" w:type="dxa"/>
            <w:vAlign w:val="bottom"/>
            <w:tcBorders>
              <w:righ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40" w:type="dxa"/>
            <w:vAlign w:val="bottom"/>
            <w:tcBorders>
              <w:left w:val="single" w:sz="8" w:color="0000EE"/>
              <w:right w:val="single" w:sz="8" w:color="0000EE"/>
            </w:tcBorders>
            <w:shd w:val="clear" w:color="auto" w:fill="0000EE"/>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320" w:type="dxa"/>
            <w:vAlign w:val="bottom"/>
            <w:shd w:val="clear" w:color="auto" w:fill="CCEEFF"/>
          </w:tcPr>
          <w:p>
            <w:pPr>
              <w:spacing w:after="0"/>
              <w:rPr>
                <w:sz w:val="2"/>
                <w:szCs w:val="2"/>
                <w:color w:val="auto"/>
              </w:rPr>
            </w:pPr>
          </w:p>
        </w:tc>
        <w:tc>
          <w:tcPr>
            <w:tcW w:w="200" w:type="dxa"/>
            <w:vAlign w:val="bottom"/>
            <w:tcBorders>
              <w:right w:val="single" w:sz="8" w:color="0000EE"/>
            </w:tcBorders>
            <w:shd w:val="clear" w:color="auto" w:fill="CCEEFF"/>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4600" w:type="dxa"/>
            <w:vAlign w:val="bottom"/>
            <w:gridSpan w:val="14"/>
          </w:tcPr>
          <w:p>
            <w:pPr>
              <w:spacing w:after="0" w:line="131" w:lineRule="exact"/>
              <w:rPr>
                <w:sz w:val="20"/>
                <w:szCs w:val="20"/>
                <w:color w:val="auto"/>
              </w:rPr>
            </w:pPr>
            <w:r>
              <w:rPr>
                <w:rFonts w:ascii="Times New Roman" w:cs="Times New Roman" w:eastAsia="Times New Roman" w:hAnsi="Times New Roman"/>
                <w:sz w:val="13"/>
                <w:szCs w:val="13"/>
                <w:color w:val="0000EE"/>
              </w:rPr>
              <w:t>CAUTIONARY NOTE REGARDING FORWARD-LOOKING STATEMENTS</w:t>
            </w:r>
          </w:p>
        </w:tc>
        <w:tc>
          <w:tcPr>
            <w:tcW w:w="6520" w:type="dxa"/>
            <w:vAlign w:val="bottom"/>
            <w:gridSpan w:val="2"/>
          </w:tcPr>
          <w:p>
            <w:pPr>
              <w:jc w:val="center"/>
              <w:ind w:left="6393"/>
              <w:spacing w:after="0" w:line="131" w:lineRule="exact"/>
              <w:rPr>
                <w:sz w:val="20"/>
                <w:szCs w:val="20"/>
                <w:color w:val="auto"/>
              </w:rPr>
            </w:pPr>
            <w:r>
              <w:rPr>
                <w:rFonts w:ascii="Times New Roman" w:cs="Times New Roman" w:eastAsia="Times New Roman" w:hAnsi="Times New Roman"/>
                <w:sz w:val="13"/>
                <w:szCs w:val="13"/>
                <w:color w:val="0000EE"/>
                <w:w w:val="91"/>
              </w:rPr>
              <w:t>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gridSpan w:val="11"/>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0000EE"/>
              </w:rPr>
              <w:t>WHERE YOU CAN FIND MORE INFORMATION</w:t>
            </w:r>
          </w:p>
        </w:tc>
        <w:tc>
          <w:tcPr>
            <w:tcW w:w="1460" w:type="dxa"/>
            <w:vAlign w:val="bottom"/>
            <w:gridSpan w:val="2"/>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520" w:type="dxa"/>
            <w:vAlign w:val="bottom"/>
            <w:tcBorders>
              <w:right w:val="single" w:sz="8" w:color="CCEEFF"/>
            </w:tcBorders>
            <w:gridSpan w:val="2"/>
            <w:shd w:val="clear" w:color="auto" w:fill="CCEEFF"/>
          </w:tcPr>
          <w:p>
            <w:pPr>
              <w:jc w:val="center"/>
              <w:ind w:left="6393"/>
              <w:spacing w:after="0" w:line="142" w:lineRule="exact"/>
              <w:rPr>
                <w:sz w:val="20"/>
                <w:szCs w:val="20"/>
                <w:color w:val="auto"/>
              </w:rPr>
            </w:pPr>
            <w:r>
              <w:rPr>
                <w:rFonts w:ascii="Times New Roman" w:cs="Times New Roman" w:eastAsia="Times New Roman" w:hAnsi="Times New Roman"/>
                <w:sz w:val="13"/>
                <w:szCs w:val="13"/>
                <w:color w:val="0000EE"/>
                <w:w w:val="91"/>
              </w:rPr>
              <w:t>3</w:t>
            </w:r>
          </w:p>
        </w:tc>
        <w:tc>
          <w:tcPr>
            <w:tcW w:w="14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20" w:type="dxa"/>
            <w:vAlign w:val="bottom"/>
            <w:tcBorders>
              <w:righ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40" w:type="dxa"/>
            <w:vAlign w:val="bottom"/>
            <w:tcBorders>
              <w:left w:val="single" w:sz="8" w:color="0000EE"/>
              <w:right w:val="single" w:sz="8" w:color="0000EE"/>
            </w:tcBorders>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320" w:type="dxa"/>
            <w:vAlign w:val="bottom"/>
            <w:shd w:val="clear" w:color="auto" w:fill="CCEEFF"/>
          </w:tcPr>
          <w:p>
            <w:pPr>
              <w:spacing w:after="0"/>
              <w:rPr>
                <w:sz w:val="2"/>
                <w:szCs w:val="2"/>
                <w:color w:val="auto"/>
              </w:rPr>
            </w:pPr>
          </w:p>
        </w:tc>
        <w:tc>
          <w:tcPr>
            <w:tcW w:w="200" w:type="dxa"/>
            <w:vAlign w:val="bottom"/>
            <w:tcBorders>
              <w:right w:val="single" w:sz="8" w:color="0000EE"/>
            </w:tcBorders>
            <w:shd w:val="clear" w:color="auto" w:fill="CCEEFF"/>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3860" w:type="dxa"/>
            <w:vAlign w:val="bottom"/>
            <w:gridSpan w:val="12"/>
          </w:tcPr>
          <w:p>
            <w:pPr>
              <w:spacing w:after="0" w:line="131" w:lineRule="exact"/>
              <w:rPr>
                <w:sz w:val="20"/>
                <w:szCs w:val="20"/>
                <w:color w:val="auto"/>
              </w:rPr>
            </w:pPr>
            <w:r>
              <w:rPr>
                <w:rFonts w:ascii="Times New Roman" w:cs="Times New Roman" w:eastAsia="Times New Roman" w:hAnsi="Times New Roman"/>
                <w:sz w:val="13"/>
                <w:szCs w:val="13"/>
                <w:color w:val="0000EE"/>
              </w:rPr>
              <w:t>INCORPORATION OF CERTAIN INFORMATION BY REFERENCE</w:t>
            </w:r>
          </w:p>
        </w:tc>
        <w:tc>
          <w:tcPr>
            <w:tcW w:w="740" w:type="dxa"/>
            <w:vAlign w:val="bottom"/>
            <w:gridSpan w:val="2"/>
          </w:tcPr>
          <w:p>
            <w:pPr>
              <w:spacing w:after="0"/>
              <w:rPr>
                <w:sz w:val="11"/>
                <w:szCs w:val="11"/>
                <w:color w:val="auto"/>
              </w:rPr>
            </w:pPr>
          </w:p>
        </w:tc>
        <w:tc>
          <w:tcPr>
            <w:tcW w:w="6520" w:type="dxa"/>
            <w:vAlign w:val="bottom"/>
            <w:gridSpan w:val="2"/>
          </w:tcPr>
          <w:p>
            <w:pPr>
              <w:jc w:val="center"/>
              <w:ind w:left="6393"/>
              <w:spacing w:after="0" w:line="131" w:lineRule="exact"/>
              <w:rPr>
                <w:sz w:val="20"/>
                <w:szCs w:val="20"/>
                <w:color w:val="auto"/>
              </w:rPr>
            </w:pPr>
            <w:r>
              <w:rPr>
                <w:rFonts w:ascii="Times New Roman" w:cs="Times New Roman" w:eastAsia="Times New Roman" w:hAnsi="Times New Roman"/>
                <w:sz w:val="13"/>
                <w:szCs w:val="13"/>
                <w:color w:val="0000EE"/>
                <w:w w:val="91"/>
              </w:rPr>
              <w:t>4</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92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0000EE"/>
                <w:w w:val="94"/>
              </w:rPr>
              <w:t>THE COMPANY</w:t>
            </w:r>
          </w:p>
        </w:tc>
        <w:tc>
          <w:tcPr>
            <w:tcW w:w="2940" w:type="dxa"/>
            <w:vAlign w:val="bottom"/>
            <w:tcBorders>
              <w:left w:val="single" w:sz="8" w:color="CCEEFF"/>
            </w:tcBorders>
            <w:gridSpan w:val="10"/>
            <w:shd w:val="clear" w:color="auto" w:fill="CCEEFF"/>
          </w:tcPr>
          <w:p>
            <w:pPr>
              <w:spacing w:after="0"/>
              <w:rPr>
                <w:sz w:val="12"/>
                <w:szCs w:val="12"/>
                <w:color w:val="auto"/>
              </w:rPr>
            </w:pPr>
          </w:p>
        </w:tc>
        <w:tc>
          <w:tcPr>
            <w:tcW w:w="740" w:type="dxa"/>
            <w:vAlign w:val="bottom"/>
            <w:gridSpan w:val="2"/>
            <w:shd w:val="clear" w:color="auto" w:fill="CCEEFF"/>
          </w:tcPr>
          <w:p>
            <w:pPr>
              <w:spacing w:after="0"/>
              <w:rPr>
                <w:sz w:val="12"/>
                <w:szCs w:val="12"/>
                <w:color w:val="auto"/>
              </w:rPr>
            </w:pPr>
          </w:p>
        </w:tc>
        <w:tc>
          <w:tcPr>
            <w:tcW w:w="6520" w:type="dxa"/>
            <w:vAlign w:val="bottom"/>
            <w:tcBorders>
              <w:right w:val="single" w:sz="8" w:color="CCEEFF"/>
            </w:tcBorders>
            <w:gridSpan w:val="2"/>
            <w:shd w:val="clear" w:color="auto" w:fill="CCEEFF"/>
          </w:tcPr>
          <w:p>
            <w:pPr>
              <w:jc w:val="center"/>
              <w:ind w:left="6393"/>
              <w:spacing w:after="0" w:line="142" w:lineRule="exact"/>
              <w:rPr>
                <w:sz w:val="20"/>
                <w:szCs w:val="20"/>
                <w:color w:val="auto"/>
              </w:rPr>
            </w:pPr>
            <w:r>
              <w:rPr>
                <w:rFonts w:ascii="Times New Roman" w:cs="Times New Roman" w:eastAsia="Times New Roman" w:hAnsi="Times New Roman"/>
                <w:sz w:val="13"/>
                <w:szCs w:val="13"/>
                <w:color w:val="0000EE"/>
                <w:w w:val="91"/>
              </w:rPr>
              <w:t>5</w:t>
            </w:r>
          </w:p>
        </w:tc>
        <w:tc>
          <w:tcPr>
            <w:tcW w:w="14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20" w:type="dxa"/>
            <w:vAlign w:val="bottom"/>
            <w:tcBorders>
              <w:righ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0" w:type="dxa"/>
            <w:vAlign w:val="bottom"/>
            <w:tcBorders>
              <w:left w:val="single" w:sz="8" w:color="CCEEFF"/>
              <w:right w:val="single" w:sz="8" w:color="CCEEFF"/>
            </w:tcBorders>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320" w:type="dxa"/>
            <w:vAlign w:val="bottom"/>
            <w:shd w:val="clear" w:color="auto" w:fill="CCEEFF"/>
          </w:tcPr>
          <w:p>
            <w:pPr>
              <w:spacing w:after="0"/>
              <w:rPr>
                <w:sz w:val="2"/>
                <w:szCs w:val="2"/>
                <w:color w:val="auto"/>
              </w:rPr>
            </w:pPr>
          </w:p>
        </w:tc>
        <w:tc>
          <w:tcPr>
            <w:tcW w:w="200" w:type="dxa"/>
            <w:vAlign w:val="bottom"/>
            <w:tcBorders>
              <w:right w:val="single" w:sz="8" w:color="0000EE"/>
            </w:tcBorders>
            <w:shd w:val="clear" w:color="auto" w:fill="CCEEFF"/>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920" w:type="dxa"/>
            <w:vAlign w:val="bottom"/>
            <w:gridSpan w:val="2"/>
          </w:tcPr>
          <w:p>
            <w:pPr>
              <w:spacing w:after="0" w:line="131" w:lineRule="exact"/>
              <w:rPr>
                <w:sz w:val="20"/>
                <w:szCs w:val="20"/>
                <w:color w:val="auto"/>
              </w:rPr>
            </w:pPr>
            <w:r>
              <w:rPr>
                <w:rFonts w:ascii="Times New Roman" w:cs="Times New Roman" w:eastAsia="Times New Roman" w:hAnsi="Times New Roman"/>
                <w:sz w:val="13"/>
                <w:szCs w:val="13"/>
                <w:color w:val="0000EE"/>
                <w:w w:val="96"/>
              </w:rPr>
              <w:t>RISK FACTORS</w:t>
            </w:r>
          </w:p>
        </w:tc>
        <w:tc>
          <w:tcPr>
            <w:tcW w:w="3680" w:type="dxa"/>
            <w:vAlign w:val="bottom"/>
            <w:gridSpan w:val="12"/>
          </w:tcPr>
          <w:p>
            <w:pPr>
              <w:spacing w:after="0"/>
              <w:rPr>
                <w:sz w:val="11"/>
                <w:szCs w:val="11"/>
                <w:color w:val="auto"/>
              </w:rPr>
            </w:pPr>
          </w:p>
        </w:tc>
        <w:tc>
          <w:tcPr>
            <w:tcW w:w="6520" w:type="dxa"/>
            <w:vAlign w:val="bottom"/>
            <w:gridSpan w:val="2"/>
          </w:tcPr>
          <w:p>
            <w:pPr>
              <w:jc w:val="center"/>
              <w:ind w:left="6393"/>
              <w:spacing w:after="0" w:line="131" w:lineRule="exact"/>
              <w:rPr>
                <w:sz w:val="20"/>
                <w:szCs w:val="20"/>
                <w:color w:val="auto"/>
              </w:rPr>
            </w:pPr>
            <w:r>
              <w:rPr>
                <w:rFonts w:ascii="Times New Roman" w:cs="Times New Roman" w:eastAsia="Times New Roman" w:hAnsi="Times New Roman"/>
                <w:sz w:val="13"/>
                <w:szCs w:val="13"/>
                <w:color w:val="0000EE"/>
                <w:w w:val="91"/>
              </w:rPr>
              <w:t>6</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gridSpan w:val="14"/>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0000EE"/>
              </w:rPr>
              <w:t>USE OF PROCEEDS</w:t>
            </w:r>
          </w:p>
        </w:tc>
        <w:tc>
          <w:tcPr>
            <w:tcW w:w="6520" w:type="dxa"/>
            <w:vAlign w:val="bottom"/>
            <w:tcBorders>
              <w:right w:val="single" w:sz="8" w:color="CCEEFF"/>
            </w:tcBorders>
            <w:gridSpan w:val="2"/>
            <w:shd w:val="clear" w:color="auto" w:fill="CCEEFF"/>
          </w:tcPr>
          <w:p>
            <w:pPr>
              <w:jc w:val="center"/>
              <w:ind w:left="6393"/>
              <w:spacing w:after="0" w:line="142" w:lineRule="exact"/>
              <w:rPr>
                <w:sz w:val="20"/>
                <w:szCs w:val="20"/>
                <w:color w:val="auto"/>
              </w:rPr>
            </w:pPr>
            <w:r>
              <w:rPr>
                <w:rFonts w:ascii="Times New Roman" w:cs="Times New Roman" w:eastAsia="Times New Roman" w:hAnsi="Times New Roman"/>
                <w:sz w:val="13"/>
                <w:szCs w:val="13"/>
                <w:color w:val="0000EE"/>
                <w:w w:val="91"/>
              </w:rPr>
              <w:t>7</w:t>
            </w:r>
          </w:p>
        </w:tc>
        <w:tc>
          <w:tcPr>
            <w:tcW w:w="14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20" w:type="dxa"/>
            <w:vAlign w:val="bottom"/>
            <w:tcBorders>
              <w:righ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0" w:type="dxa"/>
            <w:vAlign w:val="bottom"/>
            <w:tcBorders>
              <w:left w:val="single" w:sz="8" w:color="CCEEFF"/>
              <w:right w:val="single" w:sz="8" w:color="CCEEFF"/>
            </w:tcBorders>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320" w:type="dxa"/>
            <w:vAlign w:val="bottom"/>
            <w:shd w:val="clear" w:color="auto" w:fill="CCEEFF"/>
          </w:tcPr>
          <w:p>
            <w:pPr>
              <w:spacing w:after="0"/>
              <w:rPr>
                <w:sz w:val="2"/>
                <w:szCs w:val="2"/>
                <w:color w:val="auto"/>
              </w:rPr>
            </w:pPr>
          </w:p>
        </w:tc>
        <w:tc>
          <w:tcPr>
            <w:tcW w:w="200" w:type="dxa"/>
            <w:vAlign w:val="bottom"/>
            <w:tcBorders>
              <w:right w:val="single" w:sz="8" w:color="0000EE"/>
            </w:tcBorders>
            <w:shd w:val="clear" w:color="auto" w:fill="CCEEFF"/>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4600" w:type="dxa"/>
            <w:vAlign w:val="bottom"/>
            <w:gridSpan w:val="14"/>
          </w:tcPr>
          <w:p>
            <w:pPr>
              <w:spacing w:after="0" w:line="131" w:lineRule="exact"/>
              <w:rPr>
                <w:sz w:val="20"/>
                <w:szCs w:val="20"/>
                <w:color w:val="auto"/>
              </w:rPr>
            </w:pPr>
            <w:r>
              <w:rPr>
                <w:rFonts w:ascii="Times New Roman" w:cs="Times New Roman" w:eastAsia="Times New Roman" w:hAnsi="Times New Roman"/>
                <w:sz w:val="13"/>
                <w:szCs w:val="13"/>
                <w:color w:val="0000EE"/>
              </w:rPr>
              <w:t>DESCRIPTION OF OUR CAPITAL STOCK</w:t>
            </w:r>
          </w:p>
        </w:tc>
        <w:tc>
          <w:tcPr>
            <w:tcW w:w="6520" w:type="dxa"/>
            <w:vAlign w:val="bottom"/>
            <w:gridSpan w:val="2"/>
          </w:tcPr>
          <w:p>
            <w:pPr>
              <w:jc w:val="center"/>
              <w:ind w:left="6393"/>
              <w:spacing w:after="0" w:line="131" w:lineRule="exact"/>
              <w:rPr>
                <w:sz w:val="20"/>
                <w:szCs w:val="20"/>
                <w:color w:val="auto"/>
              </w:rPr>
            </w:pPr>
            <w:r>
              <w:rPr>
                <w:rFonts w:ascii="Times New Roman" w:cs="Times New Roman" w:eastAsia="Times New Roman" w:hAnsi="Times New Roman"/>
                <w:sz w:val="13"/>
                <w:szCs w:val="13"/>
                <w:color w:val="0000EE"/>
                <w:w w:val="91"/>
              </w:rPr>
              <w:t>8</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gridSpan w:val="9"/>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0000EE"/>
              </w:rPr>
              <w:t>DESCRIPTION OF DEBT SECURITIES</w:t>
            </w:r>
          </w:p>
        </w:tc>
        <w:tc>
          <w:tcPr>
            <w:tcW w:w="2160" w:type="dxa"/>
            <w:vAlign w:val="bottom"/>
            <w:gridSpan w:val="5"/>
            <w:shd w:val="clear" w:color="auto" w:fill="CCEEFF"/>
          </w:tcPr>
          <w:p>
            <w:pPr>
              <w:spacing w:after="0"/>
              <w:rPr>
                <w:sz w:val="12"/>
                <w:szCs w:val="12"/>
                <w:color w:val="auto"/>
              </w:rPr>
            </w:pPr>
          </w:p>
        </w:tc>
        <w:tc>
          <w:tcPr>
            <w:tcW w:w="6520" w:type="dxa"/>
            <w:vAlign w:val="bottom"/>
            <w:tcBorders>
              <w:right w:val="single" w:sz="8" w:color="CCEEFF"/>
            </w:tcBorders>
            <w:gridSpan w:val="2"/>
            <w:shd w:val="clear" w:color="auto" w:fill="CCEEFF"/>
          </w:tcPr>
          <w:p>
            <w:pPr>
              <w:jc w:val="center"/>
              <w:ind w:left="6313"/>
              <w:spacing w:after="0" w:line="142" w:lineRule="exact"/>
              <w:rPr>
                <w:sz w:val="20"/>
                <w:szCs w:val="20"/>
                <w:color w:val="auto"/>
              </w:rPr>
            </w:pPr>
            <w:r>
              <w:rPr>
                <w:rFonts w:ascii="Times New Roman" w:cs="Times New Roman" w:eastAsia="Times New Roman" w:hAnsi="Times New Roman"/>
                <w:sz w:val="13"/>
                <w:szCs w:val="13"/>
                <w:color w:val="0000EE"/>
              </w:rPr>
              <w:t>11</w:t>
            </w:r>
          </w:p>
        </w:tc>
        <w:tc>
          <w:tcPr>
            <w:tcW w:w="14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20" w:type="dxa"/>
            <w:vAlign w:val="bottom"/>
            <w:tcBorders>
              <w:righ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40" w:type="dxa"/>
            <w:vAlign w:val="bottom"/>
            <w:tcBorders>
              <w:left w:val="single" w:sz="8" w:color="0000EE"/>
              <w:right w:val="single" w:sz="8" w:color="0000EE"/>
            </w:tcBorders>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320" w:type="dxa"/>
            <w:vAlign w:val="bottom"/>
            <w:shd w:val="clear" w:color="auto" w:fill="CCEEFF"/>
          </w:tcPr>
          <w:p>
            <w:pPr>
              <w:spacing w:after="0"/>
              <w:rPr>
                <w:sz w:val="2"/>
                <w:szCs w:val="2"/>
                <w:color w:val="auto"/>
              </w:rPr>
            </w:pPr>
          </w:p>
        </w:tc>
        <w:tc>
          <w:tcPr>
            <w:tcW w:w="200" w:type="dxa"/>
            <w:vAlign w:val="bottom"/>
            <w:tcBorders>
              <w:right w:val="single" w:sz="8" w:color="0000EE"/>
            </w:tcBorders>
            <w:shd w:val="clear" w:color="auto" w:fill="CCEEFF"/>
          </w:tcPr>
          <w:p>
            <w:pPr>
              <w:spacing w:after="0"/>
              <w:rPr>
                <w:sz w:val="2"/>
                <w:szCs w:val="2"/>
                <w:color w:val="auto"/>
              </w:rPr>
            </w:pPr>
          </w:p>
        </w:tc>
        <w:tc>
          <w:tcPr>
            <w:tcW w:w="140" w:type="dxa"/>
            <w:vAlign w:val="bottom"/>
            <w:tcBorders>
              <w:left w:val="single" w:sz="8" w:color="0000EE"/>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840" w:type="dxa"/>
            <w:vAlign w:val="bottom"/>
            <w:gridSpan w:val="7"/>
          </w:tcPr>
          <w:p>
            <w:pPr>
              <w:spacing w:after="0" w:line="131" w:lineRule="exact"/>
              <w:rPr>
                <w:sz w:val="20"/>
                <w:szCs w:val="20"/>
                <w:color w:val="auto"/>
              </w:rPr>
            </w:pPr>
            <w:r>
              <w:rPr>
                <w:rFonts w:ascii="Times New Roman" w:cs="Times New Roman" w:eastAsia="Times New Roman" w:hAnsi="Times New Roman"/>
                <w:sz w:val="13"/>
                <w:szCs w:val="13"/>
                <w:color w:val="0000EE"/>
                <w:w w:val="99"/>
              </w:rPr>
              <w:t>DESCRIPTION OF WARRANTS</w:t>
            </w:r>
          </w:p>
        </w:tc>
        <w:tc>
          <w:tcPr>
            <w:tcW w:w="400" w:type="dxa"/>
            <w:vAlign w:val="bottom"/>
          </w:tcPr>
          <w:p>
            <w:pPr>
              <w:spacing w:after="0"/>
              <w:rPr>
                <w:sz w:val="11"/>
                <w:szCs w:val="11"/>
                <w:color w:val="auto"/>
              </w:rPr>
            </w:pPr>
          </w:p>
        </w:tc>
        <w:tc>
          <w:tcPr>
            <w:tcW w:w="2360" w:type="dxa"/>
            <w:vAlign w:val="bottom"/>
            <w:gridSpan w:val="6"/>
          </w:tcPr>
          <w:p>
            <w:pPr>
              <w:spacing w:after="0"/>
              <w:rPr>
                <w:sz w:val="11"/>
                <w:szCs w:val="11"/>
                <w:color w:val="auto"/>
              </w:rPr>
            </w:pPr>
          </w:p>
        </w:tc>
        <w:tc>
          <w:tcPr>
            <w:tcW w:w="6660" w:type="dxa"/>
            <w:vAlign w:val="bottom"/>
            <w:gridSpan w:val="3"/>
          </w:tcPr>
          <w:p>
            <w:pPr>
              <w:jc w:val="center"/>
              <w:ind w:left="6253"/>
              <w:spacing w:after="0" w:line="131" w:lineRule="exact"/>
              <w:rPr>
                <w:sz w:val="20"/>
                <w:szCs w:val="20"/>
                <w:color w:val="auto"/>
              </w:rPr>
            </w:pPr>
            <w:r>
              <w:rPr>
                <w:rFonts w:ascii="Times New Roman" w:cs="Times New Roman" w:eastAsia="Times New Roman" w:hAnsi="Times New Roman"/>
                <w:sz w:val="13"/>
                <w:szCs w:val="13"/>
                <w:color w:val="0000EE"/>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840" w:type="dxa"/>
            <w:vAlign w:val="bottom"/>
            <w:tcBorders>
              <w:right w:val="single" w:sz="8" w:color="CCEEFF"/>
            </w:tcBorders>
            <w:gridSpan w:val="7"/>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0000EE"/>
              </w:rPr>
              <w:t>DESCRIPTION OF RIGHTS</w:t>
            </w:r>
          </w:p>
        </w:tc>
        <w:tc>
          <w:tcPr>
            <w:tcW w:w="2760" w:type="dxa"/>
            <w:vAlign w:val="bottom"/>
            <w:gridSpan w:val="7"/>
            <w:shd w:val="clear" w:color="auto" w:fill="CCEEFF"/>
          </w:tcPr>
          <w:p>
            <w:pPr>
              <w:spacing w:after="0"/>
              <w:rPr>
                <w:sz w:val="12"/>
                <w:szCs w:val="12"/>
                <w:color w:val="auto"/>
              </w:rPr>
            </w:pPr>
          </w:p>
        </w:tc>
        <w:tc>
          <w:tcPr>
            <w:tcW w:w="6660" w:type="dxa"/>
            <w:vAlign w:val="bottom"/>
            <w:gridSpan w:val="3"/>
            <w:shd w:val="clear" w:color="auto" w:fill="CCEEFF"/>
          </w:tcPr>
          <w:p>
            <w:pPr>
              <w:jc w:val="center"/>
              <w:ind w:left="6253"/>
              <w:spacing w:after="0" w:line="142" w:lineRule="exact"/>
              <w:rPr>
                <w:sz w:val="20"/>
                <w:szCs w:val="20"/>
                <w:color w:val="auto"/>
              </w:rPr>
            </w:pPr>
            <w:r>
              <w:rPr>
                <w:rFonts w:ascii="Times New Roman" w:cs="Times New Roman" w:eastAsia="Times New Roman" w:hAnsi="Times New Roman"/>
                <w:sz w:val="13"/>
                <w:szCs w:val="13"/>
                <w:color w:val="0000EE"/>
              </w:rPr>
              <w:t>20</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20" w:type="dxa"/>
            <w:vAlign w:val="bottom"/>
            <w:tcBorders>
              <w:righ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40" w:type="dxa"/>
            <w:vAlign w:val="bottom"/>
            <w:tcBorders>
              <w:left w:val="single" w:sz="8" w:color="0000EE"/>
              <w:right w:val="single" w:sz="8" w:color="CCEEFF"/>
            </w:tcBorders>
            <w:shd w:val="clear" w:color="auto" w:fill="0000EE"/>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320" w:type="dxa"/>
            <w:vAlign w:val="bottom"/>
            <w:shd w:val="clear" w:color="auto" w:fill="CCEEFF"/>
          </w:tcPr>
          <w:p>
            <w:pPr>
              <w:spacing w:after="0"/>
              <w:rPr>
                <w:sz w:val="2"/>
                <w:szCs w:val="2"/>
                <w:color w:val="auto"/>
              </w:rPr>
            </w:pPr>
          </w:p>
        </w:tc>
        <w:tc>
          <w:tcPr>
            <w:tcW w:w="200" w:type="dxa"/>
            <w:vAlign w:val="bottom"/>
            <w:tcBorders>
              <w:right w:val="single" w:sz="8" w:color="0000EE"/>
            </w:tcBorders>
            <w:shd w:val="clear" w:color="auto" w:fill="CCEEFF"/>
          </w:tcPr>
          <w:p>
            <w:pPr>
              <w:spacing w:after="0"/>
              <w:rPr>
                <w:sz w:val="2"/>
                <w:szCs w:val="2"/>
                <w:color w:val="auto"/>
              </w:rPr>
            </w:pPr>
          </w:p>
        </w:tc>
        <w:tc>
          <w:tcPr>
            <w:tcW w:w="140" w:type="dxa"/>
            <w:vAlign w:val="bottom"/>
            <w:tcBorders>
              <w:left w:val="single" w:sz="8" w:color="0000EE"/>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500" w:type="dxa"/>
            <w:vAlign w:val="bottom"/>
            <w:gridSpan w:val="5"/>
          </w:tcPr>
          <w:p>
            <w:pPr>
              <w:spacing w:after="0" w:line="131" w:lineRule="exact"/>
              <w:rPr>
                <w:sz w:val="20"/>
                <w:szCs w:val="20"/>
                <w:color w:val="auto"/>
              </w:rPr>
            </w:pPr>
            <w:r>
              <w:rPr>
                <w:rFonts w:ascii="Times New Roman" w:cs="Times New Roman" w:eastAsia="Times New Roman" w:hAnsi="Times New Roman"/>
                <w:sz w:val="13"/>
                <w:szCs w:val="13"/>
                <w:color w:val="0000EE"/>
              </w:rPr>
              <w:t>DESCRIPTION OF UNITS</w:t>
            </w:r>
          </w:p>
        </w:tc>
        <w:tc>
          <w:tcPr>
            <w:tcW w:w="140" w:type="dxa"/>
            <w:vAlign w:val="bottom"/>
          </w:tcPr>
          <w:p>
            <w:pPr>
              <w:spacing w:after="0"/>
              <w:rPr>
                <w:sz w:val="11"/>
                <w:szCs w:val="11"/>
                <w:color w:val="auto"/>
              </w:rPr>
            </w:pPr>
          </w:p>
        </w:tc>
        <w:tc>
          <w:tcPr>
            <w:tcW w:w="2960" w:type="dxa"/>
            <w:vAlign w:val="bottom"/>
            <w:gridSpan w:val="8"/>
          </w:tcPr>
          <w:p>
            <w:pPr>
              <w:spacing w:after="0"/>
              <w:rPr>
                <w:sz w:val="11"/>
                <w:szCs w:val="11"/>
                <w:color w:val="auto"/>
              </w:rPr>
            </w:pPr>
          </w:p>
        </w:tc>
        <w:tc>
          <w:tcPr>
            <w:tcW w:w="6660" w:type="dxa"/>
            <w:vAlign w:val="bottom"/>
            <w:gridSpan w:val="3"/>
          </w:tcPr>
          <w:p>
            <w:pPr>
              <w:jc w:val="center"/>
              <w:ind w:left="6253"/>
              <w:spacing w:after="0" w:line="131" w:lineRule="exact"/>
              <w:rPr>
                <w:sz w:val="20"/>
                <w:szCs w:val="20"/>
                <w:color w:val="auto"/>
              </w:rPr>
            </w:pPr>
            <w:r>
              <w:rPr>
                <w:rFonts w:ascii="Times New Roman" w:cs="Times New Roman" w:eastAsia="Times New Roman" w:hAnsi="Times New Roman"/>
                <w:sz w:val="13"/>
                <w:szCs w:val="13"/>
                <w:color w:val="0000EE"/>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500" w:type="dxa"/>
            <w:vAlign w:val="bottom"/>
            <w:gridSpan w:val="5"/>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0000EE"/>
                <w:w w:val="98"/>
              </w:rPr>
              <w:t>PLAN OF DISTRIBUTION</w:t>
            </w:r>
          </w:p>
        </w:tc>
        <w:tc>
          <w:tcPr>
            <w:tcW w:w="3100" w:type="dxa"/>
            <w:vAlign w:val="bottom"/>
            <w:tcBorders>
              <w:left w:val="single" w:sz="8" w:color="CCEEFF"/>
            </w:tcBorders>
            <w:gridSpan w:val="9"/>
            <w:shd w:val="clear" w:color="auto" w:fill="CCEEFF"/>
          </w:tcPr>
          <w:p>
            <w:pPr>
              <w:spacing w:after="0"/>
              <w:rPr>
                <w:sz w:val="12"/>
                <w:szCs w:val="12"/>
                <w:color w:val="auto"/>
              </w:rPr>
            </w:pPr>
          </w:p>
        </w:tc>
        <w:tc>
          <w:tcPr>
            <w:tcW w:w="6660" w:type="dxa"/>
            <w:vAlign w:val="bottom"/>
            <w:gridSpan w:val="3"/>
            <w:shd w:val="clear" w:color="auto" w:fill="CCEEFF"/>
          </w:tcPr>
          <w:p>
            <w:pPr>
              <w:jc w:val="center"/>
              <w:ind w:left="6253"/>
              <w:spacing w:after="0" w:line="142" w:lineRule="exact"/>
              <w:rPr>
                <w:sz w:val="20"/>
                <w:szCs w:val="20"/>
                <w:color w:val="auto"/>
              </w:rPr>
            </w:pPr>
            <w:r>
              <w:rPr>
                <w:rFonts w:ascii="Times New Roman" w:cs="Times New Roman" w:eastAsia="Times New Roman" w:hAnsi="Times New Roman"/>
                <w:sz w:val="13"/>
                <w:szCs w:val="13"/>
                <w:color w:val="0000EE"/>
              </w:rPr>
              <w:t>23</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20" w:type="dxa"/>
            <w:vAlign w:val="bottom"/>
            <w:tcBorders>
              <w:righ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40" w:type="dxa"/>
            <w:vAlign w:val="bottom"/>
            <w:tcBorders>
              <w:left w:val="single" w:sz="8" w:color="0000EE"/>
              <w:right w:val="single" w:sz="8" w:color="CCEEFF"/>
            </w:tcBorders>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320" w:type="dxa"/>
            <w:vAlign w:val="bottom"/>
            <w:shd w:val="clear" w:color="auto" w:fill="CCEEFF"/>
          </w:tcPr>
          <w:p>
            <w:pPr>
              <w:spacing w:after="0"/>
              <w:rPr>
                <w:sz w:val="2"/>
                <w:szCs w:val="2"/>
                <w:color w:val="auto"/>
              </w:rPr>
            </w:pPr>
          </w:p>
        </w:tc>
        <w:tc>
          <w:tcPr>
            <w:tcW w:w="200" w:type="dxa"/>
            <w:vAlign w:val="bottom"/>
            <w:tcBorders>
              <w:right w:val="single" w:sz="8" w:color="0000EE"/>
            </w:tcBorders>
            <w:shd w:val="clear" w:color="auto" w:fill="CCEEFF"/>
          </w:tcPr>
          <w:p>
            <w:pPr>
              <w:spacing w:after="0"/>
              <w:rPr>
                <w:sz w:val="2"/>
                <w:szCs w:val="2"/>
                <w:color w:val="auto"/>
              </w:rPr>
            </w:pPr>
          </w:p>
        </w:tc>
        <w:tc>
          <w:tcPr>
            <w:tcW w:w="140" w:type="dxa"/>
            <w:vAlign w:val="bottom"/>
            <w:tcBorders>
              <w:left w:val="single" w:sz="8" w:color="0000EE"/>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500" w:type="dxa"/>
            <w:vAlign w:val="bottom"/>
            <w:gridSpan w:val="5"/>
          </w:tcPr>
          <w:p>
            <w:pPr>
              <w:spacing w:after="0" w:line="131" w:lineRule="exact"/>
              <w:rPr>
                <w:sz w:val="20"/>
                <w:szCs w:val="20"/>
                <w:color w:val="auto"/>
              </w:rPr>
            </w:pPr>
            <w:r>
              <w:rPr>
                <w:rFonts w:ascii="Times New Roman" w:cs="Times New Roman" w:eastAsia="Times New Roman" w:hAnsi="Times New Roman"/>
                <w:sz w:val="13"/>
                <w:szCs w:val="13"/>
                <w:color w:val="0000EE"/>
              </w:rPr>
              <w:t>LEGAL MATTERS</w:t>
            </w:r>
          </w:p>
        </w:tc>
        <w:tc>
          <w:tcPr>
            <w:tcW w:w="3100" w:type="dxa"/>
            <w:vAlign w:val="bottom"/>
            <w:gridSpan w:val="9"/>
          </w:tcPr>
          <w:p>
            <w:pPr>
              <w:spacing w:after="0"/>
              <w:rPr>
                <w:sz w:val="11"/>
                <w:szCs w:val="11"/>
                <w:color w:val="auto"/>
              </w:rPr>
            </w:pPr>
          </w:p>
        </w:tc>
        <w:tc>
          <w:tcPr>
            <w:tcW w:w="6660" w:type="dxa"/>
            <w:vAlign w:val="bottom"/>
            <w:gridSpan w:val="3"/>
          </w:tcPr>
          <w:p>
            <w:pPr>
              <w:jc w:val="center"/>
              <w:ind w:left="6253"/>
              <w:spacing w:after="0" w:line="131" w:lineRule="exact"/>
              <w:rPr>
                <w:sz w:val="20"/>
                <w:szCs w:val="20"/>
                <w:color w:val="auto"/>
              </w:rPr>
            </w:pPr>
            <w:r>
              <w:rPr>
                <w:rFonts w:ascii="Times New Roman" w:cs="Times New Roman" w:eastAsia="Times New Roman" w:hAnsi="Times New Roman"/>
                <w:sz w:val="13"/>
                <w:szCs w:val="13"/>
                <w:color w:val="0000EE"/>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1060" w:type="dxa"/>
            <w:vAlign w:val="bottom"/>
            <w:gridSpan w:val="3"/>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0000EE"/>
              </w:rPr>
              <w:t>EXPERTS</w:t>
            </w:r>
          </w:p>
        </w:tc>
        <w:tc>
          <w:tcPr>
            <w:tcW w:w="3540" w:type="dxa"/>
            <w:vAlign w:val="bottom"/>
            <w:gridSpan w:val="11"/>
            <w:shd w:val="clear" w:color="auto" w:fill="CCEEFF"/>
          </w:tcPr>
          <w:p>
            <w:pPr>
              <w:spacing w:after="0"/>
              <w:rPr>
                <w:sz w:val="13"/>
                <w:szCs w:val="13"/>
                <w:color w:val="auto"/>
              </w:rPr>
            </w:pPr>
          </w:p>
        </w:tc>
        <w:tc>
          <w:tcPr>
            <w:tcW w:w="6660" w:type="dxa"/>
            <w:vAlign w:val="bottom"/>
            <w:gridSpan w:val="3"/>
            <w:shd w:val="clear" w:color="auto" w:fill="CCEEFF"/>
          </w:tcPr>
          <w:p>
            <w:pPr>
              <w:jc w:val="center"/>
              <w:ind w:left="6253"/>
              <w:spacing w:after="0" w:line="142" w:lineRule="exact"/>
              <w:rPr>
                <w:sz w:val="20"/>
                <w:szCs w:val="20"/>
                <w:color w:val="auto"/>
              </w:rPr>
            </w:pPr>
            <w:r>
              <w:rPr>
                <w:rFonts w:ascii="Times New Roman" w:cs="Times New Roman" w:eastAsia="Times New Roman" w:hAnsi="Times New Roman"/>
                <w:sz w:val="13"/>
                <w:szCs w:val="13"/>
                <w:color w:val="0000EE"/>
              </w:rPr>
              <w:t>26</w:t>
            </w:r>
          </w:p>
        </w:tc>
        <w:tc>
          <w:tcPr>
            <w:tcW w:w="0" w:type="dxa"/>
            <w:vAlign w:val="bottom"/>
          </w:tcPr>
          <w:p>
            <w:pPr>
              <w:spacing w:after="0"/>
              <w:rPr>
                <w:sz w:val="1"/>
                <w:szCs w:val="1"/>
                <w:color w:val="auto"/>
              </w:rPr>
            </w:pPr>
          </w:p>
        </w:tc>
      </w:tr>
      <w:tr>
        <w:trPr>
          <w:trHeight w:val="505"/>
        </w:trPr>
        <w:tc>
          <w:tcPr>
            <w:tcW w:w="20" w:type="dxa"/>
            <w:vAlign w:val="bottom"/>
          </w:tcPr>
          <w:p>
            <w:pPr>
              <w:spacing w:after="0"/>
              <w:rPr>
                <w:sz w:val="24"/>
                <w:szCs w:val="24"/>
                <w:color w:val="auto"/>
              </w:rPr>
            </w:pPr>
          </w:p>
        </w:tc>
        <w:tc>
          <w:tcPr>
            <w:tcW w:w="62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102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63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709" w:right="31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3"/>
          <w:szCs w:val="13"/>
          <w:b w:val="1"/>
          <w:bCs w:val="1"/>
          <w:color w:val="auto"/>
        </w:rPr>
        <w:t>ABOUT THIS PROSPECTUS SUPPLEMENT</w:t>
      </w:r>
    </w:p>
    <w:p>
      <w:pPr>
        <w:spacing w:after="0" w:line="17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3"/>
          <w:szCs w:val="13"/>
          <w:color w:val="auto"/>
        </w:rPr>
        <w:t>This document is in two parts. The first part is the prospectus supplement, which describes the specific terms of the securities being offered by us, and also adds to and updates information contained in the accompanying prospectus and the documents incorporated by reference into this prospectus supplement and the accompanying prospectus. The second part, the accompanying prospectus, including the documents incorporated by reference, provides more general information, some of which does not apply to this offering. Generally, when we refer to this prospectus, we are referring to both parts of this document combined. To the extent there is a conflict between the information contained in this prospectus supplement, on the one hand, and the information contained in the accompanying prospectus or in any document incorporated by reference that was filed with the Securities and Exchange Commission (“</w:t>
      </w:r>
      <w:r>
        <w:rPr>
          <w:rFonts w:ascii="Times New Roman" w:cs="Times New Roman" w:eastAsia="Times New Roman" w:hAnsi="Times New Roman"/>
          <w:sz w:val="13"/>
          <w:szCs w:val="13"/>
          <w:i w:val="1"/>
          <w:iCs w:val="1"/>
          <w:color w:val="auto"/>
        </w:rPr>
        <w:t>SEC</w:t>
      </w:r>
      <w:r>
        <w:rPr>
          <w:rFonts w:ascii="Times New Roman" w:cs="Times New Roman" w:eastAsia="Times New Roman" w:hAnsi="Times New Roman"/>
          <w:sz w:val="13"/>
          <w:szCs w:val="13"/>
          <w:color w:val="auto"/>
        </w:rPr>
        <w:t>”) before the date of this prospectus supplement, on the other hand, you should rely on the information in this prospectus supplement. If any statement in one of these documents is inconsistent with a statement in another document having a later date — for example, a document incorporated by reference in the accompanying prospectus — the statement in the document having the later date modifies or supersedes the earlier statement. Any statement so modified will be deemed to constitute a part of this prospectus only as so modified, and any statement so superseded will be deemed not to constitute a part of this prospectus.</w:t>
      </w:r>
    </w:p>
    <w:p>
      <w:pPr>
        <w:spacing w:after="0" w:line="133"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3"/>
          <w:szCs w:val="13"/>
          <w:color w:val="auto"/>
        </w:rPr>
        <w:t>This prospectus supplement and the accompanying prospectus are part of a registration statement on Form S-3ASR that we filed with the SEC and became effective on June 8, 2026 (the “</w:t>
      </w:r>
      <w:r>
        <w:rPr>
          <w:rFonts w:ascii="Times New Roman" w:cs="Times New Roman" w:eastAsia="Times New Roman" w:hAnsi="Times New Roman"/>
          <w:sz w:val="13"/>
          <w:szCs w:val="13"/>
          <w:i w:val="1"/>
          <w:iCs w:val="1"/>
          <w:color w:val="auto"/>
        </w:rPr>
        <w:t>Registration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Statement</w:t>
      </w:r>
      <w:r>
        <w:rPr>
          <w:rFonts w:ascii="Times New Roman" w:cs="Times New Roman" w:eastAsia="Times New Roman" w:hAnsi="Times New Roman"/>
          <w:sz w:val="13"/>
          <w:szCs w:val="13"/>
          <w:color w:val="auto"/>
        </w:rPr>
        <w:t>”). Under the shelf process, we may, from time to time, offer or sell any combination of the securities described in the accompanying prospectus in one or more offerings.</w:t>
      </w:r>
    </w:p>
    <w:p>
      <w:pPr>
        <w:spacing w:after="0" w:line="11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3"/>
          <w:szCs w:val="13"/>
          <w:color w:val="auto"/>
        </w:rPr>
        <w:t>The accompanying prospectus provides you with a general description of the securities offered by us. Each time we use the accompanying prospectus to offer securities, we will provide a prospectus supplement that will contain specific information about the terms of such offering. The prospectus supplement may also add to, update or change information contained in the accompanying prospectus. The purpose of this prospectus supplement is to provide supplemental information regarding us in connection with the offering, issuance and sale by us of up to a maximum aggregate offering price of $500.0 million of our Class A Common Stock that may be issued and sold under the Sales Agreement.</w:t>
      </w:r>
    </w:p>
    <w:p>
      <w:pPr>
        <w:spacing w:after="0" w:line="13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3"/>
          <w:szCs w:val="13"/>
          <w:color w:val="auto"/>
        </w:rPr>
        <w:t>You should rely only on the information contained in this prospectus supplement, the accompanying prospectus and any related free writing prospectus that we or the Sales Agents provide to you or incorporated herein by reference in this prospectus supplement and contained or incorporated therein by reference in the accompanying prospectus. We have not, and the Sales Agents have not, authorized anyone to provide you with different or additional information. If anyone provides you with different, additional or inconsistent information, you should not rely on it. We are offering to sell the securities only in jurisdictions where such offers and sales are permitted. The distribution of this prospectus supplement and the accompanying prospectus and the offering of the securities in certain jurisdictions or to certain persons within such jurisdictions may be restricted by law. Persons outside the United States who come into possession of this prospectus supplement and the accompanying prospectus must inform themselves about and observe any restrictions relating to the offering of the securities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3"/>
          <w:szCs w:val="13"/>
          <w:color w:val="auto"/>
        </w:rPr>
        <w:t>You should assume that the information in this prospectus supplement and the accompanying prospectus is accurate only as of the date on the front of the applicable document and that any information we have incorporated by reference is accurate only as of the date of the document incorporated by reference, regardless of the time of delivery of this prospectus supplement or the accompanying prospectus, or any sale of a security. Our business, financial condition, results of operations and prospects may have changed since those dates. We do not imply or represent by delivering this prospectus that our company, or its business, is unchanged after the date on the front of this prospectus supplement or that the information in this prospectus supplement is correct as of any time after such date. You should read this prospectus supplement, the accompanying prospectus and the documents incorporated by reference in this prospectus supplement and the accompanying prospectus, in their entirety before making an investment decision. You should also read and consider the information in the documents to which we have referred you in the sections of this prospectus supplement titled “Incorporation of Certain Information by Reference” and “Where You Can Find More Information.”</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33" w:name="page34"/>
    <w:bookmarkEnd w:id="33"/>
    <w:p>
      <w:pPr>
        <w:jc w:val="both"/>
        <w:spacing w:after="0" w:line="266" w:lineRule="auto"/>
        <w:rPr>
          <w:sz w:val="20"/>
          <w:szCs w:val="20"/>
          <w:color w:val="auto"/>
        </w:rPr>
      </w:pPr>
      <w:r>
        <w:rPr>
          <w:rFonts w:ascii="Times New Roman" w:cs="Times New Roman" w:eastAsia="Times New Roman" w:hAnsi="Times New Roman"/>
          <w:sz w:val="13"/>
          <w:szCs w:val="13"/>
          <w:color w:val="auto"/>
        </w:rPr>
        <w:t>This prospectus contains or incorporates by reference summaries of certain provisions contained in some of the documents described herein, but reference is made to the actual documents for complete information. All such summaries are qualified in their entirety by the actual documents. Copies of some of the documents referred to herein have been filed, will be filed or will be incorporated by reference as exhibits to the Registration Statement that includes this prospectus, and you may obtain copies of those documents as described in the sections of this prospectus titled “Incorporation of Certain Information by Reference” and “Where You Can Find More Information.” The representations, warranties and covenants made by us in any agreement that is filed as an exhibit to any document that is incorporated by reference herein or in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CAUTIONARY NOTE REGARDING FORWARD-LOOKING STATEMENTS</w:t>
      </w:r>
    </w:p>
    <w:p>
      <w:pPr>
        <w:spacing w:after="0" w:line="17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3"/>
          <w:szCs w:val="13"/>
          <w:color w:val="auto"/>
        </w:rPr>
        <w:t>This prospectus supplement and the documents incorporated by reference herein and therein contain forward-looking information within the meaning of the safe harbor provisions of the U.S. Private Securities Litigation Reform Act of 1995, to the extent those safe harbor provisions are determined to be available. Forward-looking statements relate to future events regarding such matters as anticipated financial performance, business prospects, technological developments, new products, research and development activities and similar matters. In order to comply with the terms of the safe harbor provisions, we note that a variety of factors could cause our actual results and experience to differ materially and adversely from the anticipated results or other expectations expressed in the forward-looking statements. The risks and uncertainties that may affect the operation, performance, development and results of our business include, but are not limited to, those matters discussed in our most recent Annual Report on Form 10-K, in the sections titled “Management’s Discussion and Analysis of Financial Condition and Results of Operations” and “Risk Factors,” and in the same sections of our subsequently filed Quarterly Reports on Form 10-Q, as may be further updated by any current reports on Form 8-K that we may file. The words “believe,” “expect,” “anticipate,” “project,” “target,” “intend,” “plan,” “seek,” “estimate,” “endeavor,” “should,” “could,” “may” and similar expressions are intended to identify forward-looking statements. Although we believe that we have a reasonable basis for each forward-looking statement contained and incorporated by reference in this prospectus, we caution you that these statements are based on our projections of the future that are subject to risks, uncertainties and other factors that could cause actual results and the timing of certain events to differ materially from future results expressed or implied by such forward-looking statements. These forward-looking statements may not be realized due to a variety of factors, including, without limitation:</w:t>
      </w:r>
    </w:p>
    <w:p>
      <w:pPr>
        <w:spacing w:after="0" w:line="302" w:lineRule="exact"/>
        <w:rPr>
          <w:sz w:val="20"/>
          <w:szCs w:val="20"/>
          <w:color w:val="auto"/>
        </w:rPr>
      </w:pPr>
    </w:p>
    <w:p>
      <w:pPr>
        <w:ind w:left="480" w:hanging="237"/>
        <w:spacing w:after="0"/>
        <w:tabs>
          <w:tab w:leader="none" w:pos="480" w:val="left"/>
        </w:tabs>
        <w:numPr>
          <w:ilvl w:val="0"/>
          <w:numId w:val="29"/>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our financial and business performance;</w:t>
      </w:r>
    </w:p>
    <w:p>
      <w:pPr>
        <w:spacing w:after="0" w:line="173" w:lineRule="exact"/>
        <w:rPr>
          <w:rFonts w:ascii="Arial" w:cs="Arial" w:eastAsia="Arial" w:hAnsi="Arial"/>
          <w:sz w:val="13"/>
          <w:szCs w:val="13"/>
          <w:b w:val="1"/>
          <w:bCs w:val="1"/>
          <w:color w:val="auto"/>
        </w:rPr>
      </w:pPr>
    </w:p>
    <w:p>
      <w:pPr>
        <w:ind w:left="480" w:hanging="237"/>
        <w:spacing w:after="0" w:line="298" w:lineRule="auto"/>
        <w:tabs>
          <w:tab w:leader="none" w:pos="480" w:val="left"/>
        </w:tabs>
        <w:numPr>
          <w:ilvl w:val="0"/>
          <w:numId w:val="29"/>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changes in our strategy, future operations, financial position, estimated revenues and losses, projected costs, prospects and plans, including our recently announced prioritization of high-power markets and de-prioritization of mobile and consumer markets;</w:t>
      </w:r>
    </w:p>
    <w:p>
      <w:pPr>
        <w:spacing w:after="0" w:line="113" w:lineRule="exact"/>
        <w:rPr>
          <w:rFonts w:ascii="Arial" w:cs="Arial" w:eastAsia="Arial" w:hAnsi="Arial"/>
          <w:sz w:val="13"/>
          <w:szCs w:val="13"/>
          <w:b w:val="1"/>
          <w:bCs w:val="1"/>
          <w:color w:val="auto"/>
        </w:rPr>
      </w:pPr>
    </w:p>
    <w:p>
      <w:pPr>
        <w:ind w:left="480" w:hanging="237"/>
        <w:spacing w:after="0"/>
        <w:tabs>
          <w:tab w:leader="none" w:pos="480" w:val="left"/>
        </w:tabs>
        <w:numPr>
          <w:ilvl w:val="0"/>
          <w:numId w:val="29"/>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our product development timeline and expected start of production;</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29"/>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implementation, market acceptance and success of our business model;</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29"/>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our ability to realize the anticipated cost savings and operational efficiencies in connection with our restructurings</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29"/>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our ability to scale in a cost-effective manner;</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29"/>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our ability to manufacture products that meet the high reliability and quality standards of our customers;</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29"/>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performance of current and new suppliers, including our foundry partners and other third-parties on whom our supply chain depends;</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29"/>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developments relating to our customers, competitors and industry;</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3" w:right="319" w:bottom="1440" w:gutter="0" w:footer="0" w:header="0"/>
        </w:sectPr>
      </w:pPr>
    </w:p>
    <w:bookmarkStart w:id="34" w:name="page35"/>
    <w:bookmarkEnd w:id="34"/>
    <w:p>
      <w:pPr>
        <w:ind w:left="480" w:hanging="237"/>
        <w:spacing w:after="0"/>
        <w:tabs>
          <w:tab w:leader="none" w:pos="480" w:val="left"/>
        </w:tabs>
        <w:numPr>
          <w:ilvl w:val="0"/>
          <w:numId w:val="30"/>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geopolitical changes, including trade wars, military conflicts, pandemics and other force majeure events;</w:t>
      </w:r>
    </w:p>
    <w:p>
      <w:pPr>
        <w:spacing w:after="0" w:line="173" w:lineRule="exact"/>
        <w:rPr>
          <w:rFonts w:ascii="Arial" w:cs="Arial" w:eastAsia="Arial" w:hAnsi="Arial"/>
          <w:sz w:val="13"/>
          <w:szCs w:val="13"/>
          <w:b w:val="1"/>
          <w:bCs w:val="1"/>
          <w:color w:val="auto"/>
        </w:rPr>
      </w:pPr>
    </w:p>
    <w:p>
      <w:pPr>
        <w:ind w:left="480" w:hanging="237"/>
        <w:spacing w:after="0" w:line="298" w:lineRule="auto"/>
        <w:tabs>
          <w:tab w:leader="none" w:pos="480" w:val="left"/>
        </w:tabs>
        <w:numPr>
          <w:ilvl w:val="0"/>
          <w:numId w:val="30"/>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trading relationships between countries in which we operate, including primarily those between the United States and China, and related regulatory developments such as tariffs, customs duties, trade sanctions and cross-border investment restrictions;</w:t>
      </w:r>
    </w:p>
    <w:p>
      <w:pPr>
        <w:spacing w:after="0" w:line="113" w:lineRule="exact"/>
        <w:rPr>
          <w:rFonts w:ascii="Arial" w:cs="Arial" w:eastAsia="Arial" w:hAnsi="Arial"/>
          <w:sz w:val="13"/>
          <w:szCs w:val="13"/>
          <w:b w:val="1"/>
          <w:bCs w:val="1"/>
          <w:color w:val="auto"/>
        </w:rPr>
      </w:pPr>
    </w:p>
    <w:p>
      <w:pPr>
        <w:ind w:left="480" w:hanging="237"/>
        <w:spacing w:after="0"/>
        <w:tabs>
          <w:tab w:leader="none" w:pos="480" w:val="left"/>
        </w:tabs>
        <w:numPr>
          <w:ilvl w:val="0"/>
          <w:numId w:val="30"/>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our ability to realize benefits from the acquisition of GeneSiC Semiconductor Inc. on August 15, 2022;</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30"/>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our ability to obtain and maintain intellectual property protection, defend our intellectual property rights, and avoid infringement on the intellectual property rights of others;</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30"/>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our future capital requirements and sources and uses of cash;</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30"/>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our ability to obtain funding for our operations;</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30"/>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our business, expansion plans and opportunities;</w:t>
      </w:r>
    </w:p>
    <w:p>
      <w:pPr>
        <w:spacing w:after="0" w:line="173" w:lineRule="exact"/>
        <w:rPr>
          <w:rFonts w:ascii="Arial" w:cs="Arial" w:eastAsia="Arial" w:hAnsi="Arial"/>
          <w:sz w:val="13"/>
          <w:szCs w:val="13"/>
          <w:b w:val="1"/>
          <w:bCs w:val="1"/>
          <w:color w:val="auto"/>
        </w:rPr>
      </w:pPr>
    </w:p>
    <w:p>
      <w:pPr>
        <w:ind w:left="480" w:hanging="237"/>
        <w:spacing w:after="0"/>
        <w:tabs>
          <w:tab w:leader="none" w:pos="480" w:val="left"/>
        </w:tabs>
        <w:numPr>
          <w:ilvl w:val="0"/>
          <w:numId w:val="30"/>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outcome of any known and unknown litigation and regulatory proceedings; and</w:t>
      </w:r>
    </w:p>
    <w:p>
      <w:pPr>
        <w:spacing w:after="0" w:line="171" w:lineRule="exact"/>
        <w:rPr>
          <w:rFonts w:ascii="Arial" w:cs="Arial" w:eastAsia="Arial" w:hAnsi="Arial"/>
          <w:sz w:val="13"/>
          <w:szCs w:val="13"/>
          <w:b w:val="1"/>
          <w:bCs w:val="1"/>
          <w:color w:val="auto"/>
        </w:rPr>
      </w:pPr>
    </w:p>
    <w:p>
      <w:pPr>
        <w:ind w:left="480" w:hanging="237"/>
        <w:spacing w:after="0"/>
        <w:tabs>
          <w:tab w:leader="none" w:pos="480" w:val="left"/>
        </w:tabs>
        <w:numPr>
          <w:ilvl w:val="0"/>
          <w:numId w:val="30"/>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risks and uncertainties described in this prospectus supplement, including under the section titled “</w:t>
      </w:r>
      <w:r>
        <w:rPr>
          <w:rFonts w:ascii="Times New Roman" w:cs="Times New Roman" w:eastAsia="Times New Roman" w:hAnsi="Times New Roman"/>
          <w:sz w:val="13"/>
          <w:szCs w:val="13"/>
          <w:i w:val="1"/>
          <w:iCs w:val="1"/>
          <w:color w:val="auto"/>
        </w:rPr>
        <w:t>Risk Factors</w:t>
      </w:r>
      <w:r>
        <w:rPr>
          <w:rFonts w:ascii="Times New Roman" w:cs="Times New Roman" w:eastAsia="Times New Roman" w:hAnsi="Times New Roman"/>
          <w:sz w:val="13"/>
          <w:szCs w:val="13"/>
          <w:color w:val="auto"/>
        </w:rPr>
        <w:t>.”</w:t>
      </w:r>
    </w:p>
    <w:p>
      <w:pPr>
        <w:spacing w:after="0" w:line="17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3"/>
          <w:szCs w:val="13"/>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Some of these risks and uncertainties may in the future be amplified by events we do not expect or cannot predict. Additionally, new risk factors and uncertainties may emerge from time to time, and it is not possible for management to predict all risk factors and uncertainties. As a result of these factors, the forward-looking statements in this prospectus supplement may not prove to be accurate.</w:t>
      </w:r>
    </w:p>
    <w:p>
      <w:pPr>
        <w:spacing w:after="0" w:line="13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3"/>
          <w:szCs w:val="13"/>
          <w:color w:val="auto"/>
        </w:rPr>
        <w:t>Except as required by applicable law, we do not plan to publicly update or revise any forward-looking statements contained in this prospectus supplement, whether as a result of any new information, future events, changed circumstances or otherwise. You should read this prospectus supplement completely, and with the understanding that our actual future results may be materially different from what we expect. We qualify all of our forward-looking statements by these cautionary statements.</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3" w:right="31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187960</wp:posOffset>
            </wp:positionH>
            <wp:positionV relativeFrom="page">
              <wp:posOffset>457835</wp:posOffset>
            </wp:positionV>
            <wp:extent cx="7172960" cy="36830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7172960" cy="3683000"/>
                    </a:xfrm>
                    <a:prstGeom prst="rect">
                      <a:avLst/>
                    </a:prstGeom>
                    <a:noFill/>
                  </pic:spPr>
                </pic:pic>
              </a:graphicData>
            </a:graphic>
          </wp:anchor>
        </w:drawing>
        <w:t>PROSPECTUS SUPPLEMENT SUMMARY</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3"/>
          <w:szCs w:val="13"/>
          <w:i w:val="1"/>
          <w:iCs w:val="1"/>
          <w:color w:val="auto"/>
        </w:rPr>
        <w:t>This summary highlights certain information about us, this offering and selected information contained elsewhere in, or incorporated by reference into, this prospectus supplement and the accompanying prospectus. This summary is not complete and does not contain all of the information that you should consider before deciding to invest in our securities. For a more complete understanding of our company and this offering, we encourage you to read and consider carefully this entire prospectus supplement and the accompanying prospectus, including the information referred to in the “Risk Factors” section beginning on page S-3 of this prospectus supplement and page 6 of the accompanying prospectus, along with the information incorporated by reference into this prospectus supplement and the accompanying prospectus and in the documents incorporated by reference herein and therein. See “Incorporation of Certain Information by Reference” and “Where You Can Find More Information” to learn how we disclose information in this prospectus supplement and the accompanying prospectus by referring you to other documents, and how you can access those documents.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Company Overview</w:t>
      </w:r>
    </w:p>
    <w:p>
      <w:pPr>
        <w:spacing w:after="0" w:line="17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3"/>
          <w:szCs w:val="13"/>
          <w:color w:val="auto"/>
        </w:rPr>
        <w:t>We design, develop and market next-generation power semiconductors including gallium nitride (“</w:t>
      </w:r>
      <w:r>
        <w:rPr>
          <w:rFonts w:ascii="Times New Roman" w:cs="Times New Roman" w:eastAsia="Times New Roman" w:hAnsi="Times New Roman"/>
          <w:sz w:val="13"/>
          <w:szCs w:val="13"/>
          <w:i w:val="1"/>
          <w:iCs w:val="1"/>
          <w:color w:val="auto"/>
        </w:rPr>
        <w:t>GaN</w:t>
      </w:r>
      <w:r>
        <w:rPr>
          <w:rFonts w:ascii="Times New Roman" w:cs="Times New Roman" w:eastAsia="Times New Roman" w:hAnsi="Times New Roman"/>
          <w:sz w:val="13"/>
          <w:szCs w:val="13"/>
          <w:color w:val="auto"/>
        </w:rPr>
        <w:t>”) power integrated circuits (“</w:t>
      </w:r>
      <w:r>
        <w:rPr>
          <w:rFonts w:ascii="Times New Roman" w:cs="Times New Roman" w:eastAsia="Times New Roman" w:hAnsi="Times New Roman"/>
          <w:sz w:val="13"/>
          <w:szCs w:val="13"/>
          <w:i w:val="1"/>
          <w:iCs w:val="1"/>
          <w:color w:val="auto"/>
        </w:rPr>
        <w:t>ICs</w:t>
      </w:r>
      <w:r>
        <w:rPr>
          <w:rFonts w:ascii="Times New Roman" w:cs="Times New Roman" w:eastAsia="Times New Roman" w:hAnsi="Times New Roman"/>
          <w:sz w:val="13"/>
          <w:szCs w:val="13"/>
          <w:color w:val="auto"/>
        </w:rPr>
        <w:t>”), high-voltage silicon carbide (“</w:t>
      </w:r>
      <w:r>
        <w:rPr>
          <w:rFonts w:ascii="Times New Roman" w:cs="Times New Roman" w:eastAsia="Times New Roman" w:hAnsi="Times New Roman"/>
          <w:sz w:val="13"/>
          <w:szCs w:val="13"/>
          <w:i w:val="1"/>
          <w:iCs w:val="1"/>
          <w:color w:val="auto"/>
        </w:rPr>
        <w:t>SiC</w:t>
      </w:r>
      <w:r>
        <w:rPr>
          <w:rFonts w:ascii="Times New Roman" w:cs="Times New Roman" w:eastAsia="Times New Roman" w:hAnsi="Times New Roman"/>
          <w:sz w:val="13"/>
          <w:szCs w:val="13"/>
          <w:color w:val="auto"/>
        </w:rPr>
        <w:t>”) devices and associated high-speed silicon system controllers, and digital isolators used in power conversion and charging. We focus on high-power markets including artificial intelligence (“</w:t>
      </w:r>
      <w:r>
        <w:rPr>
          <w:rFonts w:ascii="Times New Roman" w:cs="Times New Roman" w:eastAsia="Times New Roman" w:hAnsi="Times New Roman"/>
          <w:sz w:val="13"/>
          <w:szCs w:val="13"/>
          <w:i w:val="1"/>
          <w:iCs w:val="1"/>
          <w:color w:val="auto"/>
        </w:rPr>
        <w:t>AI</w:t>
      </w:r>
      <w:r>
        <w:rPr>
          <w:rFonts w:ascii="Times New Roman" w:cs="Times New Roman" w:eastAsia="Times New Roman" w:hAnsi="Times New Roman"/>
          <w:sz w:val="13"/>
          <w:szCs w:val="13"/>
          <w:color w:val="auto"/>
        </w:rPr>
        <w:t>”) data centers, energy and grid infrastructure, performance computing and industrial electrification.</w:t>
      </w:r>
    </w:p>
    <w:p>
      <w:pPr>
        <w:spacing w:after="0" w:line="12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3"/>
          <w:szCs w:val="13"/>
          <w:color w:val="auto"/>
        </w:rPr>
        <w:t>Our products are engineered to deliver superior efficiency, performance, power density, and sustainability compared to legacy, silicon-based technologies. By leveraging the unique properties of wide bandgap materials such as GaN and SiC, our solutions enable higher power throughput, higher voltage operation, improved thermal performance, and reduced system size and cost, which are critical advantages for high-power applications such as hyperscale and AI data centers, grid electrification, high-performance computing clusters, and industrial automation. We operate as a product design house that contracts the manufacturing of its chips and packaging to partner suppliers.</w:t>
      </w:r>
    </w:p>
    <w:p>
      <w:pPr>
        <w:spacing w:after="0" w:line="13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3"/>
          <w:szCs w:val="13"/>
          <w:color w:val="auto"/>
        </w:rPr>
        <w:t>Through this focus on high-power markets, we are positioned to support the global transition to electrification and energy conservation. Our mission is to drive innovation in high-frequency, high-efficiency, and high-density power electronics, enabling our customers to achieve greater energy savings, operational reliability, and sustainability. By unlocking new levels of speed and efficiency, Navitas is leading the transformation of power electronics to “Electrify Our World”™ for a cleaner, more connected future.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Corporate Background</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3"/>
          <w:szCs w:val="13"/>
          <w:color w:val="auto"/>
        </w:rPr>
        <w:t>Navitas Semiconductor Corporation was originally incorporated as Live Oak Acquisition Corp. II. On October 19, 2021, as part of a series of related transactions (which we refer to as the “</w:t>
      </w:r>
      <w:r>
        <w:rPr>
          <w:rFonts w:ascii="Times New Roman" w:cs="Times New Roman" w:eastAsia="Times New Roman" w:hAnsi="Times New Roman"/>
          <w:sz w:val="13"/>
          <w:szCs w:val="13"/>
          <w:i w:val="1"/>
          <w:iCs w:val="1"/>
          <w:color w:val="auto"/>
        </w:rPr>
        <w:t>Business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Combination</w:t>
      </w:r>
      <w:r>
        <w:rPr>
          <w:rFonts w:ascii="Times New Roman" w:cs="Times New Roman" w:eastAsia="Times New Roman" w:hAnsi="Times New Roman"/>
          <w:sz w:val="13"/>
          <w:szCs w:val="13"/>
          <w:color w:val="auto"/>
        </w:rPr>
        <w:t>”), we acquired all of the equity interests of Navitas Semiconductor Limited, an Irish private company domesticated in Delaware as Navitas Semiconductor Ireland, LLC (collectively,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Legacy Navitas</w:t>
      </w:r>
      <w:r>
        <w:rPr>
          <w:rFonts w:ascii="Times New Roman" w:cs="Times New Roman" w:eastAsia="Times New Roman" w:hAnsi="Times New Roman"/>
          <w:sz w:val="13"/>
          <w:szCs w:val="13"/>
          <w:color w:val="auto"/>
        </w:rPr>
        <w:t>”) and changed our name to Navitas Semiconductor Corporation. As a result, Legacy Navitas became a wholly owned subsidiary of Navitas Semiconductor Corporation effective October 19, 2021.</w:t>
      </w:r>
    </w:p>
    <w:p>
      <w:pPr>
        <w:spacing w:after="0" w:line="29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3"/>
          <w:szCs w:val="13"/>
          <w:color w:val="auto"/>
        </w:rPr>
        <w:t>Our principal executive offices are located at 3520 Challenger Street, Torrance, California 90503-1640. Our telephone number is (844) 654-2642. Our website address is www.navitassemi.com. The information located on, or accessible from, our website is not, and shall not be deemed to be, a part of this prospectus or any accompanying prospectus supplement or incorporated into any other filings that we make with the SEC.</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22225</wp:posOffset>
            </wp:positionV>
            <wp:extent cx="7166610"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000"/>
          </w:cols>
          <w:pgMar w:left="440" w:top="860" w:right="459" w:bottom="1440" w:gutter="0" w:footer="0" w:header="0"/>
        </w:sectPr>
      </w:pPr>
    </w:p>
    <w:bookmarkStart w:id="36" w:name="page37"/>
    <w:bookmarkEnd w:id="36"/>
    <w:p>
      <w:pPr>
        <w:spacing w:after="0" w:line="323" w:lineRule="exact"/>
        <w:rPr>
          <w:sz w:val="20"/>
          <w:szCs w:val="20"/>
          <w:color w:val="auto"/>
        </w:rPr>
      </w:pPr>
    </w:p>
    <w:p>
      <w:pPr>
        <w:spacing w:after="0" w:line="305" w:lineRule="auto"/>
        <w:rPr>
          <w:sz w:val="20"/>
          <w:szCs w:val="20"/>
          <w:color w:val="auto"/>
        </w:rPr>
      </w:pPr>
      <w:r>
        <w:rPr>
          <w:rFonts w:ascii="Times New Roman" w:cs="Times New Roman" w:eastAsia="Times New Roman" w:hAnsi="Times New Roman"/>
          <w:sz w:val="13"/>
          <w:szCs w:val="13"/>
          <w:b w:val="1"/>
          <w:bCs w:val="1"/>
          <w:color w:val="auto"/>
        </w:rPr>
        <w:t>Class A Common Stock offered by us:</w:t>
      </w:r>
    </w:p>
    <w:p>
      <w:pPr>
        <w:spacing w:after="0" w:line="10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3"/>
          <w:szCs w:val="13"/>
          <w:b w:val="1"/>
          <w:bCs w:val="1"/>
          <w:color w:val="auto"/>
        </w:rPr>
        <w:t>Class A Common Stock to be outstanding immediately after this offering: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Plan of Distribution: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Use of Proceeds:</w:t>
      </w:r>
    </w:p>
    <w:p>
      <w:pPr>
        <w:spacing w:after="0" w:line="20" w:lineRule="exact"/>
        <w:rPr>
          <w:sz w:val="20"/>
          <w:szCs w:val="20"/>
          <w:color w:val="auto"/>
        </w:rPr>
      </w:pPr>
      <w:r>
        <w:rPr>
          <w:sz w:val="20"/>
          <w:szCs w:val="20"/>
          <w:color w:val="auto"/>
        </w:rPr>
        <w:br w:type="column"/>
      </w:r>
    </w:p>
    <w:p>
      <w:pPr>
        <w:ind w:left="2480"/>
        <w:spacing w:after="0"/>
        <w:rPr>
          <w:sz w:val="20"/>
          <w:szCs w:val="20"/>
          <w:color w:val="auto"/>
        </w:rPr>
      </w:pPr>
      <w:r>
        <w:rPr>
          <w:rFonts w:ascii="Times New Roman" w:cs="Times New Roman" w:eastAsia="Times New Roman" w:hAnsi="Times New Roman"/>
          <w:sz w:val="13"/>
          <w:szCs w:val="13"/>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-1678305</wp:posOffset>
            </wp:positionH>
            <wp:positionV relativeFrom="paragraph">
              <wp:posOffset>-182880</wp:posOffset>
            </wp:positionV>
            <wp:extent cx="7172960" cy="41960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7172960" cy="419608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Shares of our Class A Common Stock having an aggregate offering price of up to $500.0 million.</w:t>
      </w:r>
    </w:p>
    <w:p>
      <w:pPr>
        <w:spacing w:after="0" w:line="33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3"/>
          <w:szCs w:val="13"/>
          <w:color w:val="auto"/>
        </w:rPr>
        <w:t>Up to 19,936,204 shares, assuming that we sell the maximum dollar value of shares of our Class A common stock available to be sold in this offering at a price of $25.08 per share, which was the last reported sale price of our Class A Common Stock on Nasdaq on June 5, 2026. The actual number of shares issued will vary depending on the sales prices under this offering.</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“At the market offering” that may be made from time to time through the Sales Agents. See “</w:t>
      </w:r>
      <w:r>
        <w:rPr>
          <w:rFonts w:ascii="Times New Roman" w:cs="Times New Roman" w:eastAsia="Times New Roman" w:hAnsi="Times New Roman"/>
          <w:sz w:val="13"/>
          <w:szCs w:val="13"/>
          <w:i w:val="1"/>
          <w:iCs w:val="1"/>
          <w:color w:val="auto"/>
        </w:rPr>
        <w:t>Plan of Distribution</w:t>
      </w:r>
      <w:r>
        <w:rPr>
          <w:rFonts w:ascii="Times New Roman" w:cs="Times New Roman" w:eastAsia="Times New Roman" w:hAnsi="Times New Roman"/>
          <w:sz w:val="13"/>
          <w:szCs w:val="13"/>
          <w:color w:val="auto"/>
        </w:rPr>
        <w:t>”.</w:t>
      </w:r>
    </w:p>
    <w:p>
      <w:pPr>
        <w:spacing w:after="0" w:line="17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3"/>
          <w:szCs w:val="13"/>
          <w:color w:val="auto"/>
        </w:rPr>
        <w:t>We intend to use the net proceeds from this offering, together with our existing cash, cash equivalents and trade receivables, for working capital and other general corporate purposes, including potential acquisitions. We may use a portion of our net proceeds to fund possible investments in and acquisitions of complementary businesses; however, we currently have no agreements or commitments to complete any such transaction. See “</w:t>
      </w:r>
      <w:r>
        <w:rPr>
          <w:rFonts w:ascii="Times New Roman" w:cs="Times New Roman" w:eastAsia="Times New Roman" w:hAnsi="Times New Roman"/>
          <w:sz w:val="13"/>
          <w:szCs w:val="13"/>
          <w:i w:val="1"/>
          <w:iCs w:val="1"/>
          <w:color w:val="auto"/>
        </w:rPr>
        <w:t>Use of Proceeds</w:t>
      </w:r>
      <w:r>
        <w:rPr>
          <w:rFonts w:ascii="Times New Roman" w:cs="Times New Roman" w:eastAsia="Times New Roman" w:hAnsi="Times New Roman"/>
          <w:sz w:val="13"/>
          <w:szCs w:val="13"/>
          <w:color w:val="auto"/>
        </w:rPr>
        <w:t>.”</w:t>
      </w:r>
    </w:p>
    <w:p>
      <w:pPr>
        <w:spacing w:after="0" w:line="121" w:lineRule="exact"/>
        <w:rPr>
          <w:sz w:val="20"/>
          <w:szCs w:val="20"/>
          <w:color w:val="auto"/>
        </w:rPr>
      </w:pPr>
    </w:p>
    <w:p>
      <w:pPr>
        <w:sectPr>
          <w:pgSz w:w="11900" w:h="16838" w:orient="portrait"/>
          <w:cols w:equalWidth="0" w:num="2">
            <w:col w:w="1980" w:space="380"/>
            <w:col w:w="8360"/>
          </w:cols>
          <w:pgMar w:left="580" w:top="860" w:right="599" w:bottom="1440" w:gutter="0" w:footer="0" w:header="0"/>
        </w:sectPr>
      </w:pPr>
    </w:p>
    <w:p>
      <w:pPr>
        <w:spacing w:after="0"/>
        <w:tabs>
          <w:tab w:leader="none" w:pos="2340" w:val="left"/>
        </w:tabs>
        <w:rPr>
          <w:sz w:val="20"/>
          <w:szCs w:val="20"/>
          <w:color w:val="auto"/>
        </w:rPr>
      </w:pPr>
      <w:r>
        <w:rPr>
          <w:rFonts w:ascii="Times New Roman" w:cs="Times New Roman" w:eastAsia="Times New Roman" w:hAnsi="Times New Roman"/>
          <w:sz w:val="13"/>
          <w:szCs w:val="13"/>
          <w:b w:val="1"/>
          <w:bCs w:val="1"/>
          <w:color w:val="auto"/>
        </w:rPr>
        <w:t>Risk Factors:</w:t>
      </w:r>
      <w:r>
        <w:rPr>
          <w:sz w:val="20"/>
          <w:szCs w:val="20"/>
          <w:color w:val="auto"/>
        </w:rPr>
        <w:tab/>
      </w:r>
      <w:r>
        <w:rPr>
          <w:rFonts w:ascii="Times New Roman" w:cs="Times New Roman" w:eastAsia="Times New Roman" w:hAnsi="Times New Roman"/>
          <w:sz w:val="13"/>
          <w:szCs w:val="13"/>
          <w:color w:val="auto"/>
        </w:rPr>
        <w:t>Investing in shares of our Class A Common Stock involves a high degree of risk, and the purchasers of our Class A Common Stock may lose all or part of</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their investment. See the “</w:t>
      </w:r>
      <w:r>
        <w:rPr>
          <w:rFonts w:ascii="Times New Roman" w:cs="Times New Roman" w:eastAsia="Times New Roman" w:hAnsi="Times New Roman"/>
          <w:sz w:val="13"/>
          <w:szCs w:val="13"/>
          <w:i w:val="1"/>
          <w:iCs w:val="1"/>
          <w:color w:val="auto"/>
        </w:rPr>
        <w:t>Risk Factors</w:t>
      </w:r>
      <w:r>
        <w:rPr>
          <w:rFonts w:ascii="Times New Roman" w:cs="Times New Roman" w:eastAsia="Times New Roman" w:hAnsi="Times New Roman"/>
          <w:sz w:val="13"/>
          <w:szCs w:val="13"/>
          <w:color w:val="auto"/>
        </w:rPr>
        <w:t>” section beginning on page S-3 of this prospectus supplement, as well as the other information included in or</w:t>
      </w:r>
    </w:p>
    <w:p>
      <w:pPr>
        <w:spacing w:after="0" w:line="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incorporated by reference in this prospectus supplement and the accompanying prospectus, for a discussion of risks you should carefully consider before</w:t>
      </w:r>
    </w:p>
    <w:p>
      <w:pPr>
        <w:spacing w:after="0" w:line="12"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3"/>
          <w:szCs w:val="13"/>
          <w:color w:val="auto"/>
        </w:rPr>
        <w:t>investing in our securities.</w:t>
      </w:r>
    </w:p>
    <w:p>
      <w:pPr>
        <w:spacing w:after="0" w:line="158" w:lineRule="exact"/>
        <w:rPr>
          <w:sz w:val="20"/>
          <w:szCs w:val="20"/>
          <w:color w:val="auto"/>
        </w:rPr>
      </w:pPr>
    </w:p>
    <w:p>
      <w:pPr>
        <w:spacing w:after="0"/>
        <w:tabs>
          <w:tab w:leader="none" w:pos="2340" w:val="left"/>
        </w:tabs>
        <w:rPr>
          <w:sz w:val="20"/>
          <w:szCs w:val="20"/>
          <w:color w:val="auto"/>
        </w:rPr>
      </w:pPr>
      <w:r>
        <w:rPr>
          <w:rFonts w:ascii="Times New Roman" w:cs="Times New Roman" w:eastAsia="Times New Roman" w:hAnsi="Times New Roman"/>
          <w:sz w:val="13"/>
          <w:szCs w:val="13"/>
          <w:b w:val="1"/>
          <w:bCs w:val="1"/>
          <w:color w:val="auto"/>
        </w:rPr>
        <w:t>Nasdaq trading symbol:</w:t>
      </w:r>
      <w:r>
        <w:rPr>
          <w:sz w:val="20"/>
          <w:szCs w:val="20"/>
          <w:color w:val="auto"/>
        </w:rPr>
        <w:tab/>
      </w:r>
      <w:r>
        <w:rPr>
          <w:rFonts w:ascii="Times New Roman" w:cs="Times New Roman" w:eastAsia="Times New Roman" w:hAnsi="Times New Roman"/>
          <w:sz w:val="13"/>
          <w:szCs w:val="13"/>
          <w:color w:val="auto"/>
        </w:rPr>
        <w:t>“NVTS.”</w:t>
      </w:r>
    </w:p>
    <w:p>
      <w:pPr>
        <w:spacing w:after="0" w:line="178"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3"/>
          <w:szCs w:val="13"/>
          <w:color w:val="auto"/>
        </w:rPr>
        <w:t>The number of shares of Class A Common Stock to be outstanding immediately after this offering is based on 232,004,922 shares of our Class A common stock outstanding as of March 31, 2026, and excludes:</w:t>
      </w:r>
    </w:p>
    <w:p>
      <w:pPr>
        <w:spacing w:after="0" w:line="114" w:lineRule="exact"/>
        <w:rPr>
          <w:sz w:val="20"/>
          <w:szCs w:val="20"/>
          <w:color w:val="auto"/>
        </w:rPr>
      </w:pPr>
    </w:p>
    <w:p>
      <w:pPr>
        <w:ind w:left="480" w:hanging="234"/>
        <w:spacing w:after="0"/>
        <w:tabs>
          <w:tab w:leader="none" w:pos="480" w:val="left"/>
        </w:tabs>
        <w:numPr>
          <w:ilvl w:val="0"/>
          <w:numId w:val="31"/>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847,603 shares of Class A Common Stock issuable upon the exercise of stock options outstanding as of March 31, 2026, with a weighted-average exercise price of $7.97 per share;</w:t>
      </w:r>
    </w:p>
    <w:p>
      <w:pPr>
        <w:spacing w:after="0" w:line="171" w:lineRule="exact"/>
        <w:rPr>
          <w:rFonts w:ascii="Arial" w:cs="Arial" w:eastAsia="Arial" w:hAnsi="Arial"/>
          <w:sz w:val="13"/>
          <w:szCs w:val="13"/>
          <w:b w:val="1"/>
          <w:bCs w:val="1"/>
          <w:color w:val="auto"/>
        </w:rPr>
      </w:pPr>
    </w:p>
    <w:p>
      <w:pPr>
        <w:ind w:left="480" w:hanging="234"/>
        <w:spacing w:after="0"/>
        <w:tabs>
          <w:tab w:leader="none" w:pos="480" w:val="left"/>
        </w:tabs>
        <w:numPr>
          <w:ilvl w:val="0"/>
          <w:numId w:val="31"/>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9,567,000 shares of Class A Common Stock issuable upon the vesting and settlement of restricted stock units (“</w:t>
      </w:r>
      <w:r>
        <w:rPr>
          <w:rFonts w:ascii="Times New Roman" w:cs="Times New Roman" w:eastAsia="Times New Roman" w:hAnsi="Times New Roman"/>
          <w:sz w:val="13"/>
          <w:szCs w:val="13"/>
          <w:i w:val="1"/>
          <w:iCs w:val="1"/>
          <w:color w:val="auto"/>
        </w:rPr>
        <w:t>RSUs</w:t>
      </w:r>
      <w:r>
        <w:rPr>
          <w:rFonts w:ascii="Times New Roman" w:cs="Times New Roman" w:eastAsia="Times New Roman" w:hAnsi="Times New Roman"/>
          <w:sz w:val="13"/>
          <w:szCs w:val="13"/>
          <w:color w:val="auto"/>
        </w:rPr>
        <w:t>”) outstanding as of March 31, 2026;</w:t>
      </w:r>
    </w:p>
    <w:p>
      <w:pPr>
        <w:spacing w:after="0" w:line="175" w:lineRule="exact"/>
        <w:rPr>
          <w:rFonts w:ascii="Arial" w:cs="Arial" w:eastAsia="Arial" w:hAnsi="Arial"/>
          <w:sz w:val="13"/>
          <w:szCs w:val="13"/>
          <w:b w:val="1"/>
          <w:bCs w:val="1"/>
          <w:color w:val="auto"/>
        </w:rPr>
      </w:pPr>
    </w:p>
    <w:p>
      <w:pPr>
        <w:ind w:left="480" w:hanging="234"/>
        <w:spacing w:after="0"/>
        <w:tabs>
          <w:tab w:leader="none" w:pos="480" w:val="left"/>
        </w:tabs>
        <w:numPr>
          <w:ilvl w:val="0"/>
          <w:numId w:val="31"/>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407,673 shares of Class A Common Stock issuable upon the vesting and settlement of RSUs granted after March 31, 2026 and prior to the date hereof;</w:t>
      </w:r>
    </w:p>
    <w:p>
      <w:pPr>
        <w:spacing w:after="0" w:line="173" w:lineRule="exact"/>
        <w:rPr>
          <w:rFonts w:ascii="Arial" w:cs="Arial" w:eastAsia="Arial" w:hAnsi="Arial"/>
          <w:sz w:val="13"/>
          <w:szCs w:val="13"/>
          <w:b w:val="1"/>
          <w:bCs w:val="1"/>
          <w:color w:val="auto"/>
        </w:rPr>
      </w:pPr>
    </w:p>
    <w:p>
      <w:pPr>
        <w:ind w:left="480" w:hanging="234"/>
        <w:spacing w:after="0" w:line="298" w:lineRule="auto"/>
        <w:tabs>
          <w:tab w:leader="none" w:pos="480" w:val="left"/>
        </w:tabs>
        <w:numPr>
          <w:ilvl w:val="0"/>
          <w:numId w:val="31"/>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16,334,527 shares of Class A Common Stock reserved as of March 31, 2026 for issuance upon vesting or settlement of future awards under the Navitas Semiconductor Corporation 2021 Equity Incentive Plan;</w:t>
      </w:r>
    </w:p>
    <w:p>
      <w:pPr>
        <w:spacing w:after="0" w:line="113" w:lineRule="exact"/>
        <w:rPr>
          <w:rFonts w:ascii="Arial" w:cs="Arial" w:eastAsia="Arial" w:hAnsi="Arial"/>
          <w:sz w:val="13"/>
          <w:szCs w:val="13"/>
          <w:b w:val="1"/>
          <w:bCs w:val="1"/>
          <w:color w:val="auto"/>
        </w:rPr>
      </w:pPr>
    </w:p>
    <w:p>
      <w:pPr>
        <w:ind w:left="480" w:hanging="234"/>
        <w:spacing w:after="0"/>
        <w:tabs>
          <w:tab w:leader="none" w:pos="480" w:val="left"/>
        </w:tabs>
        <w:numPr>
          <w:ilvl w:val="0"/>
          <w:numId w:val="31"/>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1,074,104 shares of Class A Common Stock reserved as of March 31, 2026 for future issuance under the Navitas Semiconductor 2022 Employee Stock Purchase Plan; and</w:t>
      </w:r>
    </w:p>
    <w:p>
      <w:pPr>
        <w:spacing w:after="0" w:line="173" w:lineRule="exact"/>
        <w:rPr>
          <w:rFonts w:ascii="Arial" w:cs="Arial" w:eastAsia="Arial" w:hAnsi="Arial"/>
          <w:sz w:val="13"/>
          <w:szCs w:val="13"/>
          <w:b w:val="1"/>
          <w:bCs w:val="1"/>
          <w:color w:val="auto"/>
        </w:rPr>
      </w:pPr>
    </w:p>
    <w:p>
      <w:pPr>
        <w:ind w:left="480" w:hanging="234"/>
        <w:spacing w:after="0"/>
        <w:tabs>
          <w:tab w:leader="none" w:pos="480" w:val="left"/>
        </w:tabs>
        <w:numPr>
          <w:ilvl w:val="0"/>
          <w:numId w:val="31"/>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10,000,000 shares of Class A Common Stock issuable upon the fulfillment of certain earnout milestones as of March 31, 2026.</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Except as otherwise indicated, all information in this prospectus supplement assumes that there is no exercise of outstanding stock options or vesting and settlement of RSUs referred to above.</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22225</wp:posOffset>
            </wp:positionV>
            <wp:extent cx="7166610"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0720"/>
          </w:cols>
          <w:pgMar w:left="580" w:top="860" w:right="599" w:bottom="1440" w:gutter="0" w:footer="0" w:header="0"/>
          <w:type w:val="continuous"/>
        </w:sectPr>
      </w:pPr>
    </w:p>
    <w:bookmarkStart w:id="37" w:name="page38"/>
    <w:bookmarkEnd w:id="37"/>
    <w:p>
      <w:pPr>
        <w:jc w:val="center"/>
        <w:spacing w:after="0"/>
        <w:rPr>
          <w:sz w:val="20"/>
          <w:szCs w:val="20"/>
          <w:color w:val="auto"/>
        </w:rPr>
      </w:pPr>
      <w:r>
        <w:rPr>
          <w:rFonts w:ascii="Times New Roman" w:cs="Times New Roman" w:eastAsia="Times New Roman" w:hAnsi="Times New Roman"/>
          <w:sz w:val="13"/>
          <w:szCs w:val="13"/>
          <w:b w:val="1"/>
          <w:bCs w:val="1"/>
          <w:color w:val="auto"/>
        </w:rPr>
        <w:t>RISK FACTORS</w:t>
      </w:r>
    </w:p>
    <w:p>
      <w:pPr>
        <w:spacing w:after="0" w:line="17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3"/>
          <w:szCs w:val="13"/>
          <w:i w:val="1"/>
          <w:iCs w:val="1"/>
          <w:color w:val="auto"/>
        </w:rPr>
        <w:t>An investment in our Class A Common Stock involves a high degree of risk. Before investing in our Class A Common Stock, you should carefully read the risk factors discussed below, the risk factors discussed under the caption “Risk Factors” in our most recent Annual Report on Form 10-K, the risk factors discussed under the caption “Risk Factors” in the accompanying prospectus and any risk factors discussed in our other filings with the SEC which are incorporated herein by reference. These risks and uncertainties are not the only risks and uncertainties we face. Additional risks and uncertainties not presently known to us, or that we currently view as immaterial, may also materially and adversely affect us. If any of the risks or uncertainties described in our most recent Annual Report on Form 10-K, the accompanying prospectus or our other filings with the SEC, or any additional risks and uncertainties, actually occur, our business, financial condition, results of operations and prospects could be materially and adversely affected. In that case, the trading price of our securities could decline, and you could lose all or part of your investment. See “Incorporation of Certain Information by Reference” and “Where You Can Find More Information” to learn how we disclose risk factors and other information in this prospectus supplement by referring you to other documents, and how you can access those documents. Please also read carefully the section titled “Cautionary Note Regarding Forward-Looking Statements.”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Risks Related to this Offering and Owning our Class A Common Stock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management will have broad discretion as to the use of the proceeds from this offering and may not use the proceeds effectively.</w:t>
      </w:r>
    </w:p>
    <w:p>
      <w:pPr>
        <w:spacing w:after="0" w:line="1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Our management will have broad discretion in the application of the net proceeds from this offering, including for any of the purposes described in the section titled “</w:t>
      </w:r>
      <w:r>
        <w:rPr>
          <w:rFonts w:ascii="Times New Roman" w:cs="Times New Roman" w:eastAsia="Times New Roman" w:hAnsi="Times New Roman"/>
          <w:sz w:val="13"/>
          <w:szCs w:val="13"/>
          <w:i w:val="1"/>
          <w:iCs w:val="1"/>
          <w:color w:val="auto"/>
        </w:rPr>
        <w:t>Use of Proceeds</w:t>
      </w:r>
      <w:r>
        <w:rPr>
          <w:rFonts w:ascii="Times New Roman" w:cs="Times New Roman" w:eastAsia="Times New Roman" w:hAnsi="Times New Roman"/>
          <w:sz w:val="13"/>
          <w:szCs w:val="13"/>
          <w:color w:val="auto"/>
        </w:rPr>
        <w:t>,”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by our management to apply these funds effectively could harm our business. Pending their use, we may invest the net proceeds from this offering in short-term, investment-grade, interest-bearing securities. These investments may not yield a favorable return to our stockholders. If we do not invest or apply the net proceeds from this offering in ways that enhance stockholder value, we may fail to achieve expected financial results, which could cause our stock price to decline.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You may experience immediate and substantial dilution in the net tangible book value per share of the Class A Common Stock you purchase.</w:t>
      </w:r>
    </w:p>
    <w:p>
      <w:pPr>
        <w:spacing w:after="0" w:line="17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3"/>
          <w:szCs w:val="13"/>
          <w:color w:val="auto"/>
        </w:rPr>
        <w:t>The offering price per share in this offering may exceed the net tangible book value per share of our Class A Common Stock outstanding prior to this offering. Assuming that an aggregate of 19,936,204 shares of our Class A Common Stock are sold at a public offering price of $25.08 per share, the last reported sale price of our Class A Common Stock on Nasdaq on June 5, 2026, for aggregate gross proceeds of $500.0 million, and after deducting commissions and estimated offering expenses payable by us, you would experience immediate dilution of $22.48 per share of Class A Common Stock, representing the difference between our as adjusted net tangible book value per share as of March 31, 2026, after giving effect to this offering, and the assumed public offering price. The exercise of outstanding stock options or vesting of RSUs may result in further dilution of your investment. See the section titled “</w:t>
      </w:r>
      <w:r>
        <w:rPr>
          <w:rFonts w:ascii="Times New Roman" w:cs="Times New Roman" w:eastAsia="Times New Roman" w:hAnsi="Times New Roman"/>
          <w:sz w:val="13"/>
          <w:szCs w:val="13"/>
          <w:i w:val="1"/>
          <w:iCs w:val="1"/>
          <w:color w:val="auto"/>
        </w:rPr>
        <w:t>Dilution</w:t>
      </w:r>
      <w:r>
        <w:rPr>
          <w:rFonts w:ascii="Times New Roman" w:cs="Times New Roman" w:eastAsia="Times New Roman" w:hAnsi="Times New Roman"/>
          <w:sz w:val="13"/>
          <w:szCs w:val="13"/>
          <w:color w:val="auto"/>
        </w:rPr>
        <w:t>” below for a more detailed illustration of the dilution you may incur if you participate in this offering.</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Because we do not anticipate paying any cash dividends on our capital stock in the foreseeable future, capital appreciation, if any, will be your sole source of gain.</w:t>
      </w:r>
    </w:p>
    <w:p>
      <w:pPr>
        <w:spacing w:after="0" w:line="17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3"/>
          <w:szCs w:val="13"/>
          <w:color w:val="auto"/>
        </w:rPr>
        <w:t>We expect to retain future earnings, if any, to fund the development and growth of our business. We have never declared or paid any cash dividends on our capital stock, and we do not currently intend to pay any cash dividends for the foreseeable future. Any future determination to pay dividends on our Class A Common Stock will be at the discretion of our board of directors and will depend upon, among other factors, our financial condition, operating results, current and anticipated cash needs, plans for expansion and other factors that our board of directors may deem relevant. See “</w:t>
      </w:r>
      <w:r>
        <w:rPr>
          <w:rFonts w:ascii="Times New Roman" w:cs="Times New Roman" w:eastAsia="Times New Roman" w:hAnsi="Times New Roman"/>
          <w:sz w:val="13"/>
          <w:szCs w:val="13"/>
          <w:i w:val="1"/>
          <w:iCs w:val="1"/>
          <w:color w:val="auto"/>
        </w:rPr>
        <w:t>Dividend Policy</w:t>
      </w:r>
      <w:r>
        <w:rPr>
          <w:rFonts w:ascii="Times New Roman" w:cs="Times New Roman" w:eastAsia="Times New Roman" w:hAnsi="Times New Roman"/>
          <w:sz w:val="13"/>
          <w:szCs w:val="13"/>
          <w:color w:val="auto"/>
        </w:rPr>
        <w:t>.” As a result, capital appreciation, if any, of our Class A Common Stock will be your sole source of gain for the foreseeable future.</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3"/>
          <w:szCs w:val="13"/>
          <w:b w:val="1"/>
          <w:bCs w:val="1"/>
          <w:i w:val="1"/>
          <w:iCs w:val="1"/>
          <w:color w:val="auto"/>
        </w:rPr>
        <w:t>The actual number of shares of Class A Common Stock we will issue under the Sales Agreement, at any one time or in total, is uncertain.</w:t>
      </w:r>
    </w:p>
    <w:p>
      <w:pPr>
        <w:spacing w:after="0" w:line="17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3"/>
          <w:szCs w:val="13"/>
          <w:color w:val="auto"/>
        </w:rPr>
        <w:t>Subject to certain limitations in the Sales Agreement and compliance with applicable law, we have the discretion to deliver a placement notice to the Sales Agents at any time throughout the term of the Sales Agreement. The number of shares that are sold by the Sales Agents after delivering a placement notice will fluctuate based on the market price of our Class A Common Stock during the sales period and limits we set with the Sales Agents. Because the price per share of each share sold will fluctuate based on the market price of our Class A Common Stock during the sales period, it is not possible at this stage to predict the number of shares that will be ultimately issued.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Class A Common Stock offered hereby will be sold in at the market offerings, and investors who buy shares at different times will likely pay different prices.</w:t>
      </w:r>
    </w:p>
    <w:p>
      <w:pPr>
        <w:spacing w:after="0" w:line="17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3"/>
          <w:szCs w:val="13"/>
          <w:color w:val="auto"/>
        </w:rPr>
        <w:t>Investors who purchase shares in this offering at different times will likely pay different prices, and so may experience different outcomes in their investment results. We will have discretion, subject to market demand, to vary the timing, prices and numbers of shares sold, and there is no minimum or maximum sales price. Investors may experience a decline in the value of their shares as a result of share sales made at prices lower than the prices they paid.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Future sales or issuances of our Class A Common Stock in the public markets, or the perception of such sales, could depress the trading price of our Class A Common Stock.</w:t>
      </w:r>
    </w:p>
    <w:p>
      <w:pPr>
        <w:spacing w:after="0" w:line="17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3"/>
          <w:szCs w:val="13"/>
          <w:color w:val="auto"/>
        </w:rPr>
        <w:t>The sale of a substantial number of shares of our Class A Common Stock or other equity-related securities in the public markets, or the perception that such sales could occur, could depress the market price of our Class A Common Stock and impair our ability to raise capital through the sale of additional equity securities. We may sell large quantities of our Class A Common Stock at any time pursuant to this prospectus supplement or in one or more separate offerings. We cannot predict the effect that future sales of Class A Common Stock or other equity-related securities would have on the market price of our Class A Common Stock.</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You may experience future dilution as a result of future equity offerings.</w:t>
      </w:r>
    </w:p>
    <w:p>
      <w:pPr>
        <w:spacing w:after="0" w:line="17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3"/>
          <w:szCs w:val="13"/>
          <w:color w:val="auto"/>
        </w:rPr>
        <w:t>In order to raise additional capital, we expect in the future to offer additional shares of Class A Common Stock or other securities convertible into or exchangeable for our shares of Class A Common Stock. We cannot assure you that we will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 The price per share at which we sell additional shares of Class A Common Stock or other securities convertible into or exchangeable for our shares of Class A Common Stock in future transactions may be higher or lower than the price per share in this offering.</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3"/>
          <w:szCs w:val="13"/>
          <w:b w:val="1"/>
          <w:bCs w:val="1"/>
          <w:color w:val="auto"/>
        </w:rPr>
        <w:t>USE OF PROCEEDS</w:t>
      </w:r>
    </w:p>
    <w:p>
      <w:pPr>
        <w:spacing w:after="0" w:line="17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3"/>
          <w:szCs w:val="13"/>
          <w:color w:val="auto"/>
        </w:rPr>
        <w:t>We currently intend to use the net proceeds from this offering of our Class A Common Stock, together with our existing cash, cash equivalents and trade receivables, for working capital and other general corporate purposes, including potential acquisitions. We may use a portion of our net proceeds to fund possible investments in and acquisitions of complementary businesses; however, we currently have no agreements or commitments to complete any such transaction.</w:t>
      </w:r>
    </w:p>
    <w:p>
      <w:pPr>
        <w:spacing w:after="0" w:line="12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3"/>
          <w:szCs w:val="13"/>
          <w:color w:val="auto"/>
        </w:rPr>
        <w:t>The amounts and timing of our actual expenditures will depend on numerous factors. We may find it necessary or advisable to use portions of the net proceeds for other purposes, and we will have broad discretion in the application and allocation of the net proceeds from this offering. Pending these uses, we may invest our net proceeds from this offering primarily in investment-grade, interest-bearing securities.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3"/>
          <w:szCs w:val="13"/>
          <w:b w:val="1"/>
          <w:bCs w:val="1"/>
          <w:color w:val="auto"/>
        </w:rPr>
        <w:t>DILUTION</w:t>
      </w:r>
    </w:p>
    <w:p>
      <w:pPr>
        <w:spacing w:after="0" w:line="17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color w:val="auto"/>
        </w:rPr>
        <w:t>If you invest in our Class A Common Stock in this offering, your interest will be immediately diluted to the extent of the difference between the public offering price per share of our Class A Common Stock in this offering and the as adjusted net tangible book value per share of our Class A Common Stock immediately after this offering.</w:t>
      </w:r>
    </w:p>
    <w:p>
      <w:pPr>
        <w:spacing w:after="0" w:line="11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3"/>
          <w:szCs w:val="13"/>
          <w:color w:val="auto"/>
        </w:rPr>
        <w:t>Our historical net tangible book value at March 31, 2026 was $208.3 million, or $0.90 per share of Class A Common Stock. Net tangible book value per share represents the total amount of our net tangible book value (tangible assets reduced by the total amount of our liabilities) divided by the number of shares outstanding on March 31, 2026 of 232,004,922 shares. Dilution in net tangible book value per share represents the difference between the price per share to be paid for the Class A Common Stock sold by us in this offering and the as adjusted net tangible book value per share of our Class A Common Stock immediately after this offering.</w:t>
      </w:r>
    </w:p>
    <w:p>
      <w:pPr>
        <w:spacing w:after="0" w:line="13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3"/>
          <w:szCs w:val="13"/>
          <w:color w:val="auto"/>
        </w:rPr>
        <w:t>After giving effect to (i) the sale of shares of Class A Common Stock in the aggregate amount of $500.0 million in this offering at an assumed public offering price of $25.08 per share, the last reported sale price of our Class A Common Stock on Nasdaq on June 5, 2026, and after deducting commissions and estimated offering expenses, our as adjusted net tangible book value as of March 31, 2026 would have been approximately $699.3 million, or $2.60 per share. This represents an immediate increase in net tangible book value of $1.70 per share to our existing stockholders and an immediate dilution in net tangible book value of $22.48 per share to new investors participating in this offering. The following table illustrates this per share dilution:</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Assumed public offering price per share</w:t>
            </w:r>
          </w:p>
        </w:tc>
        <w:tc>
          <w:tcPr>
            <w:tcW w:w="540" w:type="dxa"/>
            <w:vAlign w:val="bottom"/>
            <w:shd w:val="clear" w:color="auto" w:fill="CCEEFF"/>
          </w:tcPr>
          <w:p>
            <w:pPr>
              <w:spacing w:after="0"/>
              <w:rPr>
                <w:sz w:val="14"/>
                <w:szCs w:val="14"/>
                <w:color w:val="auto"/>
              </w:rPr>
            </w:pPr>
          </w:p>
        </w:tc>
        <w:tc>
          <w:tcPr>
            <w:tcW w:w="1320" w:type="dxa"/>
            <w:vAlign w:val="bottom"/>
            <w:gridSpan w:val="3"/>
            <w:shd w:val="clear" w:color="auto" w:fill="CCEEFF"/>
          </w:tcPr>
          <w:p>
            <w:pPr>
              <w:jc w:val="right"/>
              <w:ind w:right="353"/>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25.08</w:t>
            </w:r>
          </w:p>
        </w:tc>
        <w:tc>
          <w:tcPr>
            <w:tcW w:w="100" w:type="dxa"/>
            <w:vAlign w:val="bottom"/>
            <w:shd w:val="clear" w:color="auto" w:fill="CCEEFF"/>
          </w:tcPr>
          <w:p>
            <w:pPr>
              <w:spacing w:after="0"/>
              <w:rPr>
                <w:sz w:val="14"/>
                <w:szCs w:val="14"/>
                <w:color w:val="auto"/>
              </w:rPr>
            </w:pPr>
          </w:p>
        </w:tc>
      </w:tr>
      <w:tr>
        <w:trPr>
          <w:trHeight w:val="162"/>
        </w:trPr>
        <w:tc>
          <w:tcPr>
            <w:tcW w:w="8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tangible book value per share as of March 31, 2026</w:t>
            </w:r>
          </w:p>
        </w:tc>
        <w:tc>
          <w:tcPr>
            <w:tcW w:w="540" w:type="dxa"/>
            <w:vAlign w:val="bottom"/>
          </w:tcPr>
          <w:p>
            <w:pPr>
              <w:jc w:val="right"/>
              <w:ind w:right="393"/>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0.90</w:t>
            </w: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Increase in net tangible book value per share attributable to new investors purchasing our Class A Common Stock in this offering</w:t>
            </w:r>
          </w:p>
        </w:tc>
        <w:tc>
          <w:tcPr>
            <w:tcW w:w="5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1.70</w:t>
            </w:r>
          </w:p>
        </w:tc>
        <w:tc>
          <w:tcPr>
            <w:tcW w:w="5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8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As adjusted net tangible book value per share after this offering</w:t>
            </w:r>
          </w:p>
        </w:tc>
        <w:tc>
          <w:tcPr>
            <w:tcW w:w="5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2.60</w:t>
            </w:r>
          </w:p>
        </w:tc>
      </w:tr>
      <w:tr>
        <w:trPr>
          <w:trHeight w:val="162"/>
        </w:trPr>
        <w:tc>
          <w:tcPr>
            <w:tcW w:w="8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Dilution per share to new investors purchasing our Class A Common Stock in this offering</w:t>
            </w:r>
          </w:p>
        </w:tc>
        <w:tc>
          <w:tcPr>
            <w:tcW w:w="540" w:type="dxa"/>
            <w:vAlign w:val="bottom"/>
            <w:tcBorders>
              <w:top w:val="single" w:sz="8" w:color="CCEEFF"/>
              <w:bottom w:val="single" w:sz="8" w:color="CCEEFF"/>
            </w:tcBorders>
            <w:shd w:val="clear" w:color="auto" w:fill="CCEEFF"/>
          </w:tcPr>
          <w:p>
            <w:pPr>
              <w:spacing w:after="0"/>
              <w:rPr>
                <w:sz w:val="14"/>
                <w:szCs w:val="14"/>
                <w:color w:val="auto"/>
              </w:rPr>
            </w:pPr>
          </w:p>
        </w:tc>
        <w:tc>
          <w:tcPr>
            <w:tcW w:w="7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8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The shares sold in this offering, if any, will be sold from time to time at various prices. An increase of $1.00 per share in the price at which the shares are sold from the assumed public offering price of $26.08 per share shown in the table above, assuming all shares of our Class A Common Stock in the aggregate amount of $500.0 million are sold at that price, would cause our as adjusted net tangible book value per share after this offering to be $2.61 per share and would increase the dilution in net tangible book value per share to new investors to $23.47 per share, after deducting commissions and estimated offering expenses. A decrease of $1.00 per share in the price at which the shares are sold from the assumed public offering price of $24.08 per share, assuming all shares of our Class A Common Stock in the aggregate amount of $500.0 million are sold at that price, would cause our as adjusted net tangible book value per share after this offering to be $2.59 per share and would decrease the dilution in net tangible book value per share to new investors to $21.49 per share, after deducting commissions and estimated offering expenses. This information is supplied for illustrative purposes only.</w:t>
      </w:r>
    </w:p>
    <w:p>
      <w:pPr>
        <w:spacing w:after="0" w:line="13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3"/>
          <w:szCs w:val="13"/>
          <w:color w:val="auto"/>
        </w:rPr>
        <w:t>The number of shares of Class A Common Stock to be outstanding immediately after this offering is based on 232,004,922 shares of our Class A Common Stock outstanding as of March 31, 2026, and excludes:</w:t>
      </w:r>
    </w:p>
    <w:p>
      <w:pPr>
        <w:spacing w:after="0" w:line="317" w:lineRule="exact"/>
        <w:rPr>
          <w:sz w:val="20"/>
          <w:szCs w:val="20"/>
          <w:color w:val="auto"/>
        </w:rPr>
      </w:pPr>
    </w:p>
    <w:p>
      <w:pPr>
        <w:ind w:left="480" w:hanging="237"/>
        <w:spacing w:after="0"/>
        <w:tabs>
          <w:tab w:leader="none" w:pos="480" w:val="left"/>
        </w:tabs>
        <w:numPr>
          <w:ilvl w:val="0"/>
          <w:numId w:val="32"/>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847,603 shares of Class A Common Stock issuable upon the exercise of stock options outstanding as of March 31, 2026, with a weighted-average exercise price of $7.97 per share;</w:t>
      </w:r>
    </w:p>
    <w:p>
      <w:pPr>
        <w:spacing w:after="0" w:line="171" w:lineRule="exact"/>
        <w:rPr>
          <w:rFonts w:ascii="Arial" w:cs="Arial" w:eastAsia="Arial" w:hAnsi="Arial"/>
          <w:sz w:val="13"/>
          <w:szCs w:val="13"/>
          <w:b w:val="1"/>
          <w:bCs w:val="1"/>
          <w:color w:val="auto"/>
        </w:rPr>
      </w:pPr>
    </w:p>
    <w:p>
      <w:pPr>
        <w:ind w:left="480" w:hanging="237"/>
        <w:spacing w:after="0"/>
        <w:tabs>
          <w:tab w:leader="none" w:pos="480" w:val="left"/>
        </w:tabs>
        <w:numPr>
          <w:ilvl w:val="0"/>
          <w:numId w:val="32"/>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9,567,000 shares of Class A Common Stock issuable upon the vesting and settlement of restricted stock units (“</w:t>
      </w:r>
      <w:r>
        <w:rPr>
          <w:rFonts w:ascii="Times New Roman" w:cs="Times New Roman" w:eastAsia="Times New Roman" w:hAnsi="Times New Roman"/>
          <w:sz w:val="13"/>
          <w:szCs w:val="13"/>
          <w:i w:val="1"/>
          <w:iCs w:val="1"/>
          <w:color w:val="auto"/>
        </w:rPr>
        <w:t>RSUs</w:t>
      </w:r>
      <w:r>
        <w:rPr>
          <w:rFonts w:ascii="Times New Roman" w:cs="Times New Roman" w:eastAsia="Times New Roman" w:hAnsi="Times New Roman"/>
          <w:sz w:val="13"/>
          <w:szCs w:val="13"/>
          <w:color w:val="auto"/>
        </w:rPr>
        <w:t>”) outstanding as of March 31, 2026;</w:t>
      </w:r>
    </w:p>
    <w:p>
      <w:pPr>
        <w:spacing w:after="0" w:line="175" w:lineRule="exact"/>
        <w:rPr>
          <w:rFonts w:ascii="Arial" w:cs="Arial" w:eastAsia="Arial" w:hAnsi="Arial"/>
          <w:sz w:val="13"/>
          <w:szCs w:val="13"/>
          <w:b w:val="1"/>
          <w:bCs w:val="1"/>
          <w:color w:val="auto"/>
        </w:rPr>
      </w:pPr>
    </w:p>
    <w:p>
      <w:pPr>
        <w:ind w:left="480" w:hanging="237"/>
        <w:spacing w:after="0"/>
        <w:tabs>
          <w:tab w:leader="none" w:pos="480" w:val="left"/>
        </w:tabs>
        <w:numPr>
          <w:ilvl w:val="0"/>
          <w:numId w:val="32"/>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407,673 shares of Class A Common Stock issuable upon the vesting and settlement of RSUs granted after March 31, 2026 and prior to the date hereof;</w:t>
      </w:r>
    </w:p>
    <w:p>
      <w:pPr>
        <w:spacing w:after="0" w:line="173" w:lineRule="exact"/>
        <w:rPr>
          <w:rFonts w:ascii="Arial" w:cs="Arial" w:eastAsia="Arial" w:hAnsi="Arial"/>
          <w:sz w:val="13"/>
          <w:szCs w:val="13"/>
          <w:b w:val="1"/>
          <w:bCs w:val="1"/>
          <w:color w:val="auto"/>
        </w:rPr>
      </w:pPr>
    </w:p>
    <w:p>
      <w:pPr>
        <w:ind w:left="480" w:hanging="237"/>
        <w:spacing w:after="0" w:line="298" w:lineRule="auto"/>
        <w:tabs>
          <w:tab w:leader="none" w:pos="480" w:val="left"/>
        </w:tabs>
        <w:numPr>
          <w:ilvl w:val="0"/>
          <w:numId w:val="32"/>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16,334,527 shares of Class A Common Stock reserved as of March 31, 2026 for issuance upon vesting or settlement of future awards under the Navitas Semiconductor Corporation 2021 Equity Incentive Plan;</w:t>
      </w:r>
    </w:p>
    <w:p>
      <w:pPr>
        <w:spacing w:after="0" w:line="113" w:lineRule="exact"/>
        <w:rPr>
          <w:rFonts w:ascii="Arial" w:cs="Arial" w:eastAsia="Arial" w:hAnsi="Arial"/>
          <w:sz w:val="13"/>
          <w:szCs w:val="13"/>
          <w:b w:val="1"/>
          <w:bCs w:val="1"/>
          <w:color w:val="auto"/>
        </w:rPr>
      </w:pPr>
    </w:p>
    <w:p>
      <w:pPr>
        <w:ind w:left="480" w:hanging="237"/>
        <w:spacing w:after="0"/>
        <w:tabs>
          <w:tab w:leader="none" w:pos="480" w:val="left"/>
        </w:tabs>
        <w:numPr>
          <w:ilvl w:val="0"/>
          <w:numId w:val="32"/>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1,074,104 shares of Class A Common Stock reserved as of March 31, 2026 for future issuance under the Navitas Semiconductor 2022 Employee Stock Purchase Plan; and</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41" w:name="page42"/>
    <w:bookmarkEnd w:id="41"/>
    <w:p>
      <w:pPr>
        <w:ind w:left="480" w:hanging="237"/>
        <w:spacing w:after="0"/>
        <w:tabs>
          <w:tab w:leader="none" w:pos="480" w:val="left"/>
        </w:tabs>
        <w:numPr>
          <w:ilvl w:val="0"/>
          <w:numId w:val="33"/>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10,000,000 shares of Class A Common Stock issuable upon the fulfillment of certain earnout milestones as of March 31, 2026.</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Except as otherwise indicated, all information in this prospectus supplement assumes that there is no exercise of outstanding stock options or vesting and settlement of RSUs referred to above.</w:t>
      </w:r>
    </w:p>
    <w:p>
      <w:pPr>
        <w:spacing w:after="0" w:line="174"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3"/>
          <w:szCs w:val="13"/>
          <w:color w:val="auto"/>
        </w:rPr>
        <w:t>In addition, we may choose to raise additional capital due to market conditions or strategic considerations, even if we believe we have sufficient funds for our current or future operating plans. To the extent that additional capital is raised through the sale of equity or debt securities, the issuance of these securities could result in further dilution to our stockholders.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3" w:right="31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3"/>
          <w:szCs w:val="13"/>
          <w:b w:val="1"/>
          <w:bCs w:val="1"/>
          <w:color w:val="auto"/>
        </w:rPr>
        <w:t>DIVIDEND POLICY</w:t>
      </w:r>
    </w:p>
    <w:p>
      <w:pPr>
        <w:spacing w:after="0" w:line="17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3"/>
          <w:szCs w:val="13"/>
          <w:color w:val="auto"/>
        </w:rPr>
        <w:t>We have never declared or paid any cash dividends on our capital stock, and we do not currently intend to pay any cash dividends for the foreseeable future. We expect to retain future earnings, if any, to fund the development and growth of our business. Any future determination to pay dividends on our Class A Common Stock will be at the discretion of our board of directors and will depend upon, among other factors, our financial condition, operating results, current and anticipated cash needs, plans for expansion and other factors that our board of directors may deem relevant. In order for us to pay dividends or other distributions to our stockholders, we would rely on payments from our operating subsidiaries.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3"/>
          <w:szCs w:val="13"/>
          <w:b w:val="1"/>
          <w:bCs w:val="1"/>
          <w:color w:val="auto"/>
        </w:rPr>
        <w:t>PLAN OF DISTRIBUTION</w:t>
      </w:r>
    </w:p>
    <w:p>
      <w:pPr>
        <w:spacing w:after="0" w:line="17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3"/>
          <w:szCs w:val="13"/>
          <w:color w:val="auto"/>
        </w:rPr>
        <w:t>On June 8, 2026, we entered into a Sales Agreement with the Sales Agents under which we may offer and sell shares of our Class A Common Stock from time to time through the Sales Agents acting as agents or principals. Pursuant to this prospectus supplement, we may offer and sell up to $500.0 million of our shares of Class A Common Stock. Sales of our shares of Class A Common Stock, if any, under this prospectus supplement and the accompanying prospectus will be made by any method that is deemed to be an “at the market offering” as defined in Rule 415(a)(4) under the Securities Act.</w:t>
      </w:r>
    </w:p>
    <w:p>
      <w:pPr>
        <w:spacing w:after="0" w:line="12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3"/>
          <w:szCs w:val="13"/>
          <w:color w:val="auto"/>
        </w:rPr>
        <w:t>Each time we wish to issue and sell shares of our Class A Common Stock under the Sales Agreement, we will notify the Sales Agents of the number of shares to be issued, the dates on which such sales are anticipated to be made, any limitation on the number of shares to be sold in any one day and any minimum price below which sales may not be made. Once we have so instructed the Sales Agents, unless the Sales Agents decline to accept the terms of such notice, the Sales Agents have agreed to use their commercially reasonable efforts consistent with their normal trading and sales practices to sell such shares up to the amount specified on such terms. The obligations of the Sales Agents under the Sales Agreement to sell shares of our Class A Common Stock are subject to a number of conditions that we must meet.</w:t>
      </w:r>
    </w:p>
    <w:p>
      <w:pPr>
        <w:spacing w:after="0" w:line="13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3"/>
          <w:szCs w:val="13"/>
          <w:color w:val="auto"/>
        </w:rPr>
        <w:t>The settlement of sales of shares between us and the Sales Agents is generally anticipated to occur on the first trading day following the date on which the sale was made. Sales of our shares of Class A Common Stock as contemplated in this prospectus supplement will be settled through the facilities of The Depository Trust Company or by such other means as we and the Sales Agents may agree upon. There is no arrangement for funds to be received in an escrow, trust or similar arrangement.</w:t>
      </w:r>
    </w:p>
    <w:p>
      <w:pPr>
        <w:spacing w:after="0" w:line="12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3"/>
          <w:szCs w:val="13"/>
          <w:color w:val="auto"/>
        </w:rPr>
        <w:t>We will pay the Sales Agents a commission of up to 3.0% of the aggregate gross proceeds we receive from each sale of our shares of Class A Common Stock. Because there is no minimum offering amount required as a condition to close this offering, the actual total public offering amount, commissions and proceeds to us, if any, are not determinable at this time. In addition, we have agreed to reimburse the Sales Agents for the fees and disbursements of its counsel in connection with execution of the Sales Agreement, in an amount not to exceed $100,000, in addition to certain ongoing disbursements of its legal counsel, unless we and the Sales Agents otherwise agree. We estimate that the total expenses for the offering, excluding any commissions or expense reimbursement payable to the Sales Agents under the terms of the Sales Agreement, will be approximately $500,000. The remaining sale proceeds, after deducting any other transaction fees, will equal our net proceeds from the sale of such shares.</w:t>
      </w:r>
    </w:p>
    <w:p>
      <w:pPr>
        <w:spacing w:after="0" w:line="132"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color w:val="auto"/>
        </w:rPr>
        <w:t>The Sales Agents will provide written confirmation to us before the opening of trading on The Nasdaq Global Market on the day following each day on which shares of Class A Common Stock are sold under the Sales Agreement. Each confirmation will include the number of shares sold on that day, the aggregate gross proceeds of such sales and the proceeds to us.</w:t>
      </w:r>
    </w:p>
    <w:p>
      <w:pPr>
        <w:spacing w:after="0" w:line="11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3"/>
          <w:szCs w:val="13"/>
          <w:color w:val="auto"/>
        </w:rPr>
        <w:t>In connection with the sale of the shares of Class A Common Stock on our behalf, each of the Sales Agents may be deemed to be an “underwriter” within the meaning of the Securities Act, and the compensation of the Sales Agents may be deemed to be underwriting commissions or discounts. We have agreed to indemnify the Sales Agents against certain civil liabilities, including liabilities under the Securities Act. We have also agreed to contribute to payments the Sales Agents may be required to make in respect of such liabilities.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offering of our shares of Class A Common Stock pursuant to the Sales Agreement will terminate as permitted therein.</w:t>
      </w:r>
    </w:p>
    <w:p>
      <w:pPr>
        <w:spacing w:after="0" w:line="174"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color w:val="auto"/>
        </w:rPr>
        <w:t>This summary of the material provisions of the Sales Agreement does not purport to be a complete statement of its terms and conditions. A copy of the Sales Agreement is being filed as an exhibit to a registration statement of which this prospectus supplement forms a part.</w:t>
      </w:r>
    </w:p>
    <w:p>
      <w:pPr>
        <w:spacing w:after="0" w:line="11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3"/>
          <w:szCs w:val="13"/>
          <w:color w:val="auto"/>
        </w:rPr>
        <w:t>The Sales Agents and their respective affiliates may in the future provide various investment banking, commercial banking, financial advisory and other financial services for us and our affiliates, for which services they may in the future receive customary fees. In the course of their business, the Sales Agents may actively trade our securities for their own account or for the accounts of customers, and, accordingly, the Sales Agents may at any time hold long or short positions in such securities.</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3"/>
          <w:szCs w:val="13"/>
          <w:b w:val="1"/>
          <w:bCs w:val="1"/>
          <w:color w:val="auto"/>
        </w:rPr>
        <w:t>LEGAL MATTERS</w:t>
      </w:r>
    </w:p>
    <w:p>
      <w:pPr>
        <w:spacing w:after="0" w:line="17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color w:val="auto"/>
        </w:rPr>
        <w:t>The validity of the Class A Common Stock offered by this prospectus supplement and the accompanying prospectus will be passed upon for us by Cozen O’Connor, New York, New York. The Sales Agents are being represented in connection with this offering by Cooley LLP, New York, New York.</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EXPERTS</w:t>
      </w:r>
    </w:p>
    <w:p>
      <w:pPr>
        <w:spacing w:after="0" w:line="17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3"/>
          <w:szCs w:val="13"/>
          <w:color w:val="auto"/>
        </w:rPr>
        <w:t>The consolidated financial statements of the Company as of December 31, 2025 and for the year then ended, incorporated in this prospectus supplement by reference from our Annual Report on Form 10-K for the fiscal year ended December 31, 2025, have been audited by KPMG LLP, an independent registered public accounting firm, as stated in their report, which is incorporated herein by reference. Such consolidated financial statements are incorporated by reference in reliance upon the report of such firm given their authority as experts in accounting and auditing.</w:t>
      </w:r>
    </w:p>
    <w:p>
      <w:pPr>
        <w:spacing w:after="0" w:line="12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3"/>
          <w:szCs w:val="13"/>
          <w:color w:val="auto"/>
        </w:rPr>
        <w:t>The consolidated financial statements of the Company as of December 31, 2024 and for the year then ended, incorporated in this prospectus supplement by reference from our Annual Report on Form 10-K for the fiscal year ended December 31, 2025, have been audited by Baker Tilly US, LLP, an independent registered public accounting firm, as stated in their report, which is incorporated herein by reference. Such consolidated financial statements are incorporated by reference in reliance upon the report of such firm given their authority as experts in accounting and auditing.</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INCORPORATION OF CERTAIN INFORMATION BY REFERENCE</w:t>
      </w:r>
    </w:p>
    <w:p>
      <w:pPr>
        <w:spacing w:after="0" w:line="17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3"/>
          <w:szCs w:val="13"/>
          <w:color w:val="auto"/>
        </w:rPr>
        <w:t>The SEC allows us to incorporate important information into this prospectus supplement by referring you to other documents which contain that information, including documents that we have already filed with the SEC and documents that we will file later with the SEC. Any information that is incorporated by reference (or deemed incorporated by reference, as discussed below) will automatically update and supersede earlier-filed information. Because we are incorporating our future SEC filings by reference, this prospectus supplement will be continually updated by those future filings, and those future filings may modify or supersede some of the information included or incorporated by reference in this prospectus supplement. This means you must review all SEC filings that we incorporate by reference to determine if any of the statements in this prospectus supplement, or in any document previously incorporated by reference, have been modified or superseded by subsequent filings.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documents have been filed by us with the SEC and are incorporated by reference into this prospectus supplement:</w:t>
      </w:r>
    </w:p>
    <w:p>
      <w:pPr>
        <w:spacing w:after="0" w:line="174" w:lineRule="exact"/>
        <w:rPr>
          <w:sz w:val="20"/>
          <w:szCs w:val="20"/>
          <w:color w:val="auto"/>
        </w:rPr>
      </w:pPr>
    </w:p>
    <w:p>
      <w:pPr>
        <w:ind w:left="480" w:hanging="237"/>
        <w:spacing w:after="0" w:line="298" w:lineRule="auto"/>
        <w:tabs>
          <w:tab w:leader="none" w:pos="48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our Annual Report on Form 10-K for the fiscal year ended December 31, 2025, filed with the SEC on </w:t>
      </w:r>
      <w:hyperlink r:id="rId28">
        <w:r>
          <w:rPr>
            <w:rFonts w:ascii="Times New Roman" w:cs="Times New Roman" w:eastAsia="Times New Roman" w:hAnsi="Times New Roman"/>
            <w:sz w:val="13"/>
            <w:szCs w:val="13"/>
            <w:u w:val="single" w:color="auto"/>
            <w:color w:val="0000EE"/>
          </w:rPr>
          <w:t>February 27, 2026</w:t>
        </w:r>
      </w:hyperlink>
      <w:r>
        <w:rPr>
          <w:rFonts w:ascii="Times New Roman" w:cs="Times New Roman" w:eastAsia="Times New Roman" w:hAnsi="Times New Roman"/>
          <w:sz w:val="13"/>
          <w:szCs w:val="13"/>
          <w:color w:val="auto"/>
        </w:rPr>
        <w:t xml:space="preserve">, as amended by Amendment No. 1 to our Annual Report on Form 10-K/A for the fiscal year ended December 31, 2025, filed with the SEC on </w:t>
      </w:r>
      <w:hyperlink r:id="rId29">
        <w:r>
          <w:rPr>
            <w:rFonts w:ascii="Times New Roman" w:cs="Times New Roman" w:eastAsia="Times New Roman" w:hAnsi="Times New Roman"/>
            <w:sz w:val="13"/>
            <w:szCs w:val="13"/>
            <w:u w:val="single" w:color="auto"/>
            <w:color w:val="0000EE"/>
          </w:rPr>
          <w:t>April 30, 2026</w:t>
        </w:r>
      </w:hyperlink>
      <w:r>
        <w:rPr>
          <w:rFonts w:ascii="Times New Roman" w:cs="Times New Roman" w:eastAsia="Times New Roman" w:hAnsi="Times New Roman"/>
          <w:sz w:val="13"/>
          <w:szCs w:val="13"/>
          <w:color w:val="auto"/>
        </w:rPr>
        <w:t>;</w:t>
      </w:r>
    </w:p>
    <w:p>
      <w:pPr>
        <w:spacing w:after="0" w:line="113" w:lineRule="exact"/>
        <w:rPr>
          <w:rFonts w:ascii="Times New Roman" w:cs="Times New Roman" w:eastAsia="Times New Roman" w:hAnsi="Times New Roman"/>
          <w:sz w:val="13"/>
          <w:szCs w:val="13"/>
          <w:color w:val="auto"/>
        </w:rPr>
      </w:pPr>
    </w:p>
    <w:p>
      <w:pPr>
        <w:ind w:left="480" w:hanging="237"/>
        <w:spacing w:after="0"/>
        <w:tabs>
          <w:tab w:leader="none" w:pos="48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our Quarterly Report on Form 10-Q for the quarter ended March 31, 2026, filed with the SEC on </w:t>
      </w:r>
      <w:hyperlink r:id="rId30">
        <w:r>
          <w:rPr>
            <w:rFonts w:ascii="Times New Roman" w:cs="Times New Roman" w:eastAsia="Times New Roman" w:hAnsi="Times New Roman"/>
            <w:sz w:val="13"/>
            <w:szCs w:val="13"/>
            <w:u w:val="single" w:color="auto"/>
            <w:color w:val="0000EE"/>
          </w:rPr>
          <w:t>May 5, 2026</w:t>
        </w:r>
      </w:hyperlink>
      <w:r>
        <w:rPr>
          <w:rFonts w:ascii="Times New Roman" w:cs="Times New Roman" w:eastAsia="Times New Roman" w:hAnsi="Times New Roman"/>
          <w:sz w:val="13"/>
          <w:szCs w:val="13"/>
          <w:color w:val="auto"/>
        </w:rPr>
        <w:t>;</w:t>
      </w:r>
    </w:p>
    <w:p>
      <w:pPr>
        <w:spacing w:after="0" w:line="173" w:lineRule="exact"/>
        <w:rPr>
          <w:rFonts w:ascii="Times New Roman" w:cs="Times New Roman" w:eastAsia="Times New Roman" w:hAnsi="Times New Roman"/>
          <w:sz w:val="13"/>
          <w:szCs w:val="13"/>
          <w:color w:val="auto"/>
        </w:rPr>
      </w:pPr>
    </w:p>
    <w:p>
      <w:pPr>
        <w:ind w:left="480" w:hanging="237"/>
        <w:spacing w:after="0" w:line="298" w:lineRule="auto"/>
        <w:tabs>
          <w:tab w:leader="none" w:pos="480" w:val="left"/>
        </w:tabs>
        <w:numPr>
          <w:ilvl w:val="0"/>
          <w:numId w:val="34"/>
        </w:numPr>
        <w:rPr>
          <w:rFonts w:ascii="Times New Roman" w:cs="Times New Roman" w:eastAsia="Times New Roman" w:hAnsi="Times New Roman"/>
          <w:sz w:val="13"/>
          <w:szCs w:val="13"/>
          <w:color w:val="0000EE"/>
        </w:rPr>
      </w:pPr>
      <w:hyperlink r:id="rId31">
        <w:r>
          <w:rPr>
            <w:rFonts w:ascii="Times New Roman" w:cs="Times New Roman" w:eastAsia="Times New Roman" w:hAnsi="Times New Roman"/>
            <w:sz w:val="13"/>
            <w:szCs w:val="13"/>
            <w:color w:val="auto"/>
          </w:rPr>
          <w:t xml:space="preserve">our Current Reports on Form 8-K filed with the SEC on </w:t>
        </w:r>
        <w:r>
          <w:rPr>
            <w:rFonts w:ascii="Times New Roman" w:cs="Times New Roman" w:eastAsia="Times New Roman" w:hAnsi="Times New Roman"/>
            <w:sz w:val="13"/>
            <w:szCs w:val="13"/>
            <w:u w:val="single" w:color="auto"/>
            <w:color w:val="0000EE"/>
          </w:rPr>
          <w:t>February 24, 2026</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EE"/>
          </w:rPr>
          <w:t>February 24, 2026</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EE"/>
          </w:rPr>
          <w:t>March 11, 2026</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EE"/>
          </w:rPr>
          <w:t>March 17, 2026</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EE"/>
          </w:rPr>
          <w:t>April 13, 2026</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EE"/>
          </w:rPr>
          <w:t>May 4, 2026</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EE"/>
          </w:rPr>
          <w:t>May 5, 2026</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EE"/>
          </w:rPr>
          <w:t>May 11, 2026</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EE"/>
          </w:rPr>
          <w:t>May 13,</w:t>
        </w:r>
      </w:hyperlink>
      <w:r>
        <w:rPr>
          <w:rFonts w:ascii="Times New Roman" w:cs="Times New Roman" w:eastAsia="Times New Roman" w:hAnsi="Times New Roman"/>
          <w:sz w:val="13"/>
          <w:szCs w:val="13"/>
          <w:color w:val="auto"/>
        </w:rPr>
        <w:t xml:space="preserve"> </w:t>
      </w:r>
      <w:hyperlink r:id="rId31">
        <w:r>
          <w:rPr>
            <w:rFonts w:ascii="Times New Roman" w:cs="Times New Roman" w:eastAsia="Times New Roman" w:hAnsi="Times New Roman"/>
            <w:sz w:val="13"/>
            <w:szCs w:val="13"/>
            <w:u w:val="single" w:color="auto"/>
            <w:color w:val="0000EE"/>
          </w:rPr>
          <w:t>2026</w:t>
        </w:r>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EE"/>
          </w:rPr>
          <w:t xml:space="preserve"> </w:t>
        </w:r>
      </w:hyperlink>
      <w:hyperlink r:id="rId32">
        <w:r>
          <w:rPr>
            <w:rFonts w:ascii="Times New Roman" w:cs="Times New Roman" w:eastAsia="Times New Roman" w:hAnsi="Times New Roman"/>
            <w:sz w:val="13"/>
            <w:szCs w:val="13"/>
            <w:u w:val="single" w:color="auto"/>
            <w:color w:val="0000EE"/>
          </w:rPr>
          <w:t>May 22, 2026</w:t>
        </w:r>
      </w:hyperlink>
      <w:hyperlink r:id="rId31">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EE"/>
          </w:rPr>
          <w:t xml:space="preserve"> </w:t>
        </w:r>
      </w:hyperlink>
      <w:hyperlink r:id="rId33">
        <w:r>
          <w:rPr>
            <w:rFonts w:ascii="Times New Roman" w:cs="Times New Roman" w:eastAsia="Times New Roman" w:hAnsi="Times New Roman"/>
            <w:sz w:val="13"/>
            <w:szCs w:val="13"/>
            <w:u w:val="single" w:color="auto"/>
            <w:color w:val="0000EE"/>
          </w:rPr>
          <w:t xml:space="preserve">May 22, 2026 </w:t>
        </w:r>
      </w:hyperlink>
      <w:hyperlink r:id="rId31">
        <w:r>
          <w:rPr>
            <w:rFonts w:ascii="Times New Roman" w:cs="Times New Roman" w:eastAsia="Times New Roman" w:hAnsi="Times New Roman"/>
            <w:sz w:val="13"/>
            <w:szCs w:val="13"/>
            <w:color w:val="000000"/>
          </w:rPr>
          <w:t>and</w:t>
        </w:r>
        <w:r>
          <w:rPr>
            <w:rFonts w:ascii="Times New Roman" w:cs="Times New Roman" w:eastAsia="Times New Roman" w:hAnsi="Times New Roman"/>
            <w:sz w:val="13"/>
            <w:szCs w:val="13"/>
            <w:color w:val="0000EE"/>
          </w:rPr>
          <w:t xml:space="preserve"> </w:t>
        </w:r>
      </w:hyperlink>
      <w:hyperlink r:id="rId34">
        <w:r>
          <w:rPr>
            <w:rFonts w:ascii="Times New Roman" w:cs="Times New Roman" w:eastAsia="Times New Roman" w:hAnsi="Times New Roman"/>
            <w:sz w:val="13"/>
            <w:szCs w:val="13"/>
            <w:u w:val="single" w:color="auto"/>
            <w:color w:val="0000EE"/>
          </w:rPr>
          <w:t>June 4, 2026</w:t>
        </w:r>
      </w:hyperlink>
      <w:hyperlink r:id="rId31">
        <w:r>
          <w:rPr>
            <w:rFonts w:ascii="Times New Roman" w:cs="Times New Roman" w:eastAsia="Times New Roman" w:hAnsi="Times New Roman"/>
            <w:sz w:val="13"/>
            <w:szCs w:val="13"/>
            <w:color w:val="000000"/>
          </w:rPr>
          <w:t>; and</w:t>
        </w:r>
      </w:hyperlink>
    </w:p>
    <w:p>
      <w:pPr>
        <w:spacing w:after="0" w:line="113" w:lineRule="exact"/>
        <w:rPr>
          <w:rFonts w:ascii="Times New Roman" w:cs="Times New Roman" w:eastAsia="Times New Roman" w:hAnsi="Times New Roman"/>
          <w:sz w:val="13"/>
          <w:szCs w:val="13"/>
          <w:color w:val="0000EE"/>
        </w:rPr>
      </w:pPr>
    </w:p>
    <w:p>
      <w:pPr>
        <w:ind w:left="480" w:hanging="237"/>
        <w:spacing w:after="0" w:line="298" w:lineRule="auto"/>
        <w:tabs>
          <w:tab w:leader="none" w:pos="48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description of our common stock contained in our Registration Statement on Form 8-A, filed with the SEC on </w:t>
      </w:r>
      <w:hyperlink r:id="rId35">
        <w:r>
          <w:rPr>
            <w:rFonts w:ascii="Times New Roman" w:cs="Times New Roman" w:eastAsia="Times New Roman" w:hAnsi="Times New Roman"/>
            <w:sz w:val="13"/>
            <w:szCs w:val="13"/>
            <w:u w:val="single" w:color="auto"/>
            <w:color w:val="0000EE"/>
          </w:rPr>
          <w:t>October 19, 2021</w:t>
        </w:r>
      </w:hyperlink>
      <w:r>
        <w:rPr>
          <w:rFonts w:ascii="Times New Roman" w:cs="Times New Roman" w:eastAsia="Times New Roman" w:hAnsi="Times New Roman"/>
          <w:sz w:val="13"/>
          <w:szCs w:val="13"/>
          <w:color w:val="auto"/>
        </w:rPr>
        <w:t xml:space="preserve">, including any amendments filed for the purpose of updating such description, including </w:t>
      </w:r>
      <w:hyperlink r:id="rId36">
        <w:r>
          <w:rPr>
            <w:rFonts w:ascii="Times New Roman" w:cs="Times New Roman" w:eastAsia="Times New Roman" w:hAnsi="Times New Roman"/>
            <w:sz w:val="13"/>
            <w:szCs w:val="13"/>
            <w:u w:val="single" w:color="auto"/>
            <w:color w:val="0000EE"/>
          </w:rPr>
          <w:t>Exhibit 4.1</w:t>
        </w:r>
        <w:r>
          <w:rPr>
            <w:rFonts w:ascii="Times New Roman" w:cs="Times New Roman" w:eastAsia="Times New Roman" w:hAnsi="Times New Roman"/>
            <w:sz w:val="13"/>
            <w:szCs w:val="13"/>
            <w:u w:val="single" w:color="auto"/>
            <w:color w:val="auto"/>
          </w:rPr>
          <w:t xml:space="preserve"> </w:t>
        </w:r>
      </w:hyperlink>
      <w:r>
        <w:rPr>
          <w:rFonts w:ascii="Times New Roman" w:cs="Times New Roman" w:eastAsia="Times New Roman" w:hAnsi="Times New Roman"/>
          <w:sz w:val="13"/>
          <w:szCs w:val="13"/>
          <w:color w:val="auto"/>
        </w:rPr>
        <w:t>to our Annual Report on Form 10-K for the fiscal year ended December 31, 2025, as filed with the SEC on February 27, 2026.</w:t>
      </w:r>
    </w:p>
    <w:p>
      <w:pPr>
        <w:spacing w:after="0" w:line="113" w:lineRule="exact"/>
        <w:rPr>
          <w:rFonts w:ascii="Arial" w:cs="Arial" w:eastAsia="Arial" w:hAnsi="Arial"/>
          <w:sz w:val="13"/>
          <w:szCs w:val="13"/>
          <w:b w:val="1"/>
          <w:bCs w:val="1"/>
          <w:color w:val="auto"/>
        </w:rPr>
      </w:pPr>
    </w:p>
    <w:p>
      <w:pPr>
        <w:jc w:val="both"/>
        <w:spacing w:after="0" w:line="279" w:lineRule="auto"/>
        <w:rPr>
          <w:sz w:val="20"/>
          <w:szCs w:val="20"/>
          <w:color w:val="auto"/>
        </w:rPr>
      </w:pPr>
      <w:r>
        <w:rPr>
          <w:rFonts w:ascii="Times New Roman" w:cs="Times New Roman" w:eastAsia="Times New Roman" w:hAnsi="Times New Roman"/>
          <w:sz w:val="13"/>
          <w:szCs w:val="13"/>
          <w:color w:val="auto"/>
        </w:rPr>
        <w:t>In addition, all documents we subsequently file with the SEC (other than any portion of such filings that are furnished under applicable SEC rules rather than filed) pursuant to Sections 13(a), 13(c), 14 and 15(d) of the Exchange Act, after the date of this prospectus supplement and before termination or completion of the offering of the securities described in this prospectus supplement will be deemed to be incorporated by reference into this prospectus supplement and to be part of this prospectus supplement from the date of filing of such reports and documents.</w:t>
      </w:r>
    </w:p>
    <w:p>
      <w:pPr>
        <w:spacing w:after="0" w:line="287" w:lineRule="exact"/>
        <w:rPr>
          <w:rFonts w:ascii="Arial" w:cs="Arial" w:eastAsia="Arial" w:hAnsi="Arial"/>
          <w:sz w:val="13"/>
          <w:szCs w:val="13"/>
          <w:b w:val="1"/>
          <w:bCs w:val="1"/>
          <w:color w:val="auto"/>
        </w:rPr>
      </w:pPr>
    </w:p>
    <w:p>
      <w:pPr>
        <w:jc w:val="center"/>
        <w:spacing w:after="0"/>
        <w:rPr>
          <w:sz w:val="20"/>
          <w:szCs w:val="20"/>
          <w:color w:val="auto"/>
        </w:rPr>
      </w:pPr>
      <w:r>
        <w:rPr>
          <w:rFonts w:ascii="Times New Roman" w:cs="Times New Roman" w:eastAsia="Times New Roman" w:hAnsi="Times New Roman"/>
          <w:sz w:val="13"/>
          <w:szCs w:val="13"/>
          <w:color w:val="auto"/>
        </w:rPr>
        <w:t>S-10</w:t>
      </w:r>
    </w:p>
    <w:p>
      <w:pPr>
        <w:spacing w:after="0" w:line="20" w:lineRule="exact"/>
        <w:rPr>
          <w:rFonts w:ascii="Arial" w:cs="Arial" w:eastAsia="Arial" w:hAnsi="Arial"/>
          <w:sz w:val="13"/>
          <w:szCs w:val="13"/>
          <w:b w:val="1"/>
          <w:bCs w:val="1"/>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45" w:name="page46"/>
    <w:bookmarkEnd w:id="45"/>
    <w:p>
      <w:pPr>
        <w:jc w:val="both"/>
        <w:spacing w:after="0" w:line="272" w:lineRule="auto"/>
        <w:rPr>
          <w:sz w:val="20"/>
          <w:szCs w:val="20"/>
          <w:color w:val="auto"/>
        </w:rPr>
      </w:pPr>
      <w:r>
        <w:rPr>
          <w:rFonts w:ascii="Times New Roman" w:cs="Times New Roman" w:eastAsia="Times New Roman" w:hAnsi="Times New Roman"/>
          <w:sz w:val="13"/>
          <w:szCs w:val="13"/>
          <w:color w:val="auto"/>
        </w:rPr>
        <w:t>You should not assume that the information in this prospectus supplement or any document incorporated by reference is accurate as of any date other than the date of the applicable document. Any statement contained in a document incorporated or deemed to be incorporated by reference into this prospectus supplement will be deemed to be modified or superseded, for purposes of this prospectus supplement, to the extent that a statement contained in this prospectus supplement or any other subsequently filed document that is deemed to be incorporated by reference into this prospectus supplement, modifies or supersedes the statement. Any statement so modified or superseded will be deemed not to constitute a part of this prospectus supplement except as so modified or superseded.</w:t>
      </w:r>
    </w:p>
    <w:p>
      <w:pPr>
        <w:spacing w:after="0" w:line="13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3"/>
          <w:szCs w:val="13"/>
          <w:color w:val="auto"/>
        </w:rPr>
        <w:t>We will provide each person, including any beneficial owner, to whom a prospectus supplement is delivered, with a copy of all of the information that has been incorporated by reference in this prospectus supplement but not delivered with the prospectus supplement. You may obtain copies of these filings, at no cost, through the “Investor Relations” section of our website (https://ir.navitassemi.com) and you may request a copy of these filings (other than an exhibit to any filing unless we have specifically incorporated that exhibit by reference into the filing), at no cost, by writing or telephoning us at the following address: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Navitas Semiconductor Corporation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3520 Challenger Street</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Torrance, California 90503-1640</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Attention: Corporate Secretary</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Telephone: (844) 654-2642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WHERE YOU CAN FIND MORE INFORMATION</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This prospectus supplement and the accompanying prospectus are part of the Registration Statement that we have filed with the SEC under the Securities Act with respect to the securities offered by this prospectus supplement and do not contain all of the information set forth in the Registration Statement. This prospectus supplement and the accompanying prospectus omit certain information, exhibits, schedules and undertakings set forth in the Registration Statement. For further information pertaining to us and the shares of Class A Common Stock offered in this prospectus supplement, reference is made to that Registration Statement and the exhibits and schedules to the Registration Statement. Statements contained in this prospectus supplement and the accompanying prospectus as to the contents or provisions of any documents referred to in this prospectus supplement are not necessarily complete, and in each instance where a copy of the document has been filed as an exhibit to the Registration Statement, reference is made to the exhibit for a more complete description of the matters involved.</w:t>
      </w:r>
    </w:p>
    <w:p>
      <w:pPr>
        <w:spacing w:after="0" w:line="13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3"/>
          <w:szCs w:val="13"/>
          <w:color w:val="auto"/>
        </w:rPr>
        <w:t>We are subject to the reporting requirements of the Exchange Act and are required to file with the SEC annual, quarterly and current reports, proxy statements and other information. Our SEC filings, including the Registration Statement, are available to the public over the Internet at the SEC’s website at http://www.sec.gov. Copies of certain information filed by us with the SEC are also available on our website at https://ir.navitassemi.com, as soon as reasonably practicable after we file them with, or furnish them to, the SEC. Our website is not a part of this prospectus and the information contained on, or accessible through, our website is not incorporated by reference in this prospectus supplement.</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3" w:right="319" w:bottom="1440" w:gutter="0" w:footer="0" w:header="0"/>
        </w:sectPr>
      </w:pPr>
    </w:p>
    <w:bookmarkStart w:id="46" w:name="page47"/>
    <w:bookmarkEnd w:id="46"/>
    <w:p>
      <w:pPr>
        <w:spacing w:after="0" w:line="3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2635885</wp:posOffset>
            </wp:positionH>
            <wp:positionV relativeFrom="page">
              <wp:posOffset>461010</wp:posOffset>
            </wp:positionV>
            <wp:extent cx="2258695" cy="5391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2258695" cy="53911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3"/>
          <w:szCs w:val="13"/>
          <w:b w:val="1"/>
          <w:bCs w:val="1"/>
          <w:color w:val="auto"/>
        </w:rPr>
        <w:t>Navitas Semiconductor Corporation</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Up to $500,000,000</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Class A Common Stock</w:t>
      </w:r>
    </w:p>
    <w:p>
      <w:pPr>
        <w:spacing w:after="0" w:line="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3"/>
          <w:szCs w:val="13"/>
          <w:color w:val="auto"/>
        </w:rPr>
        <w:t>____________________________________</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PROSPECTUS SUPPLEMENT</w:t>
      </w:r>
    </w:p>
    <w:p>
      <w:pPr>
        <w:spacing w:after="0" w:line="2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3"/>
          <w:szCs w:val="13"/>
          <w:color w:val="auto"/>
        </w:rPr>
        <w:t>____________________________________</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3960" w:type="dxa"/>
            <w:vAlign w:val="bottom"/>
          </w:tcPr>
          <w:p>
            <w:pPr>
              <w:ind w:left="900"/>
              <w:spacing w:after="0"/>
              <w:rPr>
                <w:sz w:val="20"/>
                <w:szCs w:val="20"/>
                <w:color w:val="auto"/>
              </w:rPr>
            </w:pPr>
            <w:r>
              <w:rPr>
                <w:rFonts w:ascii="Times New Roman" w:cs="Times New Roman" w:eastAsia="Times New Roman" w:hAnsi="Times New Roman"/>
                <w:sz w:val="22"/>
                <w:szCs w:val="22"/>
                <w:b w:val="1"/>
                <w:bCs w:val="1"/>
                <w:color w:val="auto"/>
              </w:rPr>
              <w:t>UBS Investment Bank</w:t>
            </w:r>
          </w:p>
        </w:tc>
        <w:tc>
          <w:tcPr>
            <w:tcW w:w="3460" w:type="dxa"/>
            <w:vAlign w:val="bottom"/>
          </w:tcPr>
          <w:p>
            <w:pPr>
              <w:ind w:left="1000"/>
              <w:spacing w:after="0"/>
              <w:rPr>
                <w:sz w:val="20"/>
                <w:szCs w:val="20"/>
                <w:color w:val="auto"/>
              </w:rPr>
            </w:pPr>
            <w:r>
              <w:rPr>
                <w:rFonts w:ascii="Times New Roman" w:cs="Times New Roman" w:eastAsia="Times New Roman" w:hAnsi="Times New Roman"/>
                <w:sz w:val="22"/>
                <w:szCs w:val="22"/>
                <w:b w:val="1"/>
                <w:bCs w:val="1"/>
                <w:color w:val="auto"/>
              </w:rPr>
              <w:t>Morgan Stanley</w:t>
            </w:r>
          </w:p>
        </w:tc>
        <w:tc>
          <w:tcPr>
            <w:tcW w:w="3860" w:type="dxa"/>
            <w:vAlign w:val="bottom"/>
          </w:tcPr>
          <w:p>
            <w:pPr>
              <w:ind w:left="980"/>
              <w:spacing w:after="0"/>
              <w:rPr>
                <w:sz w:val="20"/>
                <w:szCs w:val="20"/>
                <w:color w:val="auto"/>
              </w:rPr>
            </w:pPr>
            <w:r>
              <w:rPr>
                <w:rFonts w:ascii="Times New Roman" w:cs="Times New Roman" w:eastAsia="Times New Roman" w:hAnsi="Times New Roman"/>
                <w:sz w:val="22"/>
                <w:szCs w:val="22"/>
                <w:b w:val="1"/>
                <w:bCs w:val="1"/>
                <w:color w:val="auto"/>
              </w:rPr>
              <w:t>Needham &amp; Company</w:t>
            </w:r>
          </w:p>
        </w:tc>
      </w:tr>
      <w:tr>
        <w:trPr>
          <w:trHeight w:val="320"/>
        </w:trPr>
        <w:tc>
          <w:tcPr>
            <w:tcW w:w="3960" w:type="dxa"/>
            <w:vAlign w:val="bottom"/>
          </w:tcPr>
          <w:p>
            <w:pPr>
              <w:spacing w:after="0"/>
              <w:rPr>
                <w:sz w:val="24"/>
                <w:szCs w:val="24"/>
                <w:color w:val="auto"/>
              </w:rPr>
            </w:pPr>
          </w:p>
        </w:tc>
        <w:tc>
          <w:tcPr>
            <w:tcW w:w="3460" w:type="dxa"/>
            <w:vAlign w:val="bottom"/>
          </w:tcPr>
          <w:p>
            <w:pPr>
              <w:ind w:left="1320"/>
              <w:spacing w:after="0"/>
              <w:rPr>
                <w:sz w:val="20"/>
                <w:szCs w:val="20"/>
                <w:color w:val="auto"/>
              </w:rPr>
            </w:pPr>
            <w:r>
              <w:rPr>
                <w:rFonts w:ascii="Times New Roman" w:cs="Times New Roman" w:eastAsia="Times New Roman" w:hAnsi="Times New Roman"/>
                <w:sz w:val="13"/>
                <w:szCs w:val="13"/>
                <w:b w:val="1"/>
                <w:bCs w:val="1"/>
                <w:color w:val="auto"/>
              </w:rPr>
              <w:t>June 8, 2026</w:t>
            </w:r>
          </w:p>
        </w:tc>
        <w:tc>
          <w:tcPr>
            <w:tcW w:w="3860" w:type="dxa"/>
            <w:vAlign w:val="bottom"/>
          </w:tcPr>
          <w:p>
            <w:pPr>
              <w:spacing w:after="0"/>
              <w:rPr>
                <w:sz w:val="24"/>
                <w:szCs w:val="24"/>
                <w:color w:val="auto"/>
              </w:rPr>
            </w:pPr>
          </w:p>
        </w:tc>
      </w:tr>
      <w:tr>
        <w:trPr>
          <w:trHeight w:val="506"/>
        </w:trPr>
        <w:tc>
          <w:tcPr>
            <w:tcW w:w="39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440" w:right="319" w:bottom="1440" w:gutter="0" w:footer="0" w:header="0"/>
        </w:sectPr>
      </w:pPr>
    </w:p>
    <w:bookmarkStart w:id="47" w:name="page48"/>
    <w:bookmarkEnd w:id="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80" w:type="dxa"/>
            <w:vAlign w:val="bottom"/>
          </w:tcPr>
          <w:p>
            <w:pPr>
              <w:spacing w:after="0"/>
              <w:rPr>
                <w:sz w:val="14"/>
                <w:szCs w:val="14"/>
                <w:color w:val="auto"/>
              </w:rPr>
            </w:pPr>
          </w:p>
        </w:tc>
        <w:tc>
          <w:tcPr>
            <w:tcW w:w="8860" w:type="dxa"/>
            <w:vAlign w:val="bottom"/>
          </w:tcPr>
          <w:p>
            <w:pPr>
              <w:jc w:val="center"/>
              <w:ind w:left="393"/>
              <w:spacing w:after="0"/>
              <w:rPr>
                <w:sz w:val="20"/>
                <w:szCs w:val="20"/>
                <w:color w:val="auto"/>
              </w:rPr>
            </w:pPr>
            <w:r>
              <w:rPr>
                <w:rFonts w:ascii="Times New Roman" w:cs="Times New Roman" w:eastAsia="Times New Roman" w:hAnsi="Times New Roman"/>
                <w:sz w:val="13"/>
                <w:szCs w:val="13"/>
                <w:b w:val="1"/>
                <w:bCs w:val="1"/>
                <w:color w:val="auto"/>
                <w:w w:val="98"/>
              </w:rPr>
              <w:t>PART II</w:t>
            </w: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8"/>
        </w:trPr>
        <w:tc>
          <w:tcPr>
            <w:tcW w:w="980" w:type="dxa"/>
            <w:vAlign w:val="bottom"/>
          </w:tcPr>
          <w:p>
            <w:pPr>
              <w:spacing w:after="0"/>
              <w:rPr>
                <w:sz w:val="15"/>
                <w:szCs w:val="15"/>
                <w:color w:val="auto"/>
              </w:rPr>
            </w:pPr>
          </w:p>
        </w:tc>
        <w:tc>
          <w:tcPr>
            <w:tcW w:w="8860" w:type="dxa"/>
            <w:vAlign w:val="bottom"/>
          </w:tcPr>
          <w:p>
            <w:pPr>
              <w:jc w:val="center"/>
              <w:ind w:left="413"/>
              <w:spacing w:after="0"/>
              <w:rPr>
                <w:sz w:val="20"/>
                <w:szCs w:val="20"/>
                <w:color w:val="auto"/>
              </w:rPr>
            </w:pPr>
            <w:r>
              <w:rPr>
                <w:rFonts w:ascii="Times New Roman" w:cs="Times New Roman" w:eastAsia="Times New Roman" w:hAnsi="Times New Roman"/>
                <w:sz w:val="13"/>
                <w:szCs w:val="13"/>
                <w:b w:val="1"/>
                <w:bCs w:val="1"/>
                <w:color w:val="auto"/>
              </w:rPr>
              <w:t>INFORMATION NOT REQUIRED IN PROSPECTUS</w:t>
            </w: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23"/>
        </w:trPr>
        <w:tc>
          <w:tcPr>
            <w:tcW w:w="9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Item 14.</w:t>
            </w:r>
          </w:p>
        </w:tc>
        <w:tc>
          <w:tcPr>
            <w:tcW w:w="88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Other Expenses of Issuance and Distribution.</w:t>
            </w: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3"/>
        </w:trPr>
        <w:tc>
          <w:tcPr>
            <w:tcW w:w="9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The following is an estimate of the expenses (all of which are to be paid by the registrant) that the registrant may incur in connection with the securities being registered hereby.</w:t>
            </w: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9840" w:type="dxa"/>
            <w:vAlign w:val="bottom"/>
            <w:gridSpan w:val="2"/>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9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Securities and Exchange Commission registration fee</w:t>
            </w:r>
          </w:p>
        </w:tc>
        <w:tc>
          <w:tcPr>
            <w:tcW w:w="660" w:type="dxa"/>
            <w:vAlign w:val="bottom"/>
            <w:shd w:val="clear" w:color="auto" w:fill="CCEEFF"/>
          </w:tcPr>
          <w:p>
            <w:pPr>
              <w:jc w:val="right"/>
              <w:ind w:right="5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62"/>
        </w:trPr>
        <w:tc>
          <w:tcPr>
            <w:tcW w:w="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FINRA filing fee</w:t>
            </w:r>
          </w:p>
        </w:tc>
        <w:tc>
          <w:tcPr>
            <w:tcW w:w="8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gridSpan w:val="2"/>
          </w:tcPr>
          <w:p>
            <w:pPr>
              <w:ind w:left="600"/>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Printing expenses</w:t>
            </w:r>
          </w:p>
        </w:tc>
        <w:tc>
          <w:tcPr>
            <w:tcW w:w="88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98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Legal fees and expenses</w:t>
            </w:r>
          </w:p>
        </w:tc>
        <w:tc>
          <w:tcPr>
            <w:tcW w:w="660" w:type="dxa"/>
            <w:vAlign w:val="bottom"/>
          </w:tcPr>
          <w:p>
            <w:pPr>
              <w:spacing w:after="0"/>
              <w:rPr>
                <w:sz w:val="14"/>
                <w:szCs w:val="14"/>
                <w:color w:val="auto"/>
              </w:rPr>
            </w:pPr>
          </w:p>
        </w:tc>
        <w:tc>
          <w:tcPr>
            <w:tcW w:w="780" w:type="dxa"/>
            <w:vAlign w:val="bottom"/>
            <w:gridSpan w:val="2"/>
          </w:tcPr>
          <w:p>
            <w:pPr>
              <w:ind w:left="600"/>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9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Accounting fees and expenses</w:t>
            </w:r>
          </w:p>
        </w:tc>
        <w:tc>
          <w:tcPr>
            <w:tcW w:w="6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98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Transfer agent fees and expenses</w:t>
            </w:r>
          </w:p>
        </w:tc>
        <w:tc>
          <w:tcPr>
            <w:tcW w:w="660" w:type="dxa"/>
            <w:vAlign w:val="bottom"/>
          </w:tcPr>
          <w:p>
            <w:pPr>
              <w:spacing w:after="0"/>
              <w:rPr>
                <w:sz w:val="14"/>
                <w:szCs w:val="14"/>
                <w:color w:val="auto"/>
              </w:rPr>
            </w:pPr>
          </w:p>
        </w:tc>
        <w:tc>
          <w:tcPr>
            <w:tcW w:w="780" w:type="dxa"/>
            <w:vAlign w:val="bottom"/>
            <w:gridSpan w:val="2"/>
          </w:tcPr>
          <w:p>
            <w:pPr>
              <w:ind w:left="600"/>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9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Miscellaneous expenses</w:t>
            </w:r>
          </w:p>
        </w:tc>
        <w:tc>
          <w:tcPr>
            <w:tcW w:w="6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r>
      <w:tr>
        <w:trPr>
          <w:trHeight w:val="164"/>
        </w:trPr>
        <w:tc>
          <w:tcPr>
            <w:tcW w:w="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expenses</w:t>
            </w:r>
          </w:p>
        </w:tc>
        <w:tc>
          <w:tcPr>
            <w:tcW w:w="8860" w:type="dxa"/>
            <w:vAlign w:val="bottom"/>
          </w:tcPr>
          <w:p>
            <w:pPr>
              <w:spacing w:after="0"/>
              <w:rPr>
                <w:sz w:val="14"/>
                <w:szCs w:val="14"/>
                <w:color w:val="auto"/>
              </w:rPr>
            </w:pPr>
          </w:p>
        </w:tc>
        <w:tc>
          <w:tcPr>
            <w:tcW w:w="660" w:type="dxa"/>
            <w:vAlign w:val="bottom"/>
            <w:tcBorders>
              <w:top w:val="single" w:sz="8" w:color="auto"/>
            </w:tcBorders>
          </w:tcPr>
          <w:p>
            <w:pPr>
              <w:jc w:val="right"/>
              <w:ind w:right="54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r>
    </w:tbl>
    <w:p>
      <w:pPr>
        <w:spacing w:after="0" w:line="137" w:lineRule="exact"/>
        <w:rPr>
          <w:sz w:val="20"/>
          <w:szCs w:val="20"/>
          <w:color w:val="auto"/>
        </w:rPr>
      </w:pPr>
    </w:p>
    <w:p>
      <w:pPr>
        <w:ind w:left="480" w:hanging="479"/>
        <w:spacing w:after="0"/>
        <w:tabs>
          <w:tab w:leader="none" w:pos="480" w:val="left"/>
        </w:tabs>
        <w:numPr>
          <w:ilvl w:val="0"/>
          <w:numId w:val="3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Applicable SEC registration fees have been deferred in accordance with Rules 456(b) and 457(r) of the Securities Act of 1933 and are not estimable at this time.</w:t>
      </w:r>
    </w:p>
    <w:p>
      <w:pPr>
        <w:spacing w:after="0" w:line="173" w:lineRule="exact"/>
        <w:rPr>
          <w:rFonts w:ascii="Times New Roman" w:cs="Times New Roman" w:eastAsia="Times New Roman" w:hAnsi="Times New Roman"/>
          <w:sz w:val="13"/>
          <w:szCs w:val="13"/>
          <w:b w:val="1"/>
          <w:bCs w:val="1"/>
          <w:color w:val="auto"/>
        </w:rPr>
      </w:pPr>
    </w:p>
    <w:p>
      <w:pPr>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*These fees and expenses are calculated based on the amount of securities offered and accordingly cannot be estimated at this time.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Item 15. </w:t>
      </w:r>
      <w:r>
        <w:rPr>
          <w:rFonts w:ascii="Times New Roman" w:cs="Times New Roman" w:eastAsia="Times New Roman" w:hAnsi="Times New Roman"/>
          <w:sz w:val="13"/>
          <w:szCs w:val="13"/>
          <w:b w:val="1"/>
          <w:bCs w:val="1"/>
          <w:i w:val="1"/>
          <w:iCs w:val="1"/>
          <w:color w:val="auto"/>
        </w:rPr>
        <w:t>Indemnification of Directors and Officers.</w:t>
      </w:r>
    </w:p>
    <w:p>
      <w:pPr>
        <w:spacing w:after="0" w:line="1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Section 145 of the Delaware General Corporation Law (the “</w:t>
      </w:r>
      <w:r>
        <w:rPr>
          <w:rFonts w:ascii="Times New Roman" w:cs="Times New Roman" w:eastAsia="Times New Roman" w:hAnsi="Times New Roman"/>
          <w:sz w:val="13"/>
          <w:szCs w:val="13"/>
          <w:i w:val="1"/>
          <w:iCs w:val="1"/>
          <w:color w:val="auto"/>
        </w:rPr>
        <w:t>DGCL</w:t>
      </w:r>
      <w:r>
        <w:rPr>
          <w:rFonts w:ascii="Times New Roman" w:cs="Times New Roman" w:eastAsia="Times New Roman" w:hAnsi="Times New Roman"/>
          <w:sz w:val="13"/>
          <w:szCs w:val="13"/>
          <w:color w:val="auto"/>
        </w:rPr>
        <w:t>”)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of Navitas. The DGCL provides that Section 145 is not exclusive of other rights to which those seeking indemnification may be entitled under any bylaws, agreement, vote of stockholders or disinterested directors or otherwise. The registrant’s certificate of incorporation and bylaws provide for indemnification by the registrant of its directors and officers to the fullest extent permitted by the DGCL.</w:t>
      </w:r>
    </w:p>
    <w:p>
      <w:pPr>
        <w:spacing w:after="0" w:line="13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3"/>
          <w:szCs w:val="13"/>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for liability (1) for any breach of the director’s duty of loyalty to the corporation or its stockholders, (2) for acts or omissions not in good faith or which involve intentional misconduct or a knowing violation of law, (3) for unlawful payments of dividends or unlawful stock repurchases, redemptions or other distributions or (4) for any transaction from which the director derived an improper personal benefit. The registrant’s certificate of incorporation provides for such limitation of liability to the fullest extent permitted by the DGCL.</w:t>
      </w:r>
    </w:p>
    <w:p>
      <w:pPr>
        <w:spacing w:after="0" w:line="13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3"/>
          <w:szCs w:val="13"/>
          <w:color w:val="auto"/>
        </w:rPr>
        <w:t>The registrant has entered into indemnification agreements with each of its directors and executive officers to provide contractual indemnification in addition to the indemnification provided in its certificate of incorporation and bylaws. Each indemnification agreement provides for indemnification and advancements by the registrant of certain expenses and costs relating to claims, suits or proceedings arising from his or her service to the registrant or, at the registrant’s request, service to other entities, as officers or directors to the maximum extent permitted by applicable law. The registrant believes that these provisions and agreements are necessary to attract qualified directors and executive officers.</w:t>
      </w:r>
    </w:p>
    <w:p>
      <w:pPr>
        <w:spacing w:after="0" w:line="13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3"/>
          <w:szCs w:val="13"/>
          <w:color w:val="auto"/>
        </w:rPr>
        <w:t>The registrant also maintains standard policies of insurance under which coverage is provided (1) to its directors and officers against loss arising from claims made by reason of breach of duty or other wrongful act, while acting in their capacity as directors and officers of the registrant, and (2) to the registrant with respect to payments which may be made by the registrant to such officers and directors pursuant to any indemnification provision contained in the registrant’s certificate of incorporation and bylaws or otherwise as a matter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306070</wp:posOffset>
            </wp:positionV>
            <wp:extent cx="7166610"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48" w:name="page49"/>
    <w:bookmarkEnd w:id="48"/>
    <w:p>
      <w:pPr>
        <w:spacing w:after="0" w:line="298" w:lineRule="auto"/>
        <w:rPr>
          <w:sz w:val="20"/>
          <w:szCs w:val="20"/>
          <w:color w:val="auto"/>
        </w:rPr>
      </w:pPr>
      <w:r>
        <w:rPr>
          <w:rFonts w:ascii="Times New Roman" w:cs="Times New Roman" w:eastAsia="Times New Roman" w:hAnsi="Times New Roman"/>
          <w:sz w:val="13"/>
          <w:szCs w:val="13"/>
          <w:color w:val="auto"/>
        </w:rPr>
        <w:t>The foregoing summaries are necessarily subject to the complete text of the DGCL, the registrant’s certificate of incorporation and bylaws, as amended to date, and the arrangements referred to above and are qualified in their entirety by reference thereto.</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Item 16. </w:t>
      </w:r>
      <w:r>
        <w:rPr>
          <w:rFonts w:ascii="Times New Roman" w:cs="Times New Roman" w:eastAsia="Times New Roman" w:hAnsi="Times New Roman"/>
          <w:sz w:val="13"/>
          <w:szCs w:val="13"/>
          <w:b w:val="1"/>
          <w:bCs w:val="1"/>
          <w:i w:val="1"/>
          <w:iCs w:val="1"/>
          <w:color w:val="auto"/>
        </w:rPr>
        <w:t>Exhibits</w:t>
      </w:r>
      <w:r>
        <w:rPr>
          <w:rFonts w:ascii="Times New Roman" w:cs="Times New Roman" w:eastAsia="Times New Roman" w:hAnsi="Times New Roman"/>
          <w:sz w:val="13"/>
          <w:szCs w:val="13"/>
          <w:b w:val="1"/>
          <w:bCs w:val="1"/>
          <w:color w:val="auto"/>
        </w:rPr>
        <w: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80" w:type="dxa"/>
            <w:vAlign w:val="bottom"/>
            <w:gridSpan w:val="7"/>
          </w:tcPr>
          <w:p>
            <w:pPr>
              <w:ind w:left="80"/>
              <w:spacing w:after="0"/>
              <w:rPr>
                <w:sz w:val="20"/>
                <w:szCs w:val="20"/>
                <w:color w:val="auto"/>
              </w:rPr>
            </w:pPr>
            <w:r>
              <w:rPr>
                <w:rFonts w:ascii="Times New Roman" w:cs="Times New Roman" w:eastAsia="Times New Roman" w:hAnsi="Times New Roman"/>
                <w:sz w:val="13"/>
                <w:szCs w:val="13"/>
                <w:b w:val="1"/>
                <w:bCs w:val="1"/>
                <w:color w:val="auto"/>
              </w:rPr>
              <w:t>Incorporated by Reference</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2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100" w:type="dxa"/>
            <w:vAlign w:val="bottom"/>
            <w:gridSpan w:val="8"/>
            <w:vMerge w:val="restart"/>
          </w:tcPr>
          <w:p>
            <w:pPr>
              <w:ind w:left="7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2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100" w:type="dxa"/>
            <w:vAlign w:val="bottom"/>
            <w:gridSpan w:val="8"/>
            <w:vMerge w:val="continue"/>
          </w:tcPr>
          <w:p>
            <w:pPr>
              <w:spacing w:after="0"/>
              <w:rPr>
                <w:sz w:val="14"/>
                <w:szCs w:val="14"/>
                <w:color w:val="auto"/>
              </w:rPr>
            </w:pPr>
          </w:p>
        </w:tc>
        <w:tc>
          <w:tcPr>
            <w:tcW w:w="1120" w:type="dxa"/>
            <w:vAlign w:val="bottom"/>
            <w:gridSpan w:val="4"/>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Form</w:t>
            </w:r>
          </w:p>
        </w:tc>
        <w:tc>
          <w:tcPr>
            <w:tcW w:w="160" w:type="dxa"/>
            <w:vAlign w:val="bottom"/>
          </w:tcPr>
          <w:p>
            <w:pPr>
              <w:spacing w:after="0"/>
              <w:rPr>
                <w:sz w:val="14"/>
                <w:szCs w:val="14"/>
                <w:color w:val="auto"/>
              </w:rPr>
            </w:pPr>
          </w:p>
        </w:tc>
        <w:tc>
          <w:tcPr>
            <w:tcW w:w="960" w:type="dxa"/>
            <w:vAlign w:val="bottom"/>
            <w:gridSpan w:val="3"/>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File No.</w:t>
            </w:r>
          </w:p>
        </w:tc>
        <w:tc>
          <w:tcPr>
            <w:tcW w:w="1120" w:type="dxa"/>
            <w:vAlign w:val="bottom"/>
            <w:gridSpan w:val="4"/>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90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rPr>
              <w:t>Filing Date</w:t>
            </w:r>
          </w:p>
        </w:tc>
        <w:tc>
          <w:tcPr>
            <w:tcW w:w="0" w:type="dxa"/>
            <w:vAlign w:val="bottom"/>
          </w:tcPr>
          <w:p>
            <w:pPr>
              <w:spacing w:after="0"/>
              <w:rPr>
                <w:sz w:val="1"/>
                <w:szCs w:val="1"/>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2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w w:val="96"/>
              </w:rPr>
              <w:t>1.1*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60" w:type="dxa"/>
            <w:vAlign w:val="bottom"/>
            <w:gridSpan w:val="12"/>
          </w:tcPr>
          <w:p>
            <w:pPr>
              <w:spacing w:after="0"/>
              <w:rPr>
                <w:sz w:val="20"/>
                <w:szCs w:val="20"/>
                <w:color w:val="auto"/>
              </w:rPr>
            </w:pPr>
            <w:r>
              <w:rPr>
                <w:rFonts w:ascii="Times New Roman" w:cs="Times New Roman" w:eastAsia="Times New Roman" w:hAnsi="Times New Roman"/>
                <w:sz w:val="13"/>
                <w:szCs w:val="13"/>
                <w:color w:val="auto"/>
              </w:rPr>
              <w:t>Form of Underwriting Agreement for Common Stock.</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EE"/>
                <w:w w:val="85"/>
              </w:rPr>
              <w:t>1.</w:t>
            </w:r>
            <w:r>
              <w:rPr>
                <w:rFonts w:ascii="Times New Roman" w:cs="Times New Roman" w:eastAsia="Times New Roman" w:hAnsi="Times New Roman"/>
                <w:sz w:val="13"/>
                <w:szCs w:val="13"/>
                <w:u w:val="single" w:color="auto"/>
                <w:color w:val="0000EE"/>
                <w:w w:val="85"/>
              </w:rPr>
              <w:t>2</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60" w:type="dxa"/>
            <w:vAlign w:val="bottom"/>
            <w:gridSpan w:val="12"/>
          </w:tcPr>
          <w:p>
            <w:pPr>
              <w:spacing w:after="0"/>
              <w:rPr>
                <w:sz w:val="20"/>
                <w:szCs w:val="20"/>
                <w:color w:val="auto"/>
              </w:rPr>
            </w:pPr>
            <w:r>
              <w:rPr>
                <w:rFonts w:ascii="Times New Roman" w:cs="Times New Roman" w:eastAsia="Times New Roman" w:hAnsi="Times New Roman"/>
                <w:sz w:val="13"/>
                <w:szCs w:val="13"/>
                <w:color w:val="0000EE"/>
              </w:rPr>
              <w:t>Sales Agreement, dated June 8, 2026, by and among Navitas Semiconductor Corporation, UBS</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20" w:type="dxa"/>
            <w:vAlign w:val="bottom"/>
            <w:tcBorders>
              <w:top w:val="single" w:sz="8" w:color="0000EE"/>
              <w:bottom w:val="single" w:sz="8" w:color="0000EE"/>
            </w:tcBorders>
            <w:gridSpan w:val="8"/>
          </w:tcPr>
          <w:p>
            <w:pPr>
              <w:spacing w:after="0" w:line="142" w:lineRule="exact"/>
              <w:rPr>
                <w:sz w:val="20"/>
                <w:szCs w:val="20"/>
                <w:color w:val="auto"/>
              </w:rPr>
            </w:pPr>
            <w:r>
              <w:rPr>
                <w:rFonts w:ascii="Times New Roman" w:cs="Times New Roman" w:eastAsia="Times New Roman" w:hAnsi="Times New Roman"/>
                <w:sz w:val="13"/>
                <w:szCs w:val="13"/>
                <w:color w:val="0000EE"/>
              </w:rPr>
              <w:t>Securities LLC, Morgan Stanley &amp; Co. LLC and Needham &amp; Company, LLC.</w:t>
            </w:r>
          </w:p>
        </w:tc>
        <w:tc>
          <w:tcPr>
            <w:tcW w:w="920" w:type="dxa"/>
            <w:vAlign w:val="bottom"/>
            <w:tcBorders>
              <w:top w:val="single" w:sz="8" w:color="0000EE"/>
            </w:tcBorders>
          </w:tcPr>
          <w:p>
            <w:pPr>
              <w:spacing w:after="0"/>
              <w:rPr>
                <w:sz w:val="12"/>
                <w:szCs w:val="12"/>
                <w:color w:val="auto"/>
              </w:rPr>
            </w:pPr>
          </w:p>
        </w:tc>
        <w:tc>
          <w:tcPr>
            <w:tcW w:w="720" w:type="dxa"/>
            <w:vAlign w:val="bottom"/>
            <w:gridSpan w:val="3"/>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w w:val="96"/>
              </w:rPr>
              <w:t>1.3*</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60" w:type="dxa"/>
            <w:vAlign w:val="bottom"/>
            <w:gridSpan w:val="12"/>
          </w:tcPr>
          <w:p>
            <w:pPr>
              <w:spacing w:after="0"/>
              <w:rPr>
                <w:sz w:val="20"/>
                <w:szCs w:val="20"/>
                <w:color w:val="auto"/>
              </w:rPr>
            </w:pPr>
            <w:r>
              <w:rPr>
                <w:rFonts w:ascii="Times New Roman" w:cs="Times New Roman" w:eastAsia="Times New Roman" w:hAnsi="Times New Roman"/>
                <w:sz w:val="13"/>
                <w:szCs w:val="13"/>
                <w:color w:val="auto"/>
              </w:rPr>
              <w:t>Form of Underwriting Agreement for Debt Securities.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w w:val="96"/>
              </w:rPr>
              <w:t>1.4*</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60" w:type="dxa"/>
            <w:vAlign w:val="bottom"/>
            <w:gridSpan w:val="12"/>
          </w:tcPr>
          <w:p>
            <w:pPr>
              <w:spacing w:after="0"/>
              <w:rPr>
                <w:sz w:val="20"/>
                <w:szCs w:val="20"/>
                <w:color w:val="auto"/>
              </w:rPr>
            </w:pPr>
            <w:r>
              <w:rPr>
                <w:rFonts w:ascii="Times New Roman" w:cs="Times New Roman" w:eastAsia="Times New Roman" w:hAnsi="Times New Roman"/>
                <w:sz w:val="13"/>
                <w:szCs w:val="13"/>
                <w:color w:val="auto"/>
              </w:rPr>
              <w:t>Form of Underwriting Agreement for Warrants.</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w w:val="96"/>
              </w:rPr>
              <w:t>1.5*</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60" w:type="dxa"/>
            <w:vAlign w:val="bottom"/>
            <w:gridSpan w:val="12"/>
          </w:tcPr>
          <w:p>
            <w:pPr>
              <w:spacing w:after="0"/>
              <w:rPr>
                <w:sz w:val="20"/>
                <w:szCs w:val="20"/>
                <w:color w:val="auto"/>
              </w:rPr>
            </w:pPr>
            <w:r>
              <w:rPr>
                <w:rFonts w:ascii="Times New Roman" w:cs="Times New Roman" w:eastAsia="Times New Roman" w:hAnsi="Times New Roman"/>
                <w:sz w:val="13"/>
                <w:szCs w:val="13"/>
                <w:color w:val="auto"/>
              </w:rPr>
              <w:t>Form of Underwriting Agreement for Rights.</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w w:val="96"/>
              </w:rPr>
              <w:t>1.6*</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60" w:type="dxa"/>
            <w:vAlign w:val="bottom"/>
            <w:gridSpan w:val="12"/>
          </w:tcPr>
          <w:p>
            <w:pPr>
              <w:spacing w:after="0"/>
              <w:rPr>
                <w:sz w:val="20"/>
                <w:szCs w:val="20"/>
                <w:color w:val="auto"/>
              </w:rPr>
            </w:pPr>
            <w:r>
              <w:rPr>
                <w:rFonts w:ascii="Times New Roman" w:cs="Times New Roman" w:eastAsia="Times New Roman" w:hAnsi="Times New Roman"/>
                <w:sz w:val="13"/>
                <w:szCs w:val="13"/>
                <w:color w:val="auto"/>
              </w:rPr>
              <w:t>Form of Underwriting Agreement for Units.</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80" w:type="dxa"/>
            <w:vAlign w:val="bottom"/>
            <w:gridSpan w:val="2"/>
          </w:tcPr>
          <w:p>
            <w:pPr>
              <w:ind w:left="20"/>
              <w:spacing w:after="0"/>
              <w:rPr>
                <w:rFonts w:ascii="Times New Roman" w:cs="Times New Roman" w:eastAsia="Times New Roman" w:hAnsi="Times New Roman"/>
                <w:sz w:val="13"/>
                <w:szCs w:val="13"/>
                <w:color w:val="0000EE"/>
                <w:w w:val="85"/>
              </w:rPr>
            </w:pPr>
            <w:hyperlink r:id="rId80">
              <w:r>
                <w:rPr>
                  <w:rFonts w:ascii="Times New Roman" w:cs="Times New Roman" w:eastAsia="Times New Roman" w:hAnsi="Times New Roman"/>
                  <w:sz w:val="13"/>
                  <w:szCs w:val="13"/>
                  <w:color w:val="0000EE"/>
                  <w:w w:val="85"/>
                </w:rPr>
                <w:t>4.</w:t>
              </w:r>
              <w:r>
                <w:rPr>
                  <w:rFonts w:ascii="Times New Roman" w:cs="Times New Roman" w:eastAsia="Times New Roman" w:hAnsi="Times New Roman"/>
                  <w:sz w:val="13"/>
                  <w:szCs w:val="13"/>
                  <w:u w:val="single" w:color="auto"/>
                  <w:color w:val="0000EE"/>
                  <w:w w:val="85"/>
                </w:rPr>
                <w:t>1</w:t>
              </w:r>
            </w:hyperlink>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60" w:type="dxa"/>
            <w:vAlign w:val="bottom"/>
            <w:gridSpan w:val="12"/>
          </w:tcPr>
          <w:p>
            <w:pPr>
              <w:spacing w:after="0"/>
              <w:rPr>
                <w:rFonts w:ascii="Times New Roman" w:cs="Times New Roman" w:eastAsia="Times New Roman" w:hAnsi="Times New Roman"/>
                <w:sz w:val="13"/>
                <w:szCs w:val="13"/>
                <w:color w:val="0000EE"/>
              </w:rPr>
            </w:pPr>
            <w:hyperlink r:id="rId80">
              <w:r>
                <w:rPr>
                  <w:rFonts w:ascii="Times New Roman" w:cs="Times New Roman" w:eastAsia="Times New Roman" w:hAnsi="Times New Roman"/>
                  <w:sz w:val="13"/>
                  <w:szCs w:val="13"/>
                  <w:color w:val="0000EE"/>
                </w:rPr>
                <w:t>Second Amended and Restated Certificate of Incorporation of Navitas Semiconductor Corporation.</w:t>
              </w:r>
            </w:hyperlink>
          </w:p>
        </w:tc>
        <w:tc>
          <w:tcPr>
            <w:tcW w:w="340" w:type="dxa"/>
            <w:vAlign w:val="bottom"/>
          </w:tcPr>
          <w:p>
            <w:pPr>
              <w:spacing w:after="0"/>
              <w:rPr>
                <w:sz w:val="14"/>
                <w:szCs w:val="14"/>
                <w:color w:val="auto"/>
              </w:rPr>
            </w:pPr>
          </w:p>
        </w:tc>
        <w:tc>
          <w:tcPr>
            <w:tcW w:w="780" w:type="dxa"/>
            <w:vAlign w:val="bottom"/>
            <w:gridSpan w:val="3"/>
          </w:tcPr>
          <w:p>
            <w:pPr>
              <w:jc w:val="center"/>
              <w:ind w:right="560"/>
              <w:spacing w:after="0"/>
              <w:rPr>
                <w:rFonts w:ascii="Times New Roman" w:cs="Times New Roman" w:eastAsia="Times New Roman" w:hAnsi="Times New Roman"/>
                <w:sz w:val="13"/>
                <w:szCs w:val="13"/>
                <w:color w:val="0000EE"/>
              </w:rPr>
            </w:pPr>
            <w:hyperlink r:id="rId80">
              <w:r>
                <w:rPr>
                  <w:rFonts w:ascii="Times New Roman" w:cs="Times New Roman" w:eastAsia="Times New Roman" w:hAnsi="Times New Roman"/>
                  <w:sz w:val="13"/>
                  <w:szCs w:val="13"/>
                  <w:color w:val="0000EE"/>
                </w:rPr>
                <w:t>8-K</w:t>
              </w:r>
            </w:hyperlink>
          </w:p>
        </w:tc>
        <w:tc>
          <w:tcPr>
            <w:tcW w:w="900" w:type="dxa"/>
            <w:vAlign w:val="bottom"/>
            <w:gridSpan w:val="3"/>
          </w:tcPr>
          <w:p>
            <w:pPr>
              <w:jc w:val="center"/>
              <w:spacing w:after="0"/>
              <w:rPr>
                <w:rFonts w:ascii="Times New Roman" w:cs="Times New Roman" w:eastAsia="Times New Roman" w:hAnsi="Times New Roman"/>
                <w:sz w:val="13"/>
                <w:szCs w:val="13"/>
                <w:color w:val="0000EE"/>
              </w:rPr>
            </w:pPr>
            <w:hyperlink r:id="rId80">
              <w:r>
                <w:rPr>
                  <w:rFonts w:ascii="Times New Roman" w:cs="Times New Roman" w:eastAsia="Times New Roman" w:hAnsi="Times New Roman"/>
                  <w:sz w:val="13"/>
                  <w:szCs w:val="13"/>
                  <w:color w:val="0000EE"/>
                </w:rPr>
                <w:t>001-39755</w:t>
              </w:r>
            </w:hyperlink>
          </w:p>
        </w:tc>
        <w:tc>
          <w:tcPr>
            <w:tcW w:w="220" w:type="dxa"/>
            <w:vAlign w:val="bottom"/>
          </w:tcPr>
          <w:p>
            <w:pPr>
              <w:spacing w:after="0"/>
              <w:rPr>
                <w:sz w:val="14"/>
                <w:szCs w:val="14"/>
                <w:color w:val="auto"/>
              </w:rPr>
            </w:pPr>
          </w:p>
        </w:tc>
        <w:tc>
          <w:tcPr>
            <w:tcW w:w="900" w:type="dxa"/>
            <w:vAlign w:val="bottom"/>
            <w:gridSpan w:val="3"/>
          </w:tcPr>
          <w:p>
            <w:pPr>
              <w:jc w:val="center"/>
              <w:spacing w:after="0"/>
              <w:rPr>
                <w:rFonts w:ascii="Times New Roman" w:cs="Times New Roman" w:eastAsia="Times New Roman" w:hAnsi="Times New Roman"/>
                <w:sz w:val="13"/>
                <w:szCs w:val="13"/>
                <w:color w:val="0000EE"/>
                <w:w w:val="98"/>
              </w:rPr>
            </w:pPr>
            <w:hyperlink r:id="rId80">
              <w:r>
                <w:rPr>
                  <w:rFonts w:ascii="Times New Roman" w:cs="Times New Roman" w:eastAsia="Times New Roman" w:hAnsi="Times New Roman"/>
                  <w:sz w:val="13"/>
                  <w:szCs w:val="13"/>
                  <w:color w:val="0000EE"/>
                  <w:w w:val="98"/>
                </w:rPr>
                <w:t>3.</w:t>
              </w:r>
              <w:r>
                <w:rPr>
                  <w:rFonts w:ascii="Times New Roman" w:cs="Times New Roman" w:eastAsia="Times New Roman" w:hAnsi="Times New Roman"/>
                  <w:sz w:val="13"/>
                  <w:szCs w:val="13"/>
                  <w:u w:val="single" w:color="auto"/>
                  <w:color w:val="0000EE"/>
                  <w:w w:val="98"/>
                </w:rPr>
                <w:t>1</w:t>
              </w:r>
            </w:hyperlink>
          </w:p>
        </w:tc>
        <w:tc>
          <w:tcPr>
            <w:tcW w:w="220" w:type="dxa"/>
            <w:vAlign w:val="bottom"/>
          </w:tcPr>
          <w:p>
            <w:pPr>
              <w:spacing w:after="0"/>
              <w:rPr>
                <w:sz w:val="14"/>
                <w:szCs w:val="14"/>
                <w:color w:val="auto"/>
              </w:rPr>
            </w:pPr>
          </w:p>
        </w:tc>
        <w:tc>
          <w:tcPr>
            <w:tcW w:w="900" w:type="dxa"/>
            <w:vAlign w:val="bottom"/>
            <w:gridSpan w:val="3"/>
          </w:tcPr>
          <w:p>
            <w:pPr>
              <w:ind w:left="160"/>
              <w:spacing w:after="0"/>
              <w:rPr>
                <w:rFonts w:ascii="Times New Roman" w:cs="Times New Roman" w:eastAsia="Times New Roman" w:hAnsi="Times New Roman"/>
                <w:sz w:val="13"/>
                <w:szCs w:val="13"/>
                <w:color w:val="0000EE"/>
              </w:rPr>
            </w:pPr>
            <w:hyperlink r:id="rId80">
              <w:r>
                <w:rPr>
                  <w:rFonts w:ascii="Times New Roman" w:cs="Times New Roman" w:eastAsia="Times New Roman" w:hAnsi="Times New Roman"/>
                  <w:sz w:val="13"/>
                  <w:szCs w:val="13"/>
                  <w:color w:val="0000EE"/>
                </w:rPr>
                <w:t>10/25/2021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80" w:type="dxa"/>
            <w:vAlign w:val="bottom"/>
            <w:gridSpan w:val="2"/>
          </w:tcPr>
          <w:p>
            <w:pPr>
              <w:ind w:left="20"/>
              <w:spacing w:after="0"/>
              <w:rPr>
                <w:rFonts w:ascii="Times New Roman" w:cs="Times New Roman" w:eastAsia="Times New Roman" w:hAnsi="Times New Roman"/>
                <w:sz w:val="13"/>
                <w:szCs w:val="13"/>
                <w:color w:val="0000EE"/>
                <w:w w:val="85"/>
              </w:rPr>
            </w:pPr>
            <w:hyperlink r:id="rId81">
              <w:r>
                <w:rPr>
                  <w:rFonts w:ascii="Times New Roman" w:cs="Times New Roman" w:eastAsia="Times New Roman" w:hAnsi="Times New Roman"/>
                  <w:sz w:val="13"/>
                  <w:szCs w:val="13"/>
                  <w:color w:val="0000EE"/>
                  <w:w w:val="85"/>
                </w:rPr>
                <w:t>4.</w:t>
              </w:r>
              <w:r>
                <w:rPr>
                  <w:rFonts w:ascii="Times New Roman" w:cs="Times New Roman" w:eastAsia="Times New Roman" w:hAnsi="Times New Roman"/>
                  <w:sz w:val="13"/>
                  <w:szCs w:val="13"/>
                  <w:u w:val="single" w:color="auto"/>
                  <w:color w:val="0000EE"/>
                  <w:w w:val="85"/>
                </w:rPr>
                <w:t>2</w:t>
              </w:r>
            </w:hyperlink>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60" w:type="dxa"/>
            <w:vAlign w:val="bottom"/>
            <w:gridSpan w:val="12"/>
          </w:tcPr>
          <w:p>
            <w:pPr>
              <w:spacing w:after="0"/>
              <w:rPr>
                <w:rFonts w:ascii="Times New Roman" w:cs="Times New Roman" w:eastAsia="Times New Roman" w:hAnsi="Times New Roman"/>
                <w:sz w:val="13"/>
                <w:szCs w:val="13"/>
                <w:color w:val="0000EE"/>
              </w:rPr>
            </w:pPr>
            <w:hyperlink r:id="rId81">
              <w:r>
                <w:rPr>
                  <w:rFonts w:ascii="Times New Roman" w:cs="Times New Roman" w:eastAsia="Times New Roman" w:hAnsi="Times New Roman"/>
                  <w:sz w:val="13"/>
                  <w:szCs w:val="13"/>
                  <w:color w:val="0000EE"/>
                </w:rPr>
                <w:t>Amended and Restated Bylaws of Navitas Semiconductor Corporation.</w:t>
              </w:r>
            </w:hyperlink>
          </w:p>
        </w:tc>
        <w:tc>
          <w:tcPr>
            <w:tcW w:w="340" w:type="dxa"/>
            <w:vAlign w:val="bottom"/>
          </w:tcPr>
          <w:p>
            <w:pPr>
              <w:spacing w:after="0"/>
              <w:rPr>
                <w:sz w:val="15"/>
                <w:szCs w:val="15"/>
                <w:color w:val="auto"/>
              </w:rPr>
            </w:pPr>
          </w:p>
        </w:tc>
        <w:tc>
          <w:tcPr>
            <w:tcW w:w="780" w:type="dxa"/>
            <w:vAlign w:val="bottom"/>
            <w:gridSpan w:val="3"/>
          </w:tcPr>
          <w:p>
            <w:pPr>
              <w:jc w:val="center"/>
              <w:ind w:right="560"/>
              <w:spacing w:after="0"/>
              <w:rPr>
                <w:rFonts w:ascii="Times New Roman" w:cs="Times New Roman" w:eastAsia="Times New Roman" w:hAnsi="Times New Roman"/>
                <w:sz w:val="13"/>
                <w:szCs w:val="13"/>
                <w:color w:val="0000EE"/>
              </w:rPr>
            </w:pPr>
            <w:hyperlink r:id="rId81">
              <w:r>
                <w:rPr>
                  <w:rFonts w:ascii="Times New Roman" w:cs="Times New Roman" w:eastAsia="Times New Roman" w:hAnsi="Times New Roman"/>
                  <w:sz w:val="13"/>
                  <w:szCs w:val="13"/>
                  <w:color w:val="0000EE"/>
                </w:rPr>
                <w:t>8-K</w:t>
              </w:r>
            </w:hyperlink>
          </w:p>
        </w:tc>
        <w:tc>
          <w:tcPr>
            <w:tcW w:w="900" w:type="dxa"/>
            <w:vAlign w:val="bottom"/>
            <w:gridSpan w:val="3"/>
          </w:tcPr>
          <w:p>
            <w:pPr>
              <w:jc w:val="center"/>
              <w:spacing w:after="0"/>
              <w:rPr>
                <w:rFonts w:ascii="Times New Roman" w:cs="Times New Roman" w:eastAsia="Times New Roman" w:hAnsi="Times New Roman"/>
                <w:sz w:val="13"/>
                <w:szCs w:val="13"/>
                <w:color w:val="0000EE"/>
              </w:rPr>
            </w:pPr>
            <w:hyperlink r:id="rId81">
              <w:r>
                <w:rPr>
                  <w:rFonts w:ascii="Times New Roman" w:cs="Times New Roman" w:eastAsia="Times New Roman" w:hAnsi="Times New Roman"/>
                  <w:sz w:val="13"/>
                  <w:szCs w:val="13"/>
                  <w:color w:val="0000EE"/>
                </w:rPr>
                <w:t>001-39755</w:t>
              </w:r>
            </w:hyperlink>
          </w:p>
        </w:tc>
        <w:tc>
          <w:tcPr>
            <w:tcW w:w="220" w:type="dxa"/>
            <w:vAlign w:val="bottom"/>
          </w:tcPr>
          <w:p>
            <w:pPr>
              <w:spacing w:after="0"/>
              <w:rPr>
                <w:sz w:val="15"/>
                <w:szCs w:val="15"/>
                <w:color w:val="auto"/>
              </w:rPr>
            </w:pPr>
          </w:p>
        </w:tc>
        <w:tc>
          <w:tcPr>
            <w:tcW w:w="900" w:type="dxa"/>
            <w:vAlign w:val="bottom"/>
            <w:gridSpan w:val="3"/>
          </w:tcPr>
          <w:p>
            <w:pPr>
              <w:jc w:val="center"/>
              <w:spacing w:after="0"/>
              <w:rPr>
                <w:rFonts w:ascii="Times New Roman" w:cs="Times New Roman" w:eastAsia="Times New Roman" w:hAnsi="Times New Roman"/>
                <w:sz w:val="13"/>
                <w:szCs w:val="13"/>
                <w:color w:val="0000EE"/>
                <w:w w:val="98"/>
              </w:rPr>
            </w:pPr>
            <w:hyperlink r:id="rId81">
              <w:r>
                <w:rPr>
                  <w:rFonts w:ascii="Times New Roman" w:cs="Times New Roman" w:eastAsia="Times New Roman" w:hAnsi="Times New Roman"/>
                  <w:sz w:val="13"/>
                  <w:szCs w:val="13"/>
                  <w:color w:val="0000EE"/>
                  <w:w w:val="98"/>
                </w:rPr>
                <w:t>3.</w:t>
              </w:r>
              <w:r>
                <w:rPr>
                  <w:rFonts w:ascii="Times New Roman" w:cs="Times New Roman" w:eastAsia="Times New Roman" w:hAnsi="Times New Roman"/>
                  <w:sz w:val="13"/>
                  <w:szCs w:val="13"/>
                  <w:u w:val="single" w:color="auto"/>
                  <w:color w:val="0000EE"/>
                  <w:w w:val="98"/>
                </w:rPr>
                <w:t>2</w:t>
              </w:r>
            </w:hyperlink>
          </w:p>
        </w:tc>
        <w:tc>
          <w:tcPr>
            <w:tcW w:w="220" w:type="dxa"/>
            <w:vAlign w:val="bottom"/>
          </w:tcPr>
          <w:p>
            <w:pPr>
              <w:spacing w:after="0"/>
              <w:rPr>
                <w:sz w:val="15"/>
                <w:szCs w:val="15"/>
                <w:color w:val="auto"/>
              </w:rPr>
            </w:pPr>
          </w:p>
        </w:tc>
        <w:tc>
          <w:tcPr>
            <w:tcW w:w="900" w:type="dxa"/>
            <w:vAlign w:val="bottom"/>
            <w:gridSpan w:val="3"/>
          </w:tcPr>
          <w:p>
            <w:pPr>
              <w:ind w:left="160"/>
              <w:spacing w:after="0"/>
              <w:rPr>
                <w:rFonts w:ascii="Times New Roman" w:cs="Times New Roman" w:eastAsia="Times New Roman" w:hAnsi="Times New Roman"/>
                <w:sz w:val="13"/>
                <w:szCs w:val="13"/>
                <w:color w:val="0000EE"/>
              </w:rPr>
            </w:pPr>
            <w:hyperlink r:id="rId81">
              <w:r>
                <w:rPr>
                  <w:rFonts w:ascii="Times New Roman" w:cs="Times New Roman" w:eastAsia="Times New Roman" w:hAnsi="Times New Roman"/>
                  <w:sz w:val="13"/>
                  <w:szCs w:val="13"/>
                  <w:color w:val="0000EE"/>
                </w:rPr>
                <w:t>04/10/2025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EE"/>
                <w:w w:val="85"/>
              </w:rPr>
              <w:t>4.</w:t>
            </w:r>
            <w:r>
              <w:rPr>
                <w:rFonts w:ascii="Times New Roman" w:cs="Times New Roman" w:eastAsia="Times New Roman" w:hAnsi="Times New Roman"/>
                <w:sz w:val="13"/>
                <w:szCs w:val="13"/>
                <w:u w:val="single" w:color="auto"/>
                <w:color w:val="0000EE"/>
                <w:w w:val="85"/>
              </w:rPr>
              <w:t>3</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60" w:type="dxa"/>
            <w:vAlign w:val="bottom"/>
            <w:gridSpan w:val="12"/>
          </w:tcPr>
          <w:p>
            <w:pPr>
              <w:spacing w:after="0"/>
              <w:rPr>
                <w:sz w:val="20"/>
                <w:szCs w:val="20"/>
                <w:color w:val="auto"/>
              </w:rPr>
            </w:pPr>
            <w:r>
              <w:rPr>
                <w:rFonts w:ascii="Times New Roman" w:cs="Times New Roman" w:eastAsia="Times New Roman" w:hAnsi="Times New Roman"/>
                <w:sz w:val="13"/>
                <w:szCs w:val="13"/>
                <w:color w:val="0000EE"/>
              </w:rPr>
              <w:t>Form of Indenture.</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2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w w:val="96"/>
              </w:rPr>
              <w:t>4.4*</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60" w:type="dxa"/>
            <w:vAlign w:val="bottom"/>
            <w:gridSpan w:val="12"/>
          </w:tcPr>
          <w:p>
            <w:pPr>
              <w:spacing w:after="0"/>
              <w:rPr>
                <w:sz w:val="20"/>
                <w:szCs w:val="20"/>
                <w:color w:val="auto"/>
              </w:rPr>
            </w:pPr>
            <w:r>
              <w:rPr>
                <w:rFonts w:ascii="Times New Roman" w:cs="Times New Roman" w:eastAsia="Times New Roman" w:hAnsi="Times New Roman"/>
                <w:sz w:val="13"/>
                <w:szCs w:val="13"/>
                <w:color w:val="auto"/>
              </w:rPr>
              <w:t>Form of Certificate of Designation.</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w w:val="96"/>
              </w:rPr>
              <w:t>4.5*</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60" w:type="dxa"/>
            <w:vAlign w:val="bottom"/>
            <w:gridSpan w:val="12"/>
          </w:tcPr>
          <w:p>
            <w:pPr>
              <w:spacing w:after="0"/>
              <w:rPr>
                <w:sz w:val="20"/>
                <w:szCs w:val="20"/>
                <w:color w:val="auto"/>
              </w:rPr>
            </w:pPr>
            <w:r>
              <w:rPr>
                <w:rFonts w:ascii="Times New Roman" w:cs="Times New Roman" w:eastAsia="Times New Roman" w:hAnsi="Times New Roman"/>
                <w:sz w:val="13"/>
                <w:szCs w:val="13"/>
                <w:color w:val="auto"/>
              </w:rPr>
              <w:t>Form of Warrant Agreement.</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w w:val="96"/>
              </w:rPr>
              <w:t>4.6*</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60" w:type="dxa"/>
            <w:vAlign w:val="bottom"/>
            <w:gridSpan w:val="12"/>
          </w:tcPr>
          <w:p>
            <w:pPr>
              <w:spacing w:after="0"/>
              <w:rPr>
                <w:sz w:val="20"/>
                <w:szCs w:val="20"/>
                <w:color w:val="auto"/>
              </w:rPr>
            </w:pPr>
            <w:r>
              <w:rPr>
                <w:rFonts w:ascii="Times New Roman" w:cs="Times New Roman" w:eastAsia="Times New Roman" w:hAnsi="Times New Roman"/>
                <w:sz w:val="13"/>
                <w:szCs w:val="13"/>
                <w:color w:val="auto"/>
              </w:rPr>
              <w:t>Form of Warrant.</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w w:val="96"/>
              </w:rPr>
              <w:t>4.7*</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60" w:type="dxa"/>
            <w:vAlign w:val="bottom"/>
            <w:gridSpan w:val="12"/>
          </w:tcPr>
          <w:p>
            <w:pPr>
              <w:spacing w:after="0"/>
              <w:rPr>
                <w:sz w:val="20"/>
                <w:szCs w:val="20"/>
                <w:color w:val="auto"/>
              </w:rPr>
            </w:pPr>
            <w:r>
              <w:rPr>
                <w:rFonts w:ascii="Times New Roman" w:cs="Times New Roman" w:eastAsia="Times New Roman" w:hAnsi="Times New Roman"/>
                <w:sz w:val="13"/>
                <w:szCs w:val="13"/>
                <w:color w:val="auto"/>
              </w:rPr>
              <w:t>Form of Rights Agent Agreement.</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w w:val="96"/>
              </w:rPr>
              <w:t>4.8*</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60" w:type="dxa"/>
            <w:vAlign w:val="bottom"/>
            <w:gridSpan w:val="12"/>
          </w:tcPr>
          <w:p>
            <w:pPr>
              <w:spacing w:after="0"/>
              <w:rPr>
                <w:sz w:val="20"/>
                <w:szCs w:val="20"/>
                <w:color w:val="auto"/>
              </w:rPr>
            </w:pPr>
            <w:r>
              <w:rPr>
                <w:rFonts w:ascii="Times New Roman" w:cs="Times New Roman" w:eastAsia="Times New Roman" w:hAnsi="Times New Roman"/>
                <w:sz w:val="13"/>
                <w:szCs w:val="13"/>
                <w:color w:val="auto"/>
              </w:rPr>
              <w:t>Form of Unit Agreement.</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EE"/>
                <w:w w:val="85"/>
              </w:rPr>
              <w:t>5.</w:t>
            </w:r>
            <w:r>
              <w:rPr>
                <w:rFonts w:ascii="Times New Roman" w:cs="Times New Roman" w:eastAsia="Times New Roman" w:hAnsi="Times New Roman"/>
                <w:sz w:val="13"/>
                <w:szCs w:val="13"/>
                <w:u w:val="single" w:color="auto"/>
                <w:color w:val="0000EE"/>
                <w:w w:val="85"/>
              </w:rPr>
              <w:t>1</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60" w:type="dxa"/>
            <w:vAlign w:val="bottom"/>
            <w:gridSpan w:val="12"/>
          </w:tcPr>
          <w:p>
            <w:pPr>
              <w:spacing w:after="0"/>
              <w:rPr>
                <w:sz w:val="20"/>
                <w:szCs w:val="20"/>
                <w:color w:val="auto"/>
              </w:rPr>
            </w:pPr>
            <w:r>
              <w:rPr>
                <w:rFonts w:ascii="Times New Roman" w:cs="Times New Roman" w:eastAsia="Times New Roman" w:hAnsi="Times New Roman"/>
                <w:sz w:val="13"/>
                <w:szCs w:val="13"/>
                <w:color w:val="0000EE"/>
              </w:rPr>
              <w:t>Opinion of Cozen O’Connor.</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EE"/>
                <w:w w:val="85"/>
              </w:rPr>
              <w:t>5.</w:t>
            </w:r>
            <w:r>
              <w:rPr>
                <w:rFonts w:ascii="Times New Roman" w:cs="Times New Roman" w:eastAsia="Times New Roman" w:hAnsi="Times New Roman"/>
                <w:sz w:val="13"/>
                <w:szCs w:val="13"/>
                <w:u w:val="single" w:color="auto"/>
                <w:color w:val="0000EE"/>
                <w:w w:val="85"/>
              </w:rPr>
              <w:t>2</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60" w:type="dxa"/>
            <w:vAlign w:val="bottom"/>
            <w:gridSpan w:val="12"/>
          </w:tcPr>
          <w:p>
            <w:pPr>
              <w:spacing w:after="0"/>
              <w:rPr>
                <w:sz w:val="20"/>
                <w:szCs w:val="20"/>
                <w:color w:val="auto"/>
              </w:rPr>
            </w:pPr>
            <w:r>
              <w:rPr>
                <w:rFonts w:ascii="Times New Roman" w:cs="Times New Roman" w:eastAsia="Times New Roman" w:hAnsi="Times New Roman"/>
                <w:sz w:val="13"/>
                <w:szCs w:val="13"/>
                <w:color w:val="0000EE"/>
              </w:rPr>
              <w:t>Opinion of Cozen O’Connor.</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0000EE"/>
                <w:w w:val="96"/>
              </w:rPr>
              <w:t>23.</w:t>
            </w:r>
            <w:r>
              <w:rPr>
                <w:rFonts w:ascii="Times New Roman" w:cs="Times New Roman" w:eastAsia="Times New Roman" w:hAnsi="Times New Roman"/>
                <w:sz w:val="13"/>
                <w:szCs w:val="13"/>
                <w:u w:val="single" w:color="auto"/>
                <w:color w:val="0000EE"/>
                <w:w w:val="96"/>
              </w:rPr>
              <w:t>1</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60" w:type="dxa"/>
            <w:vAlign w:val="bottom"/>
            <w:gridSpan w:val="12"/>
          </w:tcPr>
          <w:p>
            <w:pPr>
              <w:spacing w:after="0"/>
              <w:rPr>
                <w:sz w:val="20"/>
                <w:szCs w:val="20"/>
                <w:color w:val="auto"/>
              </w:rPr>
            </w:pPr>
            <w:r>
              <w:rPr>
                <w:rFonts w:ascii="Times New Roman" w:cs="Times New Roman" w:eastAsia="Times New Roman" w:hAnsi="Times New Roman"/>
                <w:sz w:val="13"/>
                <w:szCs w:val="13"/>
                <w:color w:val="0000EE"/>
              </w:rPr>
              <w:t>Consent of Cozen O’Connor (contained within Exhibit 5.1).</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2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0000EE"/>
                <w:w w:val="96"/>
              </w:rPr>
              <w:t>23.</w:t>
            </w:r>
            <w:r>
              <w:rPr>
                <w:rFonts w:ascii="Times New Roman" w:cs="Times New Roman" w:eastAsia="Times New Roman" w:hAnsi="Times New Roman"/>
                <w:sz w:val="13"/>
                <w:szCs w:val="13"/>
                <w:u w:val="single" w:color="auto"/>
                <w:color w:val="0000EE"/>
                <w:w w:val="96"/>
              </w:rPr>
              <w:t>2</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60" w:type="dxa"/>
            <w:vAlign w:val="bottom"/>
            <w:gridSpan w:val="12"/>
          </w:tcPr>
          <w:p>
            <w:pPr>
              <w:spacing w:after="0"/>
              <w:rPr>
                <w:sz w:val="20"/>
                <w:szCs w:val="20"/>
                <w:color w:val="auto"/>
              </w:rPr>
            </w:pPr>
            <w:r>
              <w:rPr>
                <w:rFonts w:ascii="Times New Roman" w:cs="Times New Roman" w:eastAsia="Times New Roman" w:hAnsi="Times New Roman"/>
                <w:sz w:val="13"/>
                <w:szCs w:val="13"/>
                <w:color w:val="0000EE"/>
              </w:rPr>
              <w:t>Consent of Cozen O’Connor (contained within Exhibit 5.2).</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0000EE"/>
                <w:w w:val="96"/>
              </w:rPr>
              <w:t>23.</w:t>
            </w:r>
            <w:r>
              <w:rPr>
                <w:rFonts w:ascii="Times New Roman" w:cs="Times New Roman" w:eastAsia="Times New Roman" w:hAnsi="Times New Roman"/>
                <w:sz w:val="13"/>
                <w:szCs w:val="13"/>
                <w:u w:val="single" w:color="auto"/>
                <w:color w:val="0000EE"/>
                <w:w w:val="96"/>
              </w:rPr>
              <w:t>3</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60" w:type="dxa"/>
            <w:vAlign w:val="bottom"/>
            <w:gridSpan w:val="12"/>
          </w:tcPr>
          <w:p>
            <w:pPr>
              <w:spacing w:after="0"/>
              <w:rPr>
                <w:sz w:val="20"/>
                <w:szCs w:val="20"/>
                <w:color w:val="auto"/>
              </w:rPr>
            </w:pPr>
            <w:r>
              <w:rPr>
                <w:rFonts w:ascii="Times New Roman" w:cs="Times New Roman" w:eastAsia="Times New Roman" w:hAnsi="Times New Roman"/>
                <w:sz w:val="13"/>
                <w:szCs w:val="13"/>
                <w:color w:val="0000EE"/>
              </w:rPr>
              <w:t>Consent of KPMG LLP.</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4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0000EE"/>
                <w:w w:val="96"/>
              </w:rPr>
              <w:t>23.</w:t>
            </w:r>
            <w:r>
              <w:rPr>
                <w:rFonts w:ascii="Times New Roman" w:cs="Times New Roman" w:eastAsia="Times New Roman" w:hAnsi="Times New Roman"/>
                <w:sz w:val="13"/>
                <w:szCs w:val="13"/>
                <w:u w:val="single" w:color="auto"/>
                <w:color w:val="0000EE"/>
                <w:w w:val="96"/>
              </w:rPr>
              <w:t>4</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60" w:type="dxa"/>
            <w:vAlign w:val="bottom"/>
            <w:gridSpan w:val="12"/>
          </w:tcPr>
          <w:p>
            <w:pPr>
              <w:spacing w:after="0"/>
              <w:rPr>
                <w:sz w:val="20"/>
                <w:szCs w:val="20"/>
                <w:color w:val="auto"/>
              </w:rPr>
            </w:pPr>
            <w:r>
              <w:rPr>
                <w:rFonts w:ascii="Times New Roman" w:cs="Times New Roman" w:eastAsia="Times New Roman" w:hAnsi="Times New Roman"/>
                <w:sz w:val="13"/>
                <w:szCs w:val="13"/>
                <w:color w:val="0000EE"/>
              </w:rPr>
              <w:t>Consent of Baker Tilly US, LLP.</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4"/>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4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0000EE"/>
                <w:w w:val="96"/>
              </w:rPr>
              <w:t>24.</w:t>
            </w:r>
            <w:r>
              <w:rPr>
                <w:rFonts w:ascii="Times New Roman" w:cs="Times New Roman" w:eastAsia="Times New Roman" w:hAnsi="Times New Roman"/>
                <w:sz w:val="13"/>
                <w:szCs w:val="13"/>
                <w:u w:val="single" w:color="auto"/>
                <w:color w:val="0000EE"/>
                <w:w w:val="96"/>
              </w:rPr>
              <w:t>1</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60" w:type="dxa"/>
            <w:vAlign w:val="bottom"/>
            <w:gridSpan w:val="12"/>
          </w:tcPr>
          <w:p>
            <w:pPr>
              <w:spacing w:after="0"/>
              <w:rPr>
                <w:sz w:val="20"/>
                <w:szCs w:val="20"/>
                <w:color w:val="auto"/>
              </w:rPr>
            </w:pPr>
            <w:r>
              <w:rPr>
                <w:rFonts w:ascii="Times New Roman" w:cs="Times New Roman" w:eastAsia="Times New Roman" w:hAnsi="Times New Roman"/>
                <w:sz w:val="13"/>
                <w:szCs w:val="13"/>
                <w:color w:val="0000EE"/>
              </w:rPr>
              <w:t>Powers of Attorney(included on signature page).</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9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25.1**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60" w:type="dxa"/>
            <w:vAlign w:val="bottom"/>
            <w:gridSpan w:val="12"/>
          </w:tcPr>
          <w:p>
            <w:pPr>
              <w:spacing w:after="0"/>
              <w:rPr>
                <w:sz w:val="20"/>
                <w:szCs w:val="20"/>
                <w:color w:val="auto"/>
              </w:rPr>
            </w:pPr>
            <w:r>
              <w:rPr>
                <w:rFonts w:ascii="Times New Roman" w:cs="Times New Roman" w:eastAsia="Times New Roman" w:hAnsi="Times New Roman"/>
                <w:sz w:val="13"/>
                <w:szCs w:val="13"/>
                <w:color w:val="auto"/>
              </w:rPr>
              <w:t>Statement of Eligibility under the Trust Indenture Act of 1939, as amended, of the Trustee, as Trustee</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60" w:type="dxa"/>
            <w:vAlign w:val="bottom"/>
            <w:gridSpan w:val="12"/>
          </w:tcPr>
          <w:p>
            <w:pPr>
              <w:spacing w:after="0"/>
              <w:rPr>
                <w:sz w:val="20"/>
                <w:szCs w:val="20"/>
                <w:color w:val="auto"/>
              </w:rPr>
            </w:pPr>
            <w:r>
              <w:rPr>
                <w:rFonts w:ascii="Times New Roman" w:cs="Times New Roman" w:eastAsia="Times New Roman" w:hAnsi="Times New Roman"/>
                <w:sz w:val="13"/>
                <w:szCs w:val="13"/>
                <w:color w:val="auto"/>
              </w:rPr>
              <w:t>under the Indenture.</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8" w:lineRule="exact"/>
        <w:rPr>
          <w:sz w:val="20"/>
          <w:szCs w:val="20"/>
          <w:color w:val="auto"/>
        </w:rPr>
      </w:pPr>
    </w:p>
    <w:p>
      <w:pPr>
        <w:ind w:left="1160" w:hanging="1142"/>
        <w:spacing w:after="0"/>
        <w:tabs>
          <w:tab w:leader="none" w:pos="1160" w:val="left"/>
        </w:tabs>
        <w:numPr>
          <w:ilvl w:val="1"/>
          <w:numId w:val="36"/>
        </w:numPr>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3"/>
          <w:szCs w:val="13"/>
          <w:u w:val="single" w:color="auto"/>
          <w:color w:val="0000EE"/>
        </w:rPr>
        <w:t>Filing Fee Table.</w:t>
      </w:r>
    </w:p>
    <w:p>
      <w:pPr>
        <w:spacing w:after="0" w:line="200" w:lineRule="exact"/>
        <w:rPr>
          <w:rFonts w:ascii="Times New Roman" w:cs="Times New Roman" w:eastAsia="Times New Roman" w:hAnsi="Times New Roman"/>
          <w:sz w:val="13"/>
          <w:szCs w:val="13"/>
          <w:u w:val="single" w:color="auto"/>
          <w:color w:val="0000EE"/>
        </w:rPr>
      </w:pPr>
    </w:p>
    <w:p>
      <w:pPr>
        <w:spacing w:after="0" w:line="256" w:lineRule="exact"/>
        <w:rPr>
          <w:rFonts w:ascii="Times New Roman" w:cs="Times New Roman" w:eastAsia="Times New Roman" w:hAnsi="Times New Roman"/>
          <w:sz w:val="13"/>
          <w:szCs w:val="13"/>
          <w:u w:val="single" w:color="auto"/>
          <w:color w:val="0000EE"/>
        </w:rPr>
      </w:pPr>
    </w:p>
    <w:p>
      <w:pPr>
        <w:spacing w:after="0"/>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3"/>
          <w:szCs w:val="13"/>
          <w:color w:val="auto"/>
        </w:rPr>
        <w:t>*To be filed, if necessary, by a post-effective amendment to the registration statement or as an exhibit to a document incorporated by reference herein.</w:t>
      </w:r>
    </w:p>
    <w:p>
      <w:pPr>
        <w:spacing w:after="0" w:line="173" w:lineRule="exact"/>
        <w:rPr>
          <w:rFonts w:ascii="Times New Roman" w:cs="Times New Roman" w:eastAsia="Times New Roman" w:hAnsi="Times New Roman"/>
          <w:sz w:val="13"/>
          <w:szCs w:val="13"/>
          <w:u w:val="single" w:color="auto"/>
          <w:color w:val="0000EE"/>
        </w:rPr>
      </w:pPr>
    </w:p>
    <w:p>
      <w:pPr>
        <w:ind w:left="480" w:hanging="479"/>
        <w:spacing w:after="0"/>
        <w:tabs>
          <w:tab w:leader="none" w:pos="48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be filed pursuant to Section 305(b)(2) of the Trust Indenture Act of 1939.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-330200</wp:posOffset>
            </wp:positionV>
            <wp:extent cx="1790065"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2">
                      <a:extLst>
                        <a:ext uri="{28A0092B-C50C-407E-A947-70E740481C1C}"/>
                      </a:extLst>
                    </a:blip>
                    <a:srcRect/>
                    <a:stretch>
                      <a:fillRect/>
                    </a:stretch>
                  </pic:blipFill>
                  <pic:spPr bwMode="auto">
                    <a:xfrm>
                      <a:off x="0" y="0"/>
                      <a:ext cx="1790065"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342900</wp:posOffset>
            </wp:positionV>
            <wp:extent cx="7166610"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3">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3"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3"/>
          <w:szCs w:val="13"/>
          <w:b w:val="1"/>
          <w:bCs w:val="1"/>
          <w:color w:val="auto"/>
        </w:rPr>
        <w:t xml:space="preserve">Item 17. </w:t>
      </w:r>
      <w:r>
        <w:rPr>
          <w:rFonts w:ascii="Times New Roman" w:cs="Times New Roman" w:eastAsia="Times New Roman" w:hAnsi="Times New Roman"/>
          <w:sz w:val="13"/>
          <w:szCs w:val="13"/>
          <w:b w:val="1"/>
          <w:bCs w:val="1"/>
          <w:i w:val="1"/>
          <w:iCs w:val="1"/>
          <w:color w:val="auto"/>
        </w:rPr>
        <w:t>Undertakings</w:t>
      </w:r>
      <w:r>
        <w:rPr>
          <w:rFonts w:ascii="Times New Roman" w:cs="Times New Roman" w:eastAsia="Times New Roman" w:hAnsi="Times New Roman"/>
          <w:sz w:val="13"/>
          <w:szCs w:val="13"/>
          <w:b w:val="1"/>
          <w:bCs w:val="1"/>
          <w:color w:val="auto"/>
        </w:rPr>
        <w:t>.</w:t>
      </w:r>
    </w:p>
    <w:p>
      <w:pPr>
        <w:spacing w:after="0" w:line="178" w:lineRule="exact"/>
        <w:rPr>
          <w:sz w:val="20"/>
          <w:szCs w:val="20"/>
          <w:color w:val="auto"/>
        </w:rPr>
      </w:pPr>
    </w:p>
    <w:p>
      <w:pPr>
        <w:ind w:left="800" w:hanging="456"/>
        <w:spacing w:after="0"/>
        <w:tabs>
          <w:tab w:leader="none" w:pos="800" w:val="left"/>
        </w:tabs>
        <w:numPr>
          <w:ilvl w:val="1"/>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undersigned registrant hereby undertakes:</w:t>
      </w:r>
    </w:p>
    <w:p>
      <w:pPr>
        <w:spacing w:after="0" w:line="173" w:lineRule="exact"/>
        <w:rPr>
          <w:rFonts w:ascii="Times New Roman" w:cs="Times New Roman" w:eastAsia="Times New Roman" w:hAnsi="Times New Roman"/>
          <w:sz w:val="13"/>
          <w:szCs w:val="13"/>
          <w:color w:val="auto"/>
        </w:rPr>
      </w:pPr>
    </w:p>
    <w:p>
      <w:pPr>
        <w:ind w:left="560" w:hanging="327"/>
        <w:spacing w:after="0"/>
        <w:tabs>
          <w:tab w:leader="none" w:pos="56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file, during any period in which offers or sales are being made, a post-effective amendment to this registration statement:</w:t>
      </w:r>
    </w:p>
    <w:p>
      <w:pPr>
        <w:spacing w:after="0" w:line="173" w:lineRule="exact"/>
        <w:rPr>
          <w:rFonts w:ascii="Times New Roman" w:cs="Times New Roman" w:eastAsia="Times New Roman" w:hAnsi="Times New Roman"/>
          <w:sz w:val="13"/>
          <w:szCs w:val="13"/>
          <w:color w:val="auto"/>
        </w:rPr>
      </w:pPr>
    </w:p>
    <w:p>
      <w:pPr>
        <w:ind w:left="920" w:hanging="353"/>
        <w:spacing w:after="0"/>
        <w:tabs>
          <w:tab w:leader="none" w:pos="920" w:val="left"/>
        </w:tabs>
        <w:numPr>
          <w:ilvl w:val="2"/>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include any prospectus required by Section 10(a)(3) of the Securities Act;</w:t>
      </w:r>
    </w:p>
    <w:p>
      <w:pPr>
        <w:spacing w:after="0" w:line="173" w:lineRule="exact"/>
        <w:rPr>
          <w:rFonts w:ascii="Times New Roman" w:cs="Times New Roman" w:eastAsia="Times New Roman" w:hAnsi="Times New Roman"/>
          <w:sz w:val="13"/>
          <w:szCs w:val="13"/>
          <w:color w:val="auto"/>
        </w:rPr>
      </w:pPr>
    </w:p>
    <w:p>
      <w:pPr>
        <w:jc w:val="both"/>
        <w:ind w:left="920" w:hanging="353"/>
        <w:spacing w:after="0" w:line="269" w:lineRule="auto"/>
        <w:tabs>
          <w:tab w:leader="none" w:pos="920" w:val="left"/>
        </w:tabs>
        <w:numPr>
          <w:ilvl w:val="2"/>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32" w:lineRule="exact"/>
        <w:rPr>
          <w:rFonts w:ascii="Times New Roman" w:cs="Times New Roman" w:eastAsia="Times New Roman" w:hAnsi="Times New Roman"/>
          <w:sz w:val="13"/>
          <w:szCs w:val="13"/>
          <w:color w:val="auto"/>
        </w:rPr>
      </w:pPr>
    </w:p>
    <w:p>
      <w:pPr>
        <w:jc w:val="both"/>
        <w:ind w:left="920" w:hanging="353"/>
        <w:spacing w:after="0" w:line="272" w:lineRule="auto"/>
        <w:tabs>
          <w:tab w:leader="none" w:pos="920" w:val="left"/>
        </w:tabs>
        <w:numPr>
          <w:ilvl w:val="2"/>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To include any material information with respect to the plan of distribution not previously disclosed in the registration statement or any material change to such information in the registration statement;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xml:space="preserve"> that paragraphs (i), (ii) and (iii) do not apply if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30" w:lineRule="exact"/>
        <w:rPr>
          <w:rFonts w:ascii="Times New Roman" w:cs="Times New Roman" w:eastAsia="Times New Roman" w:hAnsi="Times New Roman"/>
          <w:sz w:val="13"/>
          <w:szCs w:val="13"/>
          <w:color w:val="auto"/>
        </w:rPr>
      </w:pPr>
    </w:p>
    <w:p>
      <w:pPr>
        <w:ind w:left="560" w:hanging="327"/>
        <w:spacing w:after="0" w:line="298" w:lineRule="auto"/>
        <w:tabs>
          <w:tab w:leader="none" w:pos="56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3"/>
          <w:szCs w:val="13"/>
          <w:i w:val="1"/>
          <w:iCs w:val="1"/>
          <w:color w:val="auto"/>
        </w:rPr>
        <w:t>bona fide</w:t>
      </w:r>
      <w:r>
        <w:rPr>
          <w:rFonts w:ascii="Times New Roman" w:cs="Times New Roman" w:eastAsia="Times New Roman" w:hAnsi="Times New Roman"/>
          <w:sz w:val="13"/>
          <w:szCs w:val="13"/>
          <w:color w:val="auto"/>
        </w:rPr>
        <w:t xml:space="preserve"> offering thereof;</w:t>
      </w:r>
    </w:p>
    <w:p>
      <w:pPr>
        <w:spacing w:after="0" w:line="113" w:lineRule="exact"/>
        <w:rPr>
          <w:rFonts w:ascii="Times New Roman" w:cs="Times New Roman" w:eastAsia="Times New Roman" w:hAnsi="Times New Roman"/>
          <w:sz w:val="13"/>
          <w:szCs w:val="13"/>
          <w:color w:val="auto"/>
        </w:rPr>
      </w:pPr>
    </w:p>
    <w:p>
      <w:pPr>
        <w:ind w:left="560" w:hanging="327"/>
        <w:spacing w:after="0"/>
        <w:tabs>
          <w:tab w:leader="none" w:pos="56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remove from registration by means of a post-effective amendment any of the securities being registered which remain unsold at the termination of the offering;</w:t>
      </w:r>
    </w:p>
    <w:p>
      <w:pPr>
        <w:spacing w:after="0" w:line="173" w:lineRule="exact"/>
        <w:rPr>
          <w:rFonts w:ascii="Times New Roman" w:cs="Times New Roman" w:eastAsia="Times New Roman" w:hAnsi="Times New Roman"/>
          <w:sz w:val="13"/>
          <w:szCs w:val="13"/>
          <w:color w:val="auto"/>
        </w:rPr>
      </w:pPr>
    </w:p>
    <w:p>
      <w:pPr>
        <w:ind w:left="560" w:hanging="327"/>
        <w:spacing w:after="0"/>
        <w:tabs>
          <w:tab w:leader="none" w:pos="56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for the purpose of determining liability under the Securities Act of 1933 to any purchaser:</w:t>
      </w:r>
    </w:p>
    <w:p>
      <w:pPr>
        <w:spacing w:after="0" w:line="174" w:lineRule="exact"/>
        <w:rPr>
          <w:sz w:val="20"/>
          <w:szCs w:val="20"/>
          <w:color w:val="auto"/>
        </w:rPr>
      </w:pPr>
    </w:p>
    <w:p>
      <w:pPr>
        <w:jc w:val="both"/>
        <w:ind w:left="240"/>
        <w:spacing w:after="0" w:line="269" w:lineRule="auto"/>
        <w:rPr>
          <w:sz w:val="20"/>
          <w:szCs w:val="20"/>
          <w:color w:val="auto"/>
        </w:rPr>
      </w:pPr>
      <w:r>
        <w:rPr>
          <w:rFonts w:ascii="Times New Roman" w:cs="Times New Roman" w:eastAsia="Times New Roman" w:hAnsi="Times New Roman"/>
          <w:sz w:val="13"/>
          <w:szCs w:val="13"/>
          <w:color w:val="auto"/>
        </w:rPr>
        <w:t xml:space="preserve">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and</w:t>
      </w:r>
    </w:p>
    <w:p>
      <w:pPr>
        <w:spacing w:after="0" w:line="132" w:lineRule="exact"/>
        <w:rPr>
          <w:sz w:val="20"/>
          <w:szCs w:val="20"/>
          <w:color w:val="auto"/>
        </w:rPr>
      </w:pPr>
    </w:p>
    <w:p>
      <w:pPr>
        <w:jc w:val="both"/>
        <w:ind w:left="560" w:hanging="327"/>
        <w:spacing w:after="0" w:line="272" w:lineRule="auto"/>
        <w:tabs>
          <w:tab w:leader="none" w:pos="56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30" w:lineRule="exact"/>
        <w:rPr>
          <w:rFonts w:ascii="Times New Roman" w:cs="Times New Roman" w:eastAsia="Times New Roman" w:hAnsi="Times New Roman"/>
          <w:sz w:val="13"/>
          <w:szCs w:val="13"/>
          <w:color w:val="auto"/>
        </w:rPr>
      </w:pPr>
    </w:p>
    <w:p>
      <w:pPr>
        <w:ind w:left="920" w:hanging="353"/>
        <w:spacing w:after="0"/>
        <w:tabs>
          <w:tab w:leader="none" w:pos="920" w:val="left"/>
        </w:tabs>
        <w:numPr>
          <w:ilvl w:val="1"/>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preliminary prospectus or prospectus of the undersigned registrant relating to the offering required to be filed pursuant to Rule 424;</w:t>
      </w:r>
    </w:p>
    <w:p>
      <w:pPr>
        <w:spacing w:after="0" w:line="173" w:lineRule="exact"/>
        <w:rPr>
          <w:rFonts w:ascii="Times New Roman" w:cs="Times New Roman" w:eastAsia="Times New Roman" w:hAnsi="Times New Roman"/>
          <w:sz w:val="13"/>
          <w:szCs w:val="13"/>
          <w:color w:val="auto"/>
        </w:rPr>
      </w:pPr>
    </w:p>
    <w:p>
      <w:pPr>
        <w:ind w:left="920" w:hanging="353"/>
        <w:spacing w:after="0"/>
        <w:tabs>
          <w:tab w:leader="none" w:pos="920" w:val="left"/>
        </w:tabs>
        <w:numPr>
          <w:ilvl w:val="1"/>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free writing prospectus relating to the offering prepared by or on behalf of the undersigned registrant or used or referred to by the undersigned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336550</wp:posOffset>
            </wp:positionV>
            <wp:extent cx="7166610"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4">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547" w:right="319" w:bottom="1440" w:gutter="0" w:footer="0" w:header="0"/>
        </w:sectPr>
      </w:pPr>
    </w:p>
    <w:bookmarkStart w:id="50" w:name="page51"/>
    <w:bookmarkEnd w:id="50"/>
    <w:p>
      <w:pPr>
        <w:ind w:left="687" w:hanging="353"/>
        <w:spacing w:after="0" w:line="298" w:lineRule="auto"/>
        <w:tabs>
          <w:tab w:leader="none" w:pos="687" w:val="left"/>
        </w:tabs>
        <w:numPr>
          <w:ilvl w:val="2"/>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portion of any other free writing prospectus relating to the offering containing material information about the undersigned registrant or its securities provided by or on behalf of an undersigned registrant; and</w:t>
      </w:r>
    </w:p>
    <w:p>
      <w:pPr>
        <w:spacing w:after="0" w:line="113" w:lineRule="exact"/>
        <w:rPr>
          <w:rFonts w:ascii="Times New Roman" w:cs="Times New Roman" w:eastAsia="Times New Roman" w:hAnsi="Times New Roman"/>
          <w:sz w:val="13"/>
          <w:szCs w:val="13"/>
          <w:color w:val="auto"/>
        </w:rPr>
      </w:pPr>
    </w:p>
    <w:p>
      <w:pPr>
        <w:ind w:left="687" w:hanging="353"/>
        <w:spacing w:after="0"/>
        <w:tabs>
          <w:tab w:leader="none" w:pos="687" w:val="left"/>
        </w:tabs>
        <w:numPr>
          <w:ilvl w:val="2"/>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communication that is an offer in the offering made by the undersigned registrant to the purchaser.</w:t>
      </w:r>
    </w:p>
    <w:p>
      <w:pPr>
        <w:spacing w:after="0" w:line="173" w:lineRule="exact"/>
        <w:rPr>
          <w:rFonts w:ascii="Times New Roman" w:cs="Times New Roman" w:eastAsia="Times New Roman" w:hAnsi="Times New Roman"/>
          <w:sz w:val="13"/>
          <w:szCs w:val="13"/>
          <w:color w:val="auto"/>
        </w:rPr>
      </w:pPr>
    </w:p>
    <w:p>
      <w:pPr>
        <w:ind w:left="327" w:hanging="327"/>
        <w:spacing w:after="0" w:line="298" w:lineRule="auto"/>
        <w:tabs>
          <w:tab w:leader="none" w:pos="327"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file an application for the purpose of determining the eligibility of the trustee to act under subsection (a) of section 310 of the Trust Indenture Act (“Act”) in accordance with the rules and regulations prescribed by the Commission under section 305(b)(2) of the Act.</w:t>
      </w:r>
    </w:p>
    <w:p>
      <w:pPr>
        <w:spacing w:after="0" w:line="113" w:lineRule="exact"/>
        <w:rPr>
          <w:rFonts w:ascii="Times New Roman" w:cs="Times New Roman" w:eastAsia="Times New Roman" w:hAnsi="Times New Roman"/>
          <w:sz w:val="13"/>
          <w:szCs w:val="13"/>
          <w:color w:val="auto"/>
        </w:rPr>
      </w:pPr>
    </w:p>
    <w:p>
      <w:pPr>
        <w:jc w:val="both"/>
        <w:ind w:left="567" w:hanging="456"/>
        <w:spacing w:after="0" w:line="272" w:lineRule="auto"/>
        <w:tabs>
          <w:tab w:leader="none" w:pos="567" w:val="left"/>
        </w:tabs>
        <w:numPr>
          <w:ilvl w:val="1"/>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3"/>
          <w:szCs w:val="13"/>
          <w:i w:val="1"/>
          <w:iCs w:val="1"/>
          <w:color w:val="auto"/>
        </w:rPr>
        <w:t>bona fide</w:t>
      </w:r>
      <w:r>
        <w:rPr>
          <w:rFonts w:ascii="Times New Roman" w:cs="Times New Roman" w:eastAsia="Times New Roman" w:hAnsi="Times New Roman"/>
          <w:sz w:val="13"/>
          <w:szCs w:val="13"/>
          <w:color w:val="auto"/>
        </w:rPr>
        <w:t xml:space="preserve"> offering thereof.</w:t>
      </w:r>
    </w:p>
    <w:p>
      <w:pPr>
        <w:spacing w:after="0" w:line="130" w:lineRule="exact"/>
        <w:rPr>
          <w:rFonts w:ascii="Times New Roman" w:cs="Times New Roman" w:eastAsia="Times New Roman" w:hAnsi="Times New Roman"/>
          <w:sz w:val="13"/>
          <w:szCs w:val="13"/>
          <w:color w:val="auto"/>
        </w:rPr>
      </w:pPr>
    </w:p>
    <w:p>
      <w:pPr>
        <w:jc w:val="both"/>
        <w:ind w:left="567" w:hanging="456"/>
        <w:spacing w:after="0" w:line="267" w:lineRule="auto"/>
        <w:tabs>
          <w:tab w:leader="none" w:pos="567" w:val="left"/>
        </w:tabs>
        <w:numPr>
          <w:ilvl w:val="1"/>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311150</wp:posOffset>
            </wp:positionV>
            <wp:extent cx="7166610"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5">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047"/>
          </w:cols>
          <w:pgMar w:left="533" w:top="713" w:right="31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7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Torrance, State of California on June 8, 2026.</w:t>
      </w:r>
    </w:p>
    <w:p>
      <w:pPr>
        <w:spacing w:after="0" w:line="11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3"/>
          <w:szCs w:val="13"/>
          <w:b w:val="1"/>
          <w:bCs w:val="1"/>
          <w:color w:val="auto"/>
        </w:rPr>
        <w:t>NAVITAS SEMICONDUCTOR CORPORATION</w:t>
      </w:r>
    </w:p>
    <w:p>
      <w:pPr>
        <w:spacing w:after="0" w:line="178" w:lineRule="exact"/>
        <w:rPr>
          <w:sz w:val="20"/>
          <w:szCs w:val="20"/>
          <w:color w:val="auto"/>
        </w:rPr>
      </w:pPr>
    </w:p>
    <w:p>
      <w:pPr>
        <w:ind w:left="5660"/>
        <w:spacing w:after="0"/>
        <w:tabs>
          <w:tab w:leader="none" w:pos="5980" w:val="left"/>
        </w:tabs>
        <w:rPr>
          <w:sz w:val="20"/>
          <w:szCs w:val="20"/>
          <w:color w:val="auto"/>
        </w:rPr>
      </w:pPr>
      <w:r>
        <w:rPr>
          <w:rFonts w:ascii="Times New Roman" w:cs="Times New Roman" w:eastAsia="Times New Roman" w:hAnsi="Times New Roman"/>
          <w:sz w:val="13"/>
          <w:szCs w:val="13"/>
          <w:color w:val="auto"/>
        </w:rPr>
        <w:t>By:</w:t>
        <w:tab/>
        <w:t>/s/ Chris Allexandre</w:t>
      </w:r>
    </w:p>
    <w:p>
      <w:pPr>
        <w:spacing w:after="0" w:line="2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3"/>
          <w:szCs w:val="13"/>
          <w:color w:val="auto"/>
        </w:rPr>
        <w:t>Chris Allexandre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-93980</wp:posOffset>
            </wp:positionV>
            <wp:extent cx="3362325"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6">
                      <a:extLst>
                        <a:ext uri="{28A0092B-C50C-407E-A947-70E740481C1C}"/>
                      </a:extLst>
                    </a:blip>
                    <a:srcRect/>
                    <a:stretch>
                      <a:fillRect/>
                    </a:stretch>
                  </pic:blipFill>
                  <pic:spPr bwMode="auto">
                    <a:xfrm>
                      <a:off x="0" y="0"/>
                      <a:ext cx="3362325" cy="6350"/>
                    </a:xfrm>
                    <a:prstGeom prst="rect">
                      <a:avLst/>
                    </a:prstGeom>
                    <a:noFill/>
                  </pic:spPr>
                </pic:pic>
              </a:graphicData>
            </a:graphic>
          </wp:anchor>
        </w:drawing>
      </w:r>
    </w:p>
    <w:p>
      <w:pPr>
        <w:spacing w:after="0" w:line="2"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3"/>
          <w:szCs w:val="13"/>
          <w:color w:val="auto"/>
        </w:rPr>
        <w:t>President and Chief Executive Officer</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POWER OF ATTORNEY</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Each person whose signature appears below hereby appoints Chris Allexandre, Tonya Stevens and Matthew Sant, and each of them acting alone, as his or her true and lawful attorney-in-fact, with full power of substitution, and with the authority to execute in the name of each such person, any and all amendments (including without limitation, post-effective amendments) to this registration statement on Form S-3, to sign any and all additional registration statements relating to the same offering of securities as this registration statement that are filed pursuant to Rule 462(b) of the Securities Act of 1933, and to file such registration statements with the Securities and Exchange Commission, together with any exhibits thereto and other documents therewith, necessary or advisable to enable the registrant to comply with the Securities Act of 1933, and any rules, regulations and requirements of the Securities and Exchange Commission in respect thereof, which amendments may make such other changes in the registration statement as the aforesaid attorney-in-fact executing the same deems appropriate.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Pursuant to the requirements of the Securities Act of 1933, this registration statement has been signed by the following persons in the capacities indicated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Signature</w:t>
            </w:r>
          </w:p>
        </w:tc>
        <w:tc>
          <w:tcPr>
            <w:tcW w:w="220" w:type="dxa"/>
            <w:vAlign w:val="bottom"/>
          </w:tcPr>
          <w:p>
            <w:pPr>
              <w:spacing w:after="0"/>
              <w:rPr>
                <w:sz w:val="15"/>
                <w:szCs w:val="15"/>
                <w:color w:val="auto"/>
              </w:rPr>
            </w:pPr>
          </w:p>
        </w:tc>
        <w:tc>
          <w:tcPr>
            <w:tcW w:w="5640" w:type="dxa"/>
            <w:vAlign w:val="bottom"/>
            <w:tcBorders>
              <w:bottom w:val="single" w:sz="8" w:color="auto"/>
            </w:tcBorders>
          </w:tcPr>
          <w:p>
            <w:pPr>
              <w:ind w:left="2700"/>
              <w:spacing w:after="0"/>
              <w:rPr>
                <w:sz w:val="20"/>
                <w:szCs w:val="20"/>
                <w:color w:val="auto"/>
              </w:rPr>
            </w:pPr>
            <w:r>
              <w:rPr>
                <w:rFonts w:ascii="Times New Roman" w:cs="Times New Roman" w:eastAsia="Times New Roman" w:hAnsi="Times New Roman"/>
                <w:sz w:val="13"/>
                <w:szCs w:val="13"/>
                <w:b w:val="1"/>
                <w:bCs w:val="1"/>
                <w:color w:val="auto"/>
              </w:rPr>
              <w:t>Title</w:t>
            </w:r>
          </w:p>
        </w:tc>
        <w:tc>
          <w:tcPr>
            <w:tcW w:w="220" w:type="dxa"/>
            <w:vAlign w:val="bottom"/>
          </w:tcPr>
          <w:p>
            <w:pPr>
              <w:spacing w:after="0"/>
              <w:rPr>
                <w:sz w:val="15"/>
                <w:szCs w:val="15"/>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r>
      <w:tr>
        <w:trPr>
          <w:trHeight w:val="313"/>
        </w:trPr>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Chris Allexandre</w:t>
            </w:r>
          </w:p>
        </w:tc>
        <w:tc>
          <w:tcPr>
            <w:tcW w:w="608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President, Chief Executive Officer and 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June 8, 2026</w:t>
            </w:r>
          </w:p>
        </w:tc>
      </w:tr>
      <w:tr>
        <w:trPr>
          <w:trHeight w:val="165"/>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Chris Allexandre</w:t>
            </w:r>
          </w:p>
        </w:tc>
        <w:tc>
          <w:tcPr>
            <w:tcW w:w="608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(Principal Executive Officer)</w:t>
            </w:r>
          </w:p>
        </w:tc>
        <w:tc>
          <w:tcPr>
            <w:tcW w:w="1800" w:type="dxa"/>
            <w:vAlign w:val="bottom"/>
          </w:tcPr>
          <w:p>
            <w:pPr>
              <w:spacing w:after="0"/>
              <w:rPr>
                <w:sz w:val="14"/>
                <w:szCs w:val="14"/>
                <w:color w:val="auto"/>
              </w:rPr>
            </w:pPr>
          </w:p>
        </w:tc>
      </w:tr>
      <w:tr>
        <w:trPr>
          <w:trHeight w:val="311"/>
        </w:trPr>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Tonya Stevens</w:t>
            </w:r>
          </w:p>
        </w:tc>
        <w:tc>
          <w:tcPr>
            <w:tcW w:w="608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Chief Financial Officer and Treasurer</w:t>
            </w:r>
          </w:p>
        </w:tc>
        <w:tc>
          <w:tcPr>
            <w:tcW w:w="1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June 8, 2026</w:t>
            </w:r>
          </w:p>
        </w:tc>
      </w:tr>
      <w:tr>
        <w:trPr>
          <w:trHeight w:val="165"/>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Tonya Stevens</w:t>
            </w:r>
          </w:p>
        </w:tc>
        <w:tc>
          <w:tcPr>
            <w:tcW w:w="608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(Principal Financial Officer and Principal Accounting Officer)</w:t>
            </w:r>
          </w:p>
        </w:tc>
        <w:tc>
          <w:tcPr>
            <w:tcW w:w="1800" w:type="dxa"/>
            <w:vAlign w:val="bottom"/>
          </w:tcPr>
          <w:p>
            <w:pPr>
              <w:spacing w:after="0"/>
              <w:rPr>
                <w:sz w:val="14"/>
                <w:szCs w:val="14"/>
                <w:color w:val="auto"/>
              </w:rPr>
            </w:pPr>
          </w:p>
        </w:tc>
      </w:tr>
      <w:tr>
        <w:trPr>
          <w:trHeight w:val="311"/>
        </w:trPr>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Richard J. Hendrix</w:t>
            </w:r>
          </w:p>
        </w:tc>
        <w:tc>
          <w:tcPr>
            <w:tcW w:w="608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Director and Chairman of the Board</w:t>
            </w:r>
          </w:p>
        </w:tc>
        <w:tc>
          <w:tcPr>
            <w:tcW w:w="1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June 8, 2026</w:t>
            </w:r>
          </w:p>
        </w:tc>
      </w:tr>
      <w:tr>
        <w:trPr>
          <w:trHeight w:val="164"/>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Richard J. Hendrix</w:t>
            </w:r>
          </w:p>
        </w:tc>
        <w:tc>
          <w:tcPr>
            <w:tcW w:w="2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311"/>
        </w:trPr>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Cristiano Amoruso</w:t>
            </w:r>
          </w:p>
        </w:tc>
        <w:tc>
          <w:tcPr>
            <w:tcW w:w="608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June 8, 2026</w:t>
            </w:r>
          </w:p>
        </w:tc>
      </w:tr>
      <w:tr>
        <w:trPr>
          <w:trHeight w:val="164"/>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Cristiano Amoruso</w:t>
            </w:r>
          </w:p>
        </w:tc>
        <w:tc>
          <w:tcPr>
            <w:tcW w:w="2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311"/>
        </w:trPr>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Gregory M. Fischer</w:t>
            </w:r>
          </w:p>
        </w:tc>
        <w:tc>
          <w:tcPr>
            <w:tcW w:w="608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June 8, 2026</w:t>
            </w:r>
          </w:p>
        </w:tc>
      </w:tr>
      <w:tr>
        <w:trPr>
          <w:trHeight w:val="164"/>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Gregory M. Fischer</w:t>
            </w:r>
          </w:p>
        </w:tc>
        <w:tc>
          <w:tcPr>
            <w:tcW w:w="2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311"/>
        </w:trPr>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Davin D. Lee</w:t>
            </w:r>
          </w:p>
        </w:tc>
        <w:tc>
          <w:tcPr>
            <w:tcW w:w="608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June 8, 2026</w:t>
            </w:r>
          </w:p>
        </w:tc>
      </w:tr>
      <w:tr>
        <w:trPr>
          <w:trHeight w:val="164"/>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Davin D. Lee</w:t>
            </w:r>
          </w:p>
        </w:tc>
        <w:tc>
          <w:tcPr>
            <w:tcW w:w="2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311"/>
        </w:trPr>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Brian Long</w:t>
            </w:r>
          </w:p>
        </w:tc>
        <w:tc>
          <w:tcPr>
            <w:tcW w:w="608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June 8, 2026</w:t>
            </w:r>
          </w:p>
        </w:tc>
      </w:tr>
      <w:tr>
        <w:trPr>
          <w:trHeight w:val="164"/>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Brian Long</w:t>
            </w:r>
          </w:p>
        </w:tc>
        <w:tc>
          <w:tcPr>
            <w:tcW w:w="2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513"/>
        </w:trPr>
        <w:tc>
          <w:tcPr>
            <w:tcW w:w="3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09" w:right="319" w:bottom="1440" w:gutter="0" w:footer="0" w:header="0"/>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David Moxam</w:t>
            </w:r>
          </w:p>
        </w:tc>
        <w:tc>
          <w:tcPr>
            <w:tcW w:w="36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Director</w:t>
            </w:r>
          </w:p>
        </w:tc>
        <w:tc>
          <w:tcPr>
            <w:tcW w:w="4220" w:type="dxa"/>
            <w:vAlign w:val="bottom"/>
          </w:tcPr>
          <w:p>
            <w:pPr>
              <w:ind w:left="2980"/>
              <w:spacing w:after="0"/>
              <w:rPr>
                <w:sz w:val="20"/>
                <w:szCs w:val="20"/>
                <w:color w:val="auto"/>
              </w:rPr>
            </w:pPr>
            <w:r>
              <w:rPr>
                <w:rFonts w:ascii="Times New Roman" w:cs="Times New Roman" w:eastAsia="Times New Roman" w:hAnsi="Times New Roman"/>
                <w:sz w:val="13"/>
                <w:szCs w:val="13"/>
                <w:color w:val="auto"/>
              </w:rPr>
              <w:t>June 8, 2026</w:t>
            </w:r>
          </w:p>
        </w:tc>
      </w:tr>
      <w:tr>
        <w:trPr>
          <w:trHeight w:val="164"/>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David Moxam</w:t>
            </w:r>
          </w:p>
        </w:tc>
        <w:tc>
          <w:tcPr>
            <w:tcW w:w="3660" w:type="dxa"/>
            <w:vAlign w:val="bottom"/>
          </w:tcPr>
          <w:p>
            <w:pPr>
              <w:spacing w:after="0"/>
              <w:rPr>
                <w:sz w:val="14"/>
                <w:szCs w:val="14"/>
                <w:color w:val="auto"/>
              </w:rPr>
            </w:pPr>
          </w:p>
        </w:tc>
        <w:tc>
          <w:tcPr>
            <w:tcW w:w="4220" w:type="dxa"/>
            <w:vAlign w:val="bottom"/>
          </w:tcPr>
          <w:p>
            <w:pPr>
              <w:spacing w:after="0"/>
              <w:rPr>
                <w:sz w:val="14"/>
                <w:szCs w:val="14"/>
                <w:color w:val="auto"/>
              </w:rPr>
            </w:pPr>
          </w:p>
        </w:tc>
      </w:tr>
      <w:tr>
        <w:trPr>
          <w:trHeight w:val="311"/>
        </w:trPr>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Dipender Saluja</w:t>
            </w:r>
          </w:p>
        </w:tc>
        <w:tc>
          <w:tcPr>
            <w:tcW w:w="36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Director</w:t>
            </w:r>
          </w:p>
        </w:tc>
        <w:tc>
          <w:tcPr>
            <w:tcW w:w="4220" w:type="dxa"/>
            <w:vAlign w:val="bottom"/>
          </w:tcPr>
          <w:p>
            <w:pPr>
              <w:ind w:left="2980"/>
              <w:spacing w:after="0"/>
              <w:rPr>
                <w:sz w:val="20"/>
                <w:szCs w:val="20"/>
                <w:color w:val="auto"/>
              </w:rPr>
            </w:pPr>
            <w:r>
              <w:rPr>
                <w:rFonts w:ascii="Times New Roman" w:cs="Times New Roman" w:eastAsia="Times New Roman" w:hAnsi="Times New Roman"/>
                <w:sz w:val="13"/>
                <w:szCs w:val="13"/>
                <w:color w:val="auto"/>
              </w:rPr>
              <w:t>June 8, 2026</w:t>
            </w:r>
          </w:p>
        </w:tc>
      </w:tr>
      <w:tr>
        <w:trPr>
          <w:trHeight w:val="164"/>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Dipender Saluja</w:t>
            </w:r>
          </w:p>
        </w:tc>
        <w:tc>
          <w:tcPr>
            <w:tcW w:w="3660" w:type="dxa"/>
            <w:vAlign w:val="bottom"/>
          </w:tcPr>
          <w:p>
            <w:pPr>
              <w:spacing w:after="0"/>
              <w:rPr>
                <w:sz w:val="14"/>
                <w:szCs w:val="14"/>
                <w:color w:val="auto"/>
              </w:rPr>
            </w:pPr>
          </w:p>
        </w:tc>
        <w:tc>
          <w:tcPr>
            <w:tcW w:w="4220" w:type="dxa"/>
            <w:vAlign w:val="bottom"/>
          </w:tcPr>
          <w:p>
            <w:pPr>
              <w:spacing w:after="0"/>
              <w:rPr>
                <w:sz w:val="14"/>
                <w:szCs w:val="14"/>
                <w:color w:val="auto"/>
              </w:rPr>
            </w:pPr>
          </w:p>
        </w:tc>
      </w:tr>
      <w:tr>
        <w:trPr>
          <w:trHeight w:val="311"/>
        </w:trPr>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Ranbir Singh</w:t>
            </w:r>
          </w:p>
        </w:tc>
        <w:tc>
          <w:tcPr>
            <w:tcW w:w="36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Director</w:t>
            </w:r>
          </w:p>
        </w:tc>
        <w:tc>
          <w:tcPr>
            <w:tcW w:w="4220" w:type="dxa"/>
            <w:vAlign w:val="bottom"/>
          </w:tcPr>
          <w:p>
            <w:pPr>
              <w:ind w:left="2980"/>
              <w:spacing w:after="0"/>
              <w:rPr>
                <w:sz w:val="20"/>
                <w:szCs w:val="20"/>
                <w:color w:val="auto"/>
              </w:rPr>
            </w:pPr>
            <w:r>
              <w:rPr>
                <w:rFonts w:ascii="Times New Roman" w:cs="Times New Roman" w:eastAsia="Times New Roman" w:hAnsi="Times New Roman"/>
                <w:sz w:val="13"/>
                <w:szCs w:val="13"/>
                <w:color w:val="auto"/>
              </w:rPr>
              <w:t>June 8, 2026</w:t>
            </w:r>
          </w:p>
        </w:tc>
      </w:tr>
      <w:tr>
        <w:trPr>
          <w:trHeight w:val="164"/>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Ranbir Singh</w:t>
            </w:r>
          </w:p>
        </w:tc>
        <w:tc>
          <w:tcPr>
            <w:tcW w:w="3660" w:type="dxa"/>
            <w:vAlign w:val="bottom"/>
          </w:tcPr>
          <w:p>
            <w:pPr>
              <w:spacing w:after="0"/>
              <w:rPr>
                <w:sz w:val="14"/>
                <w:szCs w:val="14"/>
                <w:color w:val="auto"/>
              </w:rPr>
            </w:pPr>
          </w:p>
        </w:tc>
        <w:tc>
          <w:tcPr>
            <w:tcW w:w="4220" w:type="dxa"/>
            <w:vAlign w:val="bottom"/>
          </w:tcPr>
          <w:p>
            <w:pPr>
              <w:spacing w:after="0"/>
              <w:rPr>
                <w:sz w:val="14"/>
                <w:szCs w:val="14"/>
                <w:color w:val="auto"/>
              </w:rPr>
            </w:pPr>
          </w:p>
        </w:tc>
      </w:tr>
      <w:tr>
        <w:trPr>
          <w:trHeight w:val="311"/>
        </w:trPr>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Gary K. Wunderlich, Jr.</w:t>
            </w:r>
          </w:p>
        </w:tc>
        <w:tc>
          <w:tcPr>
            <w:tcW w:w="36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Director</w:t>
            </w:r>
          </w:p>
        </w:tc>
        <w:tc>
          <w:tcPr>
            <w:tcW w:w="4220" w:type="dxa"/>
            <w:vAlign w:val="bottom"/>
          </w:tcPr>
          <w:p>
            <w:pPr>
              <w:ind w:left="2980"/>
              <w:spacing w:after="0"/>
              <w:rPr>
                <w:sz w:val="20"/>
                <w:szCs w:val="20"/>
                <w:color w:val="auto"/>
              </w:rPr>
            </w:pPr>
            <w:r>
              <w:rPr>
                <w:rFonts w:ascii="Times New Roman" w:cs="Times New Roman" w:eastAsia="Times New Roman" w:hAnsi="Times New Roman"/>
                <w:sz w:val="13"/>
                <w:szCs w:val="13"/>
                <w:color w:val="auto"/>
              </w:rPr>
              <w:t>June 8, 2026</w:t>
            </w:r>
          </w:p>
        </w:tc>
      </w:tr>
      <w:tr>
        <w:trPr>
          <w:trHeight w:val="164"/>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Gary K. Wunderlich, Jr.</w:t>
            </w:r>
          </w:p>
        </w:tc>
        <w:tc>
          <w:tcPr>
            <w:tcW w:w="3660" w:type="dxa"/>
            <w:vAlign w:val="bottom"/>
          </w:tcPr>
          <w:p>
            <w:pPr>
              <w:spacing w:after="0"/>
              <w:rPr>
                <w:sz w:val="14"/>
                <w:szCs w:val="14"/>
                <w:color w:val="auto"/>
              </w:rPr>
            </w:pPr>
          </w:p>
        </w:tc>
        <w:tc>
          <w:tcPr>
            <w:tcW w:w="4220" w:type="dxa"/>
            <w:vAlign w:val="bottom"/>
          </w:tcPr>
          <w:p>
            <w:pPr>
              <w:spacing w:after="0"/>
              <w:rPr>
                <w:sz w:val="14"/>
                <w:szCs w:val="14"/>
                <w:color w:val="auto"/>
              </w:rPr>
            </w:pPr>
          </w:p>
        </w:tc>
      </w:tr>
      <w:tr>
        <w:trPr>
          <w:trHeight w:val="493"/>
        </w:trPr>
        <w:tc>
          <w:tcPr>
            <w:tcW w:w="340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33" w:right="319" w:bottom="1440" w:gutter="0" w:footer="0" w:header="0"/>
        </w:sectPr>
      </w:pPr>
    </w:p>
    <w:bookmarkStart w:id="53" w:name="page54"/>
    <w:bookmarkEnd w:id="53"/>
    <w:p>
      <w:pPr>
        <w:ind w:left="10660"/>
        <w:spacing w:after="0"/>
        <w:rPr>
          <w:sz w:val="20"/>
          <w:szCs w:val="20"/>
          <w:color w:val="auto"/>
        </w:rPr>
      </w:pPr>
      <w:r>
        <w:rPr>
          <w:rFonts w:ascii="Times New Roman" w:cs="Times New Roman" w:eastAsia="Times New Roman" w:hAnsi="Times New Roman"/>
          <w:sz w:val="13"/>
          <w:szCs w:val="13"/>
          <w:b w:val="1"/>
          <w:bCs w:val="1"/>
          <w:color w:val="auto"/>
        </w:rPr>
        <w:t>Exhibit 1.2</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SALES AGREEMENT</w:t>
      </w:r>
    </w:p>
    <w:p>
      <w:pPr>
        <w:spacing w:after="0" w:line="1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June 8, 2026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UBS Securities LLC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11 Madison Avenue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New York, NY 10010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Morgan Stanley &amp; Co. LLC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1585 Broadway</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New York, NY 10036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Needham &amp; Company, LLC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250 Park Avenue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New York, NY 10177</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Ladies and Gentlemen:</w:t>
      </w:r>
    </w:p>
    <w:p>
      <w:pPr>
        <w:spacing w:after="0" w:line="170" w:lineRule="exact"/>
        <w:rPr>
          <w:sz w:val="20"/>
          <w:szCs w:val="20"/>
          <w:color w:val="auto"/>
        </w:rPr>
      </w:pPr>
    </w:p>
    <w:p>
      <w:pPr>
        <w:jc w:val="both"/>
        <w:ind w:firstLine="485"/>
        <w:spacing w:after="0" w:line="282" w:lineRule="auto"/>
        <w:rPr>
          <w:sz w:val="20"/>
          <w:szCs w:val="20"/>
          <w:color w:val="auto"/>
        </w:rPr>
      </w:pPr>
      <w:r>
        <w:rPr>
          <w:rFonts w:ascii="Times New Roman" w:cs="Times New Roman" w:eastAsia="Times New Roman" w:hAnsi="Times New Roman"/>
          <w:sz w:val="13"/>
          <w:szCs w:val="13"/>
          <w:color w:val="auto"/>
        </w:rPr>
        <w:t>Navitas Semiconductor Corporation, a Delaware corporation (the “</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proposes, subject to the terms and conditions stated herein, to issue and sell from time to time through UBS Securities LLC, Morgan Stanley &amp; Co. LLC and Needham &amp; Company, LLC, as sales agents and/or principals (collectively, the “</w:t>
      </w:r>
      <w:r>
        <w:rPr>
          <w:rFonts w:ascii="Times New Roman" w:cs="Times New Roman" w:eastAsia="Times New Roman" w:hAnsi="Times New Roman"/>
          <w:sz w:val="13"/>
          <w:szCs w:val="13"/>
          <w:b w:val="1"/>
          <w:bCs w:val="1"/>
          <w:color w:val="auto"/>
        </w:rPr>
        <w:t>Agents</w:t>
      </w:r>
      <w:r>
        <w:rPr>
          <w:rFonts w:ascii="Times New Roman" w:cs="Times New Roman" w:eastAsia="Times New Roman" w:hAnsi="Times New Roman"/>
          <w:sz w:val="13"/>
          <w:szCs w:val="13"/>
          <w:color w:val="auto"/>
        </w:rPr>
        <w:t>,” and each individually, an “</w:t>
      </w:r>
      <w:r>
        <w:rPr>
          <w:rFonts w:ascii="Times New Roman" w:cs="Times New Roman" w:eastAsia="Times New Roman" w:hAnsi="Times New Roman"/>
          <w:sz w:val="13"/>
          <w:szCs w:val="13"/>
          <w:b w:val="1"/>
          <w:bCs w:val="1"/>
          <w:color w:val="auto"/>
        </w:rPr>
        <w:t>Agent</w:t>
      </w:r>
      <w:r>
        <w:rPr>
          <w:rFonts w:ascii="Times New Roman" w:cs="Times New Roman" w:eastAsia="Times New Roman" w:hAnsi="Times New Roman"/>
          <w:sz w:val="13"/>
          <w:szCs w:val="13"/>
          <w:color w:val="auto"/>
        </w:rPr>
        <w:t>”), shares of the Company’s Class A common stock, par value $0.0001 per share (the “</w:t>
      </w:r>
      <w:r>
        <w:rPr>
          <w:rFonts w:ascii="Times New Roman" w:cs="Times New Roman" w:eastAsia="Times New Roman" w:hAnsi="Times New Roman"/>
          <w:sz w:val="13"/>
          <w:szCs w:val="13"/>
          <w:b w:val="1"/>
          <w:bCs w:val="1"/>
          <w:color w:val="auto"/>
        </w:rPr>
        <w:t>Common Shares</w:t>
      </w:r>
      <w:r>
        <w:rPr>
          <w:rFonts w:ascii="Times New Roman" w:cs="Times New Roman" w:eastAsia="Times New Roman" w:hAnsi="Times New Roman"/>
          <w:sz w:val="13"/>
          <w:szCs w:val="13"/>
          <w:color w:val="auto"/>
        </w:rPr>
        <w:t>”), on the terms set forth in this agreement (this “</w:t>
      </w:r>
      <w:r>
        <w:rPr>
          <w:rFonts w:ascii="Times New Roman" w:cs="Times New Roman" w:eastAsia="Times New Roman" w:hAnsi="Times New Roman"/>
          <w:sz w:val="13"/>
          <w:szCs w:val="13"/>
          <w:b w:val="1"/>
          <w:bCs w:val="1"/>
          <w:color w:val="auto"/>
        </w:rPr>
        <w:t>Agreement</w:t>
      </w:r>
      <w:r>
        <w:rPr>
          <w:rFonts w:ascii="Times New Roman" w:cs="Times New Roman" w:eastAsia="Times New Roman" w:hAnsi="Times New Roman"/>
          <w:sz w:val="13"/>
          <w:szCs w:val="13"/>
          <w:color w:val="auto"/>
        </w:rPr>
        <w:t>”).</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Section 1.        DEFINITIONS</w:t>
      </w:r>
    </w:p>
    <w:p>
      <w:pPr>
        <w:spacing w:after="0" w:line="1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(a)          </w:t>
      </w:r>
      <w:r>
        <w:rPr>
          <w:rFonts w:ascii="Times New Roman" w:cs="Times New Roman" w:eastAsia="Times New Roman" w:hAnsi="Times New Roman"/>
          <w:sz w:val="13"/>
          <w:szCs w:val="13"/>
          <w:u w:val="single" w:color="auto"/>
          <w:color w:val="auto"/>
        </w:rPr>
        <w:t>  Certain Definitions</w:t>
      </w:r>
      <w:r>
        <w:rPr>
          <w:rFonts w:ascii="Times New Roman" w:cs="Times New Roman" w:eastAsia="Times New Roman" w:hAnsi="Times New Roman"/>
          <w:sz w:val="13"/>
          <w:szCs w:val="13"/>
          <w:color w:val="auto"/>
        </w:rPr>
        <w:t>. For purposes of this Agreement, capitalized terms used herein and not otherwise defined shall have the following respective meanings:</w:t>
      </w:r>
    </w:p>
    <w:p>
      <w:pPr>
        <w:spacing w:after="0" w:line="170" w:lineRule="exact"/>
        <w:rPr>
          <w:sz w:val="20"/>
          <w:szCs w:val="20"/>
          <w:color w:val="auto"/>
        </w:rPr>
      </w:pPr>
    </w:p>
    <w:p>
      <w:pPr>
        <w:jc w:val="both"/>
        <w:ind w:firstLine="485"/>
        <w:spacing w:after="0" w:line="28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Affiliate</w:t>
      </w:r>
      <w:r>
        <w:rPr>
          <w:rFonts w:ascii="Times New Roman" w:cs="Times New Roman" w:eastAsia="Times New Roman" w:hAnsi="Times New Roman"/>
          <w:sz w:val="13"/>
          <w:szCs w:val="13"/>
          <w:color w:val="auto"/>
        </w:rPr>
        <w:t>” of a Person means another Person that directly or indirectly, through one or more intermediaries, controls, is controlled by, or is under common control with, such first- mentioned Person.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w:t>
      </w:r>
    </w:p>
    <w:p>
      <w:pPr>
        <w:spacing w:after="0" w:line="120" w:lineRule="exact"/>
        <w:rPr>
          <w:sz w:val="20"/>
          <w:szCs w:val="20"/>
          <w:color w:val="auto"/>
        </w:rPr>
      </w:pPr>
    </w:p>
    <w:p>
      <w:pPr>
        <w:jc w:val="both"/>
        <w:ind w:firstLine="485"/>
        <w:spacing w:after="0" w:line="30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Agency Period</w:t>
      </w:r>
      <w:r>
        <w:rPr>
          <w:rFonts w:ascii="Times New Roman" w:cs="Times New Roman" w:eastAsia="Times New Roman" w:hAnsi="Times New Roman"/>
          <w:sz w:val="13"/>
          <w:szCs w:val="13"/>
          <w:color w:val="auto"/>
        </w:rPr>
        <w:t>” means the period commencing on the date of this Agreement and expiring on the earliest to occur of (x) the date on which the Agents shall have placed the Maximum Program Amount pursuant to this Agreement and (y) the date this Agreement is terminated pursuant to ‎Section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3223260</wp:posOffset>
            </wp:positionH>
            <wp:positionV relativeFrom="paragraph">
              <wp:posOffset>-43815</wp:posOffset>
            </wp:positionV>
            <wp:extent cx="320675"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7">
                      <a:extLst>
                        <a:ext uri="{28A0092B-C50C-407E-A947-70E740481C1C}"/>
                      </a:extLst>
                    </a:blip>
                    <a:srcRect/>
                    <a:stretch>
                      <a:fillRect/>
                    </a:stretch>
                  </pic:blipFill>
                  <pic:spPr bwMode="auto">
                    <a:xfrm>
                      <a:off x="0" y="0"/>
                      <a:ext cx="320675" cy="6350"/>
                    </a:xfrm>
                    <a:prstGeom prst="rect">
                      <a:avLst/>
                    </a:prstGeom>
                    <a:noFill/>
                  </pic:spPr>
                </pic:pic>
              </a:graphicData>
            </a:graphic>
          </wp:anchor>
        </w:drawing>
      </w:r>
    </w:p>
    <w:p>
      <w:pPr>
        <w:spacing w:after="0" w:line="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Commission</w:t>
      </w:r>
      <w:r>
        <w:rPr>
          <w:rFonts w:ascii="Times New Roman" w:cs="Times New Roman" w:eastAsia="Times New Roman" w:hAnsi="Times New Roman"/>
          <w:sz w:val="13"/>
          <w:szCs w:val="13"/>
          <w:color w:val="auto"/>
        </w:rPr>
        <w:t>” means the U.S.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339090</wp:posOffset>
            </wp:positionV>
            <wp:extent cx="7166610"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8">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285" w:right="319" w:bottom="1440" w:gutter="0" w:footer="0" w:header="0"/>
        </w:sectPr>
      </w:pPr>
    </w:p>
    <w:bookmarkStart w:id="54" w:name="page55"/>
    <w:bookmarkEnd w:id="54"/>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Exchange Act</w:t>
      </w:r>
      <w:r>
        <w:rPr>
          <w:rFonts w:ascii="Times New Roman" w:cs="Times New Roman" w:eastAsia="Times New Roman" w:hAnsi="Times New Roman"/>
          <w:sz w:val="13"/>
          <w:szCs w:val="13"/>
          <w:color w:val="auto"/>
        </w:rPr>
        <w:t>” means the Securities Exchange Act of 1934, as amended, and the rules and regulations of the Commission thereunder.</w:t>
      </w:r>
    </w:p>
    <w:p>
      <w:pPr>
        <w:spacing w:after="0" w:line="174" w:lineRule="exact"/>
        <w:rPr>
          <w:sz w:val="20"/>
          <w:szCs w:val="20"/>
          <w:color w:val="auto"/>
        </w:rPr>
      </w:pPr>
    </w:p>
    <w:p>
      <w:pPr>
        <w:jc w:val="both"/>
        <w:ind w:firstLine="485"/>
        <w:spacing w:after="0" w:line="28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Floor Price</w:t>
      </w:r>
      <w:r>
        <w:rPr>
          <w:rFonts w:ascii="Times New Roman" w:cs="Times New Roman" w:eastAsia="Times New Roman" w:hAnsi="Times New Roman"/>
          <w:sz w:val="13"/>
          <w:szCs w:val="13"/>
          <w:color w:val="auto"/>
        </w:rPr>
        <w:t>” means the minimum price set by the Company in the Issuance Notice below which the Designated Agent shall not sell Shares during the applicable period set forth in the Issuance Notice, which may be adjusted by the Company at any time during the period set forth in the Issuance Notice by delivering written notice of such change to the Designated Agent and which in no event shall be less than $1.00 without the prior written consent of the Designated Agent, which may be withheld in the Designated Agent’s sole discretion.</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Issuance Amount</w:t>
      </w:r>
      <w:r>
        <w:rPr>
          <w:rFonts w:ascii="Times New Roman" w:cs="Times New Roman" w:eastAsia="Times New Roman" w:hAnsi="Times New Roman"/>
          <w:sz w:val="13"/>
          <w:szCs w:val="13"/>
          <w:color w:val="auto"/>
        </w:rPr>
        <w:t>” means the aggregate Sales Price of the Shares to be sold by the Designated Agent pursuant to any Issuance Notice.</w:t>
      </w:r>
    </w:p>
    <w:p>
      <w:pPr>
        <w:spacing w:after="0" w:line="174" w:lineRule="exact"/>
        <w:rPr>
          <w:sz w:val="20"/>
          <w:szCs w:val="20"/>
          <w:color w:val="auto"/>
        </w:rPr>
      </w:pPr>
    </w:p>
    <w:p>
      <w:pPr>
        <w:jc w:val="both"/>
        <w:ind w:firstLine="485"/>
        <w:spacing w:after="0" w:line="30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Issuance Notice</w:t>
      </w:r>
      <w:r>
        <w:rPr>
          <w:rFonts w:ascii="Times New Roman" w:cs="Times New Roman" w:eastAsia="Times New Roman" w:hAnsi="Times New Roman"/>
          <w:sz w:val="13"/>
          <w:szCs w:val="13"/>
          <w:color w:val="auto"/>
        </w:rPr>
        <w:t xml:space="preserve">” means a written notice delivered to the Designated Agent by the Company in accordance with this Agreement in the form attached hereto as </w:t>
      </w:r>
      <w:r>
        <w:rPr>
          <w:rFonts w:ascii="Times New Roman" w:cs="Times New Roman" w:eastAsia="Times New Roman" w:hAnsi="Times New Roman"/>
          <w:sz w:val="13"/>
          <w:szCs w:val="13"/>
          <w:u w:val="single" w:color="auto"/>
          <w:color w:val="auto"/>
        </w:rPr>
        <w:t>Exhibit A</w:t>
      </w:r>
      <w:r>
        <w:rPr>
          <w:rFonts w:ascii="Times New Roman" w:cs="Times New Roman" w:eastAsia="Times New Roman" w:hAnsi="Times New Roman"/>
          <w:sz w:val="13"/>
          <w:szCs w:val="13"/>
          <w:color w:val="auto"/>
        </w:rPr>
        <w:t xml:space="preserve"> that is executed by its Chief Executive Officer or Chief Financial Officer.</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Issuance Notice Date</w:t>
      </w:r>
      <w:r>
        <w:rPr>
          <w:rFonts w:ascii="Times New Roman" w:cs="Times New Roman" w:eastAsia="Times New Roman" w:hAnsi="Times New Roman"/>
          <w:sz w:val="13"/>
          <w:szCs w:val="13"/>
          <w:color w:val="auto"/>
        </w:rPr>
        <w:t>” means any Trading Day during the Agency Period that an Issuance Notice is delivered pursuant to Section‎ 3(b)(i).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4544060</wp:posOffset>
            </wp:positionH>
            <wp:positionV relativeFrom="paragraph">
              <wp:posOffset>0</wp:posOffset>
            </wp:positionV>
            <wp:extent cx="501015"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9">
                      <a:extLst>
                        <a:ext uri="{28A0092B-C50C-407E-A947-70E740481C1C}"/>
                      </a:extLst>
                    </a:blip>
                    <a:srcRect/>
                    <a:stretch>
                      <a:fillRect/>
                    </a:stretch>
                  </pic:blipFill>
                  <pic:spPr bwMode="auto">
                    <a:xfrm>
                      <a:off x="0" y="0"/>
                      <a:ext cx="501015" cy="6350"/>
                    </a:xfrm>
                    <a:prstGeom prst="rect">
                      <a:avLst/>
                    </a:prstGeom>
                    <a:noFill/>
                  </pic:spPr>
                </pic:pic>
              </a:graphicData>
            </a:graphic>
          </wp:anchor>
        </w:drawing>
      </w:r>
    </w:p>
    <w:p>
      <w:pPr>
        <w:spacing w:after="0" w:line="1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Issuance Price</w:t>
      </w:r>
      <w:r>
        <w:rPr>
          <w:rFonts w:ascii="Times New Roman" w:cs="Times New Roman" w:eastAsia="Times New Roman" w:hAnsi="Times New Roman"/>
          <w:sz w:val="13"/>
          <w:szCs w:val="13"/>
          <w:color w:val="auto"/>
        </w:rPr>
        <w:t>” means the Sales Price less the Selling Commission.</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Maximum Program Amount</w:t>
      </w:r>
      <w:r>
        <w:rPr>
          <w:rFonts w:ascii="Times New Roman" w:cs="Times New Roman" w:eastAsia="Times New Roman" w:hAnsi="Times New Roman"/>
          <w:sz w:val="13"/>
          <w:szCs w:val="13"/>
          <w:color w:val="auto"/>
        </w:rPr>
        <w:t>” means Common Shares with an aggregate Sales Price of $500,000,000.</w:t>
      </w:r>
    </w:p>
    <w:p>
      <w:pPr>
        <w:spacing w:after="0" w:line="174" w:lineRule="exact"/>
        <w:rPr>
          <w:sz w:val="20"/>
          <w:szCs w:val="20"/>
          <w:color w:val="auto"/>
        </w:rPr>
      </w:pPr>
    </w:p>
    <w:p>
      <w:pPr>
        <w:jc w:val="both"/>
        <w:ind w:firstLine="485"/>
        <w:spacing w:after="0" w:line="30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Person</w:t>
      </w:r>
      <w:r>
        <w:rPr>
          <w:rFonts w:ascii="Times New Roman" w:cs="Times New Roman" w:eastAsia="Times New Roman" w:hAnsi="Times New Roman"/>
          <w:sz w:val="13"/>
          <w:szCs w:val="13"/>
          <w:color w:val="auto"/>
        </w:rPr>
        <w:t>” means an individual or a corporation, partnership, limited liability company, trust, incorporated or unincorporated association, joint venture, joint stock company, governmental authority or other entity of any kind.</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Principal Market</w:t>
      </w:r>
      <w:r>
        <w:rPr>
          <w:rFonts w:ascii="Times New Roman" w:cs="Times New Roman" w:eastAsia="Times New Roman" w:hAnsi="Times New Roman"/>
          <w:sz w:val="13"/>
          <w:szCs w:val="13"/>
          <w:color w:val="auto"/>
        </w:rPr>
        <w:t>” means the Nasdaq Global Market or such other national securities exchange on which the Common Shares, including any Shares, are then listed.</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Sales Price</w:t>
      </w:r>
      <w:r>
        <w:rPr>
          <w:rFonts w:ascii="Times New Roman" w:cs="Times New Roman" w:eastAsia="Times New Roman" w:hAnsi="Times New Roman"/>
          <w:sz w:val="13"/>
          <w:szCs w:val="13"/>
          <w:color w:val="auto"/>
        </w:rPr>
        <w:t>” means the actual sale execution price of each Share placed by the Agents pursuant to this Agreement.</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Securities Act</w:t>
      </w:r>
      <w:r>
        <w:rPr>
          <w:rFonts w:ascii="Times New Roman" w:cs="Times New Roman" w:eastAsia="Times New Roman" w:hAnsi="Times New Roman"/>
          <w:sz w:val="13"/>
          <w:szCs w:val="13"/>
          <w:color w:val="auto"/>
        </w:rPr>
        <w:t>” means the Securities Act of 1933, as amended, and the rules and regulations of the Commission thereunder.</w:t>
      </w:r>
    </w:p>
    <w:p>
      <w:pPr>
        <w:spacing w:after="0" w:line="174" w:lineRule="exact"/>
        <w:rPr>
          <w:sz w:val="20"/>
          <w:szCs w:val="20"/>
          <w:color w:val="auto"/>
        </w:rPr>
      </w:pPr>
    </w:p>
    <w:p>
      <w:pPr>
        <w:jc w:val="both"/>
        <w:ind w:firstLine="485"/>
        <w:spacing w:after="0" w:line="30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Selling Commission</w:t>
      </w:r>
      <w:r>
        <w:rPr>
          <w:rFonts w:ascii="Times New Roman" w:cs="Times New Roman" w:eastAsia="Times New Roman" w:hAnsi="Times New Roman"/>
          <w:sz w:val="13"/>
          <w:szCs w:val="13"/>
          <w:color w:val="auto"/>
        </w:rPr>
        <w:t>” means up to three percent (3.0%) of the gross proceeds of Shares sold pursuant to this Agreement, or as otherwise agreed between the Company and the Agents with respect to any Shares sold pursuant to this Agreement.</w:t>
      </w:r>
    </w:p>
    <w:p>
      <w:pPr>
        <w:spacing w:after="0" w:line="105" w:lineRule="exact"/>
        <w:rPr>
          <w:sz w:val="20"/>
          <w:szCs w:val="20"/>
          <w:color w:val="auto"/>
        </w:rPr>
      </w:pPr>
    </w:p>
    <w:p>
      <w:pPr>
        <w:jc w:val="both"/>
        <w:ind w:firstLine="485"/>
        <w:spacing w:after="0" w:line="30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Settlement Date</w:t>
      </w:r>
      <w:r>
        <w:rPr>
          <w:rFonts w:ascii="Times New Roman" w:cs="Times New Roman" w:eastAsia="Times New Roman" w:hAnsi="Times New Roman"/>
          <w:sz w:val="13"/>
          <w:szCs w:val="13"/>
          <w:color w:val="auto"/>
        </w:rPr>
        <w:t>” means the first business day following each Trading Day during the period set forth in the Issuance Notice on which Shares are sold pursuant to this Agreement, when the Company shall deliver to the Designated Agent the amount of Shares sold on such Trading Day and the Designated Agent shall deliver to the Company the Issuance Price received on such sales.</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0">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55" w:name="page56"/>
    <w:bookmarkEnd w:id="55"/>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Shares</w:t>
      </w:r>
      <w:r>
        <w:rPr>
          <w:rFonts w:ascii="Times New Roman" w:cs="Times New Roman" w:eastAsia="Times New Roman" w:hAnsi="Times New Roman"/>
          <w:sz w:val="13"/>
          <w:szCs w:val="13"/>
          <w:color w:val="auto"/>
        </w:rPr>
        <w:t>” means the Common Shares issued or issuable pursuant to this Agreement.</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Trading Day</w:t>
      </w:r>
      <w:r>
        <w:rPr>
          <w:rFonts w:ascii="Times New Roman" w:cs="Times New Roman" w:eastAsia="Times New Roman" w:hAnsi="Times New Roman"/>
          <w:sz w:val="13"/>
          <w:szCs w:val="13"/>
          <w:color w:val="auto"/>
        </w:rPr>
        <w:t>” means any day on which the Principal Market is open for trading.</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Section 2.        REPRESENTATIONS AND WARRANTIES OF THE COMPANY</w:t>
      </w:r>
    </w:p>
    <w:p>
      <w:pPr>
        <w:spacing w:after="0" w:line="178" w:lineRule="exact"/>
        <w:rPr>
          <w:sz w:val="20"/>
          <w:szCs w:val="20"/>
          <w:color w:val="auto"/>
        </w:rPr>
      </w:pPr>
    </w:p>
    <w:p>
      <w:pPr>
        <w:jc w:val="both"/>
        <w:ind w:firstLine="485"/>
        <w:spacing w:after="0" w:line="279" w:lineRule="auto"/>
        <w:rPr>
          <w:sz w:val="20"/>
          <w:szCs w:val="20"/>
          <w:color w:val="auto"/>
        </w:rPr>
      </w:pPr>
      <w:r>
        <w:rPr>
          <w:rFonts w:ascii="Times New Roman" w:cs="Times New Roman" w:eastAsia="Times New Roman" w:hAnsi="Times New Roman"/>
          <w:sz w:val="13"/>
          <w:szCs w:val="13"/>
          <w:color w:val="auto"/>
        </w:rPr>
        <w:t>The Company represents and warrants to, and agrees with, the Agents that as of (1) the date of this Agreement, (2) each Issuance Notice Date, (3) each Settlement Date, (4) each Triggering Event Date (as defined below) and (5) as of each Time of Sale (as defined below) (each of the times referenced above is referred to herein as a “</w:t>
      </w:r>
      <w:r>
        <w:rPr>
          <w:rFonts w:ascii="Times New Roman" w:cs="Times New Roman" w:eastAsia="Times New Roman" w:hAnsi="Times New Roman"/>
          <w:sz w:val="13"/>
          <w:szCs w:val="13"/>
          <w:b w:val="1"/>
          <w:bCs w:val="1"/>
          <w:color w:val="auto"/>
        </w:rPr>
        <w:t>Representation Date</w:t>
      </w:r>
      <w:r>
        <w:rPr>
          <w:rFonts w:ascii="Times New Roman" w:cs="Times New Roman" w:eastAsia="Times New Roman" w:hAnsi="Times New Roman"/>
          <w:sz w:val="13"/>
          <w:szCs w:val="13"/>
          <w:color w:val="auto"/>
        </w:rPr>
        <w:t>”), except as may be disclosed in the Prospectus (including any documents incorporated by reference therein and any supplements thereto) on or before a Representation Date:</w:t>
      </w:r>
    </w:p>
    <w:p>
      <w:pPr>
        <w:spacing w:after="0" w:line="125" w:lineRule="exact"/>
        <w:rPr>
          <w:sz w:val="20"/>
          <w:szCs w:val="20"/>
          <w:color w:val="auto"/>
        </w:rPr>
      </w:pPr>
    </w:p>
    <w:p>
      <w:pPr>
        <w:jc w:val="both"/>
        <w:ind w:firstLine="485"/>
        <w:spacing w:after="0" w:line="263" w:lineRule="auto"/>
        <w:rPr>
          <w:sz w:val="20"/>
          <w:szCs w:val="20"/>
          <w:color w:val="auto"/>
        </w:rPr>
      </w:pPr>
      <w:r>
        <w:rPr>
          <w:rFonts w:ascii="Times New Roman" w:cs="Times New Roman" w:eastAsia="Times New Roman" w:hAnsi="Times New Roman"/>
          <w:sz w:val="13"/>
          <w:szCs w:val="13"/>
          <w:color w:val="auto"/>
        </w:rPr>
        <w:t>(a)          </w:t>
      </w:r>
      <w:r>
        <w:rPr>
          <w:rFonts w:ascii="Times New Roman" w:cs="Times New Roman" w:eastAsia="Times New Roman" w:hAnsi="Times New Roman"/>
          <w:sz w:val="13"/>
          <w:szCs w:val="13"/>
          <w:u w:val="single" w:color="auto"/>
          <w:color w:val="auto"/>
        </w:rPr>
        <w:t>  Registration Statement</w:t>
      </w:r>
      <w:r>
        <w:rPr>
          <w:rFonts w:ascii="Times New Roman" w:cs="Times New Roman" w:eastAsia="Times New Roman" w:hAnsi="Times New Roman"/>
          <w:sz w:val="13"/>
          <w:szCs w:val="13"/>
          <w:color w:val="auto"/>
        </w:rPr>
        <w:t>. The Company has prepared and has filed or will file with the Commission an “automatic shelf registration statement,” as defined under Rule 405 of the Securities Act, on Form S-3ASR that contains a base prospectus. Such registration statement registers the issuance and sale by the Company of the Shares under the Securities Act. The Company may file one or more additional registration statements from time to time that will contain a base prospectus and related prospectus or prospectus supplement, if applicable, with respect to the Shares. Except where the context otherwise requires, such registration statement(s), including any information deemed to be a part thereof pursuant to Rule 430B under the Securities Act, including all financial statements, exhibits and schedules thereto and all documents incorporated or deemed to be incorporated therein by reference pursuant to Item 12 of Form S-3ASR under the Securities Act as from time to time amended or supplemented, is herein referred to as the “</w:t>
      </w:r>
      <w:r>
        <w:rPr>
          <w:rFonts w:ascii="Times New Roman" w:cs="Times New Roman" w:eastAsia="Times New Roman" w:hAnsi="Times New Roman"/>
          <w:sz w:val="13"/>
          <w:szCs w:val="13"/>
          <w:b w:val="1"/>
          <w:bCs w:val="1"/>
          <w:color w:val="auto"/>
        </w:rPr>
        <w:t>Registration Statement</w:t>
      </w:r>
      <w:r>
        <w:rPr>
          <w:rFonts w:ascii="Times New Roman" w:cs="Times New Roman" w:eastAsia="Times New Roman" w:hAnsi="Times New Roman"/>
          <w:sz w:val="13"/>
          <w:szCs w:val="13"/>
          <w:color w:val="auto"/>
        </w:rPr>
        <w:t>,” and the base prospectus constituting a part of such registration statement(s), together with any prospectus supplement filed with the Commission pursuant to Rule 424(b) under the Securities Act relating to a particular issuance of the Shares, including all documents incorporated or deemed to be incorporated therein by reference pursuant to Item 12 of Form S-3ASR under the Securities Act, in each case, as from time to time amended or supplemented, is referred to herein as the “</w:t>
      </w:r>
      <w:r>
        <w:rPr>
          <w:rFonts w:ascii="Times New Roman" w:cs="Times New Roman" w:eastAsia="Times New Roman" w:hAnsi="Times New Roman"/>
          <w:sz w:val="13"/>
          <w:szCs w:val="13"/>
          <w:b w:val="1"/>
          <w:bCs w:val="1"/>
          <w:color w:val="auto"/>
        </w:rPr>
        <w:t>Prospectus</w:t>
      </w:r>
      <w:r>
        <w:rPr>
          <w:rFonts w:ascii="Times New Roman" w:cs="Times New Roman" w:eastAsia="Times New Roman" w:hAnsi="Times New Roman"/>
          <w:sz w:val="13"/>
          <w:szCs w:val="13"/>
          <w:color w:val="auto"/>
        </w:rPr>
        <w:t>,” except that if any revised prospectus is provided to the Agents by the Company for use in connection with the offering of the Shares that is not required to be filed by the Company pursuant to Rule 424(b) under the Securities Act, the term “</w:t>
      </w:r>
      <w:r>
        <w:rPr>
          <w:rFonts w:ascii="Times New Roman" w:cs="Times New Roman" w:eastAsia="Times New Roman" w:hAnsi="Times New Roman"/>
          <w:sz w:val="13"/>
          <w:szCs w:val="13"/>
          <w:b w:val="1"/>
          <w:bCs w:val="1"/>
          <w:color w:val="auto"/>
        </w:rPr>
        <w:t>Prospectus</w:t>
      </w:r>
      <w:r>
        <w:rPr>
          <w:rFonts w:ascii="Times New Roman" w:cs="Times New Roman" w:eastAsia="Times New Roman" w:hAnsi="Times New Roman"/>
          <w:sz w:val="13"/>
          <w:szCs w:val="13"/>
          <w:color w:val="auto"/>
        </w:rPr>
        <w:t>” shall refer to such revised prospectus from and after the time it is first provided to the Agents for such use. The Registration Statement at the time it originally became effective is herein called the “</w:t>
      </w:r>
      <w:r>
        <w:rPr>
          <w:rFonts w:ascii="Times New Roman" w:cs="Times New Roman" w:eastAsia="Times New Roman" w:hAnsi="Times New Roman"/>
          <w:sz w:val="13"/>
          <w:szCs w:val="13"/>
          <w:b w:val="1"/>
          <w:bCs w:val="1"/>
          <w:color w:val="auto"/>
        </w:rPr>
        <w:t>Original Registration Statement</w:t>
      </w:r>
      <w:r>
        <w:rPr>
          <w:rFonts w:ascii="Times New Roman" w:cs="Times New Roman" w:eastAsia="Times New Roman" w:hAnsi="Times New Roman"/>
          <w:sz w:val="13"/>
          <w:szCs w:val="13"/>
          <w:color w:val="auto"/>
        </w:rPr>
        <w:t>.” As used in this Agreement, the terms “amendment” or “supplement” when applied to the Registration Statement or the Prospectus shall be deemed to include the filing by the Company with the Commission of any document under the Exchange Act after the date hereof that is or is deemed to be incorporated therein by reference.</w:t>
      </w:r>
    </w:p>
    <w:p>
      <w:pPr>
        <w:spacing w:after="0" w:line="136" w:lineRule="exact"/>
        <w:rPr>
          <w:sz w:val="20"/>
          <w:szCs w:val="20"/>
          <w:color w:val="auto"/>
        </w:rPr>
      </w:pPr>
    </w:p>
    <w:p>
      <w:pPr>
        <w:jc w:val="both"/>
        <w:ind w:firstLine="485"/>
        <w:spacing w:after="0" w:line="266" w:lineRule="auto"/>
        <w:rPr>
          <w:sz w:val="20"/>
          <w:szCs w:val="20"/>
          <w:color w:val="auto"/>
        </w:rPr>
      </w:pPr>
      <w:r>
        <w:rPr>
          <w:rFonts w:ascii="Times New Roman" w:cs="Times New Roman" w:eastAsia="Times New Roman" w:hAnsi="Times New Roman"/>
          <w:sz w:val="13"/>
          <w:szCs w:val="13"/>
          <w:color w:val="auto"/>
        </w:rPr>
        <w:t>All references in this Agreement to financial statements and schedules and other information which is “contained,” “included” or “stated” in the Registration Statement or the Prospectus (and all other references of like import) shall be deemed to mean and include all such financial statements and schedules and other information which is or is deemed to be incorporated by reference in or otherwise deemed under the Securities Act to be a part of or included in the Registration Statement or the Prospectus, as the case may be, as of any specified date; and all references in this Agreement to amendments or supplements to the Registration Statement or the Prospectus shall be deemed to mean and include, without limitation, the filing of any document under the Exchange Act which is or is deemed to be incorporated by reference in or otherwise deemed under the Securities Act to be a part of or included in the Registration Statement or the Prospectus, as the case may be, as of any specified date. The Company’s obligations under this Agreement to furnish, provide, deliver or make available (and all other references of like import) copies of any report or statement shall be deemed satisfied if the same is filed with the Commission through its Electronic Data Gathering, Analysis and Retrieval system (“</w:t>
      </w:r>
      <w:r>
        <w:rPr>
          <w:rFonts w:ascii="Times New Roman" w:cs="Times New Roman" w:eastAsia="Times New Roman" w:hAnsi="Times New Roman"/>
          <w:sz w:val="13"/>
          <w:szCs w:val="13"/>
          <w:b w:val="1"/>
          <w:bCs w:val="1"/>
          <w:color w:val="auto"/>
        </w:rPr>
        <w:t>EDGAR</w:t>
      </w:r>
      <w:r>
        <w:rPr>
          <w:rFonts w:ascii="Times New Roman" w:cs="Times New Roman" w:eastAsia="Times New Roman" w:hAnsi="Times New Roman"/>
          <w:sz w:val="13"/>
          <w:szCs w:val="13"/>
          <w:color w:val="auto"/>
        </w:rPr>
        <w:t>”).</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1">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56" w:name="page57"/>
    <w:bookmarkEnd w:id="56"/>
    <w:p>
      <w:pPr>
        <w:jc w:val="both"/>
        <w:ind w:firstLine="485"/>
        <w:spacing w:after="0" w:line="269" w:lineRule="auto"/>
        <w:rPr>
          <w:sz w:val="20"/>
          <w:szCs w:val="20"/>
          <w:color w:val="auto"/>
        </w:rPr>
      </w:pPr>
      <w:r>
        <w:rPr>
          <w:rFonts w:ascii="Times New Roman" w:cs="Times New Roman" w:eastAsia="Times New Roman" w:hAnsi="Times New Roman"/>
          <w:sz w:val="13"/>
          <w:szCs w:val="13"/>
          <w:color w:val="auto"/>
        </w:rPr>
        <w:t>At the time the Original Registration Statement became effective and at the time the Company’s most recent annual report on Form 10-K was filed with the Commission, if later, the Company was a “well-known seasoned issuer” as defined in Rule 405 under the Securities Act. The Original Registration Statement is an “automatic shelf registration statement,” as defined in Rule 405 under the Securities Act. The Company has not received from the Commission any notice pursuant to Rule 401(g)(2) under the Securities Act objecting to the Company’s use of the automatic shelf registration form. The Company meets the requirements for use of Form S-3 under the Securities Act. During the Agency Period, each time the Company files an annual report on Form 10-K the Company will meet the then-applicable requirements for use of Form S-3 under the Securities Act.</w:t>
      </w:r>
    </w:p>
    <w:p>
      <w:pPr>
        <w:spacing w:after="0" w:line="132" w:lineRule="exact"/>
        <w:rPr>
          <w:sz w:val="20"/>
          <w:szCs w:val="20"/>
          <w:color w:val="auto"/>
        </w:rPr>
      </w:pPr>
    </w:p>
    <w:p>
      <w:pPr>
        <w:jc w:val="both"/>
        <w:ind w:firstLine="485"/>
        <w:spacing w:after="0" w:line="272" w:lineRule="auto"/>
        <w:rPr>
          <w:sz w:val="20"/>
          <w:szCs w:val="20"/>
          <w:color w:val="auto"/>
        </w:rPr>
      </w:pPr>
      <w:r>
        <w:rPr>
          <w:rFonts w:ascii="Times New Roman" w:cs="Times New Roman" w:eastAsia="Times New Roman" w:hAnsi="Times New Roman"/>
          <w:sz w:val="13"/>
          <w:szCs w:val="13"/>
          <w:color w:val="auto"/>
        </w:rPr>
        <w:t>(b)          </w:t>
      </w:r>
      <w:r>
        <w:rPr>
          <w:rFonts w:ascii="Times New Roman" w:cs="Times New Roman" w:eastAsia="Times New Roman" w:hAnsi="Times New Roman"/>
          <w:sz w:val="13"/>
          <w:szCs w:val="13"/>
          <w:u w:val="single" w:color="auto"/>
          <w:color w:val="auto"/>
        </w:rPr>
        <w:t>  Compliance with Registration Requirements</w:t>
      </w:r>
      <w:r>
        <w:rPr>
          <w:rFonts w:ascii="Times New Roman" w:cs="Times New Roman" w:eastAsia="Times New Roman" w:hAnsi="Times New Roman"/>
          <w:sz w:val="13"/>
          <w:szCs w:val="13"/>
          <w:color w:val="auto"/>
        </w:rPr>
        <w:t>. The Original Registration Statement will become or became automatically effective upon filing with the Commission and prior to the issuance of any Issuance Notice by the Company. The Company has complied to the Commission’s satisfaction with all requests of the Commission for additional or supplemental information. No stop order suspending the effectiveness of the Registration Statement or any post-effective amendment thereto, is in effect and no proceedings for such purpose have been instituted or are pending or, to the knowledge of the Company, are contemplated or threatened by the Commission.</w:t>
      </w:r>
    </w:p>
    <w:p>
      <w:pPr>
        <w:spacing w:after="0" w:line="131" w:lineRule="exact"/>
        <w:rPr>
          <w:sz w:val="20"/>
          <w:szCs w:val="20"/>
          <w:color w:val="auto"/>
        </w:rPr>
      </w:pPr>
    </w:p>
    <w:p>
      <w:pPr>
        <w:jc w:val="both"/>
        <w:ind w:firstLine="485"/>
        <w:spacing w:after="0" w:line="263" w:lineRule="auto"/>
        <w:rPr>
          <w:sz w:val="20"/>
          <w:szCs w:val="20"/>
          <w:color w:val="auto"/>
        </w:rPr>
      </w:pPr>
      <w:r>
        <w:rPr>
          <w:rFonts w:ascii="Times New Roman" w:cs="Times New Roman" w:eastAsia="Times New Roman" w:hAnsi="Times New Roman"/>
          <w:sz w:val="13"/>
          <w:szCs w:val="13"/>
          <w:color w:val="auto"/>
        </w:rPr>
        <w:t>The Prospectus when filed complied or will comply in all material respects with the Securities Act and, if filed with the Commission through EDGAR (except as may be permitted by Regulation S-T under the Securities Act), was identical to the copy thereof delivered to the Agents for use in connection with the issuance and sale of the Shares. Each of the Registration Statement and any post-effective amendment or supplement thereto, at the time it became effective and at each Representation Date,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date of this Agreement, the Prospectus and any Free Writing Prospectus (as defined below) considered together (collectively, the “</w:t>
      </w:r>
      <w:r>
        <w:rPr>
          <w:rFonts w:ascii="Times New Roman" w:cs="Times New Roman" w:eastAsia="Times New Roman" w:hAnsi="Times New Roman"/>
          <w:sz w:val="13"/>
          <w:szCs w:val="13"/>
          <w:b w:val="1"/>
          <w:bCs w:val="1"/>
          <w:color w:val="auto"/>
        </w:rPr>
        <w:t>Time of Sale Information</w:t>
      </w:r>
      <w:r>
        <w:rPr>
          <w:rFonts w:ascii="Times New Roman" w:cs="Times New Roman" w:eastAsia="Times New Roman" w:hAnsi="Times New Roman"/>
          <w:sz w:val="13"/>
          <w:szCs w:val="13"/>
          <w:color w:val="auto"/>
        </w:rPr>
        <w:t xml:space="preserve">”) did not contain any untrue statement of a material fact or omit to state a material fact necessary to make the statements therein, in the light of the circumstances under which they were made, not misleading. The Prospectus, as amended or supplemented, as of its date and at each Representation Date, did not and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or any post-effective amendment thereto, or the Prospectus, or any amendments or supplements thereto, made in reliance upon and in conformity with information relating to the Agents furnished to the Company in writing by the Agents expressly for use therein, it being understood and agreed that the only such information furnished by the Agents to the Company consists of the information described in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 xml:space="preserve"> below. There are no contracts or other documents required to be described in the Prospectus or to be filed as exhibits to the Registration Statement which have not been described or filed as required. The Registration Statement and the offer and sale of the Shares as contemplated hereby meet the requirements of Rule 415 under the Securities Act and comply in all material respects with said rule.</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2">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3" w:right="319" w:bottom="1440" w:gutter="0" w:footer="0" w:header="0"/>
        </w:sectPr>
      </w:pPr>
    </w:p>
    <w:bookmarkStart w:id="57" w:name="page58"/>
    <w:bookmarkEnd w:id="57"/>
    <w:p>
      <w:pPr>
        <w:jc w:val="both"/>
        <w:ind w:firstLine="485"/>
        <w:spacing w:after="0" w:line="265" w:lineRule="auto"/>
        <w:rPr>
          <w:sz w:val="20"/>
          <w:szCs w:val="20"/>
          <w:color w:val="auto"/>
        </w:rPr>
      </w:pPr>
      <w:r>
        <w:rPr>
          <w:rFonts w:ascii="Times New Roman" w:cs="Times New Roman" w:eastAsia="Times New Roman" w:hAnsi="Times New Roman"/>
          <w:sz w:val="13"/>
          <w:szCs w:val="13"/>
          <w:color w:val="auto"/>
        </w:rPr>
        <w:t>(c)          </w:t>
      </w:r>
      <w:r>
        <w:rPr>
          <w:rFonts w:ascii="Times New Roman" w:cs="Times New Roman" w:eastAsia="Times New Roman" w:hAnsi="Times New Roman"/>
          <w:sz w:val="13"/>
          <w:szCs w:val="13"/>
          <w:u w:val="single" w:color="auto"/>
          <w:color w:val="auto"/>
        </w:rPr>
        <w:t>  Ineligible Issuer Status</w:t>
      </w:r>
      <w:r>
        <w:rPr>
          <w:rFonts w:ascii="Times New Roman" w:cs="Times New Roman" w:eastAsia="Times New Roman" w:hAnsi="Times New Roman"/>
          <w:sz w:val="13"/>
          <w:szCs w:val="13"/>
          <w:color w:val="auto"/>
        </w:rPr>
        <w:t>. The Company is not an “ineligible issuer” in connection with the offering of the Shares pursuant to Rules 164, 405 and 433 under the Securities Act. Any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or retention where required and legending, and each such Free Writing Prospectus, as of its issue date and at all subsequent times through the completion of the issuance and sale of the Shares did not, does not and will not include any information that conflicted, conflicts with or will conflict with the information contained in the Registration Statement or the Prospectus, including any document incorporated by reference therein. Except for the Free Writing Prospectuses, if any, and electronic road shows, if any, furnished to the Agents before first use, the Company has not prepared, used or referred to, and will not, without the Agents’ prior consent (which consent shall not be unreasonably withheld, conditioned or delayed), prepare, use or refer to, any Free Writing Prospectus.</w:t>
      </w:r>
    </w:p>
    <w:p>
      <w:pPr>
        <w:spacing w:after="0" w:line="135" w:lineRule="exact"/>
        <w:rPr>
          <w:sz w:val="20"/>
          <w:szCs w:val="20"/>
          <w:color w:val="auto"/>
        </w:rPr>
      </w:pPr>
    </w:p>
    <w:p>
      <w:pPr>
        <w:jc w:val="both"/>
        <w:ind w:firstLine="485"/>
        <w:spacing w:after="0" w:line="279" w:lineRule="auto"/>
        <w:rPr>
          <w:sz w:val="20"/>
          <w:szCs w:val="20"/>
          <w:color w:val="auto"/>
        </w:rPr>
      </w:pPr>
      <w:r>
        <w:rPr>
          <w:rFonts w:ascii="Times New Roman" w:cs="Times New Roman" w:eastAsia="Times New Roman" w:hAnsi="Times New Roman"/>
          <w:sz w:val="13"/>
          <w:szCs w:val="13"/>
          <w:color w:val="auto"/>
        </w:rPr>
        <w:t>(d)          </w:t>
      </w:r>
      <w:r>
        <w:rPr>
          <w:rFonts w:ascii="Times New Roman" w:cs="Times New Roman" w:eastAsia="Times New Roman" w:hAnsi="Times New Roman"/>
          <w:sz w:val="13"/>
          <w:szCs w:val="13"/>
          <w:u w:val="single" w:color="auto"/>
          <w:color w:val="auto"/>
        </w:rPr>
        <w:t>  Incorporated Documents</w:t>
      </w:r>
      <w:r>
        <w:rPr>
          <w:rFonts w:ascii="Times New Roman" w:cs="Times New Roman" w:eastAsia="Times New Roman" w:hAnsi="Times New Roman"/>
          <w:sz w:val="13"/>
          <w:szCs w:val="13"/>
          <w:color w:val="auto"/>
        </w:rPr>
        <w:t>. The documents incorporated or deemed to be incorporated by reference in the Registration Statement and the Prospectus, at the time they were filed with the Commission, complied in all material respects with the requirements of the Exchange Act, as applicable, and, when read together with the other information in the Prospectus, do not contain an untrue statement of a material fact or omit to state a material fact required to be stated therein or necessary to make the statements therein, in light of the circumstances under which they were made, not misleading.</w:t>
      </w:r>
    </w:p>
    <w:p>
      <w:pPr>
        <w:spacing w:after="0" w:line="125" w:lineRule="exact"/>
        <w:rPr>
          <w:sz w:val="20"/>
          <w:szCs w:val="20"/>
          <w:color w:val="auto"/>
        </w:rPr>
      </w:pPr>
    </w:p>
    <w:p>
      <w:pPr>
        <w:jc w:val="both"/>
        <w:ind w:firstLine="485"/>
        <w:spacing w:after="0" w:line="269" w:lineRule="auto"/>
        <w:rPr>
          <w:sz w:val="20"/>
          <w:szCs w:val="20"/>
          <w:color w:val="auto"/>
        </w:rPr>
      </w:pPr>
      <w:r>
        <w:rPr>
          <w:rFonts w:ascii="Times New Roman" w:cs="Times New Roman" w:eastAsia="Times New Roman" w:hAnsi="Times New Roman"/>
          <w:sz w:val="13"/>
          <w:szCs w:val="13"/>
          <w:color w:val="auto"/>
        </w:rPr>
        <w:t>(e)          </w:t>
      </w:r>
      <w:r>
        <w:rPr>
          <w:rFonts w:ascii="Times New Roman" w:cs="Times New Roman" w:eastAsia="Times New Roman" w:hAnsi="Times New Roman"/>
          <w:sz w:val="13"/>
          <w:szCs w:val="13"/>
          <w:u w:val="single" w:color="auto"/>
          <w:color w:val="auto"/>
        </w:rPr>
        <w:t>  Exchange Act Compliance</w:t>
      </w:r>
      <w:r>
        <w:rPr>
          <w:rFonts w:ascii="Times New Roman" w:cs="Times New Roman" w:eastAsia="Times New Roman" w:hAnsi="Times New Roman"/>
          <w:sz w:val="13"/>
          <w:szCs w:val="13"/>
          <w:color w:val="auto"/>
        </w:rPr>
        <w:t>. The documents incorporated or deemed to be incorporated by reference in the Prospectus, at the time they were or hereafter are filed with the Commission, and any Free Writing Prospectus or amendment or supplement thereto complied and will comply in all material respects with the requirements of the Exchange Act, and, when read together with the other information in the Prospectus, at the time the Registration Statement and any amendments thereto become effective and at each Time of Sale, as the case may be,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w:t>
      </w:r>
    </w:p>
    <w:p>
      <w:pPr>
        <w:spacing w:after="0" w:line="132" w:lineRule="exact"/>
        <w:rPr>
          <w:sz w:val="20"/>
          <w:szCs w:val="20"/>
          <w:color w:val="auto"/>
        </w:rPr>
      </w:pPr>
    </w:p>
    <w:p>
      <w:pPr>
        <w:jc w:val="both"/>
        <w:ind w:firstLine="485"/>
        <w:spacing w:after="0" w:line="298" w:lineRule="auto"/>
        <w:rPr>
          <w:sz w:val="20"/>
          <w:szCs w:val="20"/>
          <w:color w:val="auto"/>
        </w:rPr>
      </w:pPr>
      <w:r>
        <w:rPr>
          <w:rFonts w:ascii="Times New Roman" w:cs="Times New Roman" w:eastAsia="Times New Roman" w:hAnsi="Times New Roman"/>
          <w:sz w:val="13"/>
          <w:szCs w:val="13"/>
          <w:color w:val="auto"/>
        </w:rPr>
        <w:t>(f)          </w:t>
      </w:r>
      <w:r>
        <w:rPr>
          <w:rFonts w:ascii="Times New Roman" w:cs="Times New Roman" w:eastAsia="Times New Roman" w:hAnsi="Times New Roman"/>
          <w:sz w:val="13"/>
          <w:szCs w:val="13"/>
          <w:u w:val="single" w:color="auto"/>
          <w:color w:val="auto"/>
        </w:rPr>
        <w:t>  Statistical and Market-Related Data</w:t>
      </w:r>
      <w:r>
        <w:rPr>
          <w:rFonts w:ascii="Times New Roman" w:cs="Times New Roman" w:eastAsia="Times New Roman" w:hAnsi="Times New Roman"/>
          <w:sz w:val="13"/>
          <w:szCs w:val="13"/>
          <w:color w:val="auto"/>
        </w:rPr>
        <w:t>. The statistical, industry-related and market-related data included in each of the Registration Statement and the Prospectus are based on or derived from sources which the Company reasonably and in good faith believes are reliable and accurate and such data is consistent with the sources from which they are derived, in each case in all material respects.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3">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3" w:right="319" w:bottom="1440" w:gutter="0" w:footer="0" w:header="0"/>
        </w:sectPr>
      </w:pPr>
    </w:p>
    <w:bookmarkStart w:id="58" w:name="page59"/>
    <w:bookmarkEnd w:id="58"/>
    <w:p>
      <w:pPr>
        <w:jc w:val="both"/>
        <w:ind w:firstLine="485"/>
        <w:spacing w:after="0" w:line="272" w:lineRule="auto"/>
        <w:rPr>
          <w:sz w:val="20"/>
          <w:szCs w:val="20"/>
          <w:color w:val="auto"/>
        </w:rPr>
      </w:pPr>
      <w:r>
        <w:rPr>
          <w:rFonts w:ascii="Times New Roman" w:cs="Times New Roman" w:eastAsia="Times New Roman" w:hAnsi="Times New Roman"/>
          <w:sz w:val="13"/>
          <w:szCs w:val="13"/>
          <w:color w:val="auto"/>
        </w:rPr>
        <w:t>(g)          </w:t>
      </w:r>
      <w:r>
        <w:rPr>
          <w:rFonts w:ascii="Times New Roman" w:cs="Times New Roman" w:eastAsia="Times New Roman" w:hAnsi="Times New Roman"/>
          <w:sz w:val="13"/>
          <w:szCs w:val="13"/>
          <w:u w:val="single" w:color="auto"/>
          <w:color w:val="auto"/>
        </w:rPr>
        <w:t>  Incorporation and Good Standing of the Company</w:t>
      </w:r>
      <w:r>
        <w:rPr>
          <w:rFonts w:ascii="Times New Roman" w:cs="Times New Roman" w:eastAsia="Times New Roman" w:hAnsi="Times New Roman"/>
          <w:sz w:val="13"/>
          <w:szCs w:val="13"/>
          <w:color w:val="auto"/>
        </w:rPr>
        <w:t>. The Company has been duly incorporated, is validly existing as a corporation in good standing under the laws of the jurisdiction of its incorporation, has the corporate power and authority to own, lease or operate its properties and to conduct its business as described in each of the Registration Statement and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singly or in the aggregate, have a material adverse effect on the Company and its subsidiaries, taken as a whole.</w:t>
      </w:r>
    </w:p>
    <w:p>
      <w:pPr>
        <w:spacing w:after="0" w:line="131" w:lineRule="exact"/>
        <w:rPr>
          <w:sz w:val="20"/>
          <w:szCs w:val="20"/>
          <w:color w:val="auto"/>
        </w:rPr>
      </w:pPr>
    </w:p>
    <w:p>
      <w:pPr>
        <w:jc w:val="both"/>
        <w:ind w:firstLine="485"/>
        <w:spacing w:after="0" w:line="265" w:lineRule="auto"/>
        <w:rPr>
          <w:sz w:val="20"/>
          <w:szCs w:val="20"/>
          <w:color w:val="auto"/>
        </w:rPr>
      </w:pPr>
      <w:r>
        <w:rPr>
          <w:rFonts w:ascii="Times New Roman" w:cs="Times New Roman" w:eastAsia="Times New Roman" w:hAnsi="Times New Roman"/>
          <w:sz w:val="13"/>
          <w:szCs w:val="13"/>
          <w:color w:val="auto"/>
        </w:rPr>
        <w:t>(h)          </w:t>
      </w:r>
      <w:r>
        <w:rPr>
          <w:rFonts w:ascii="Times New Roman" w:cs="Times New Roman" w:eastAsia="Times New Roman" w:hAnsi="Times New Roman"/>
          <w:sz w:val="13"/>
          <w:szCs w:val="13"/>
          <w:u w:val="single" w:color="auto"/>
          <w:color w:val="auto"/>
        </w:rPr>
        <w:t>  Subsidiaries</w:t>
      </w:r>
      <w:r>
        <w:rPr>
          <w:rFonts w:ascii="Times New Roman" w:cs="Times New Roman" w:eastAsia="Times New Roman" w:hAnsi="Times New Roman"/>
          <w:sz w:val="13"/>
          <w:szCs w:val="13"/>
          <w:color w:val="auto"/>
        </w:rPr>
        <w:t>. Each subsidiary of the Company has been duly incorporated, organized or formed, is validly existing as a corporation or other business entity in good standing under the laws of the jurisdiction of its incorporation, organization or formation, has the corporate or other business entity power and authority to own or lease its property and to conduct its business as described in each of the Registration Statement and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singly or in the aggregate, have a material adverse effect on the Company and its subsidiaries, taken as a whole; all of the issued shares of capital stock or other equity interests of each subsidiary of the Company have been duly and validly authorized and issued, are fully paid and non-assessable and are owned directly or indirectly by the Company, free and clear of all liens, encumbrances, equities or claims. The Company does not own or control, directly or indirectly, any corporation, association or other entity other than the subsidiaries listed in Exhibit 21 to the Company’s most recent annual report on Form 10-K and subsidiaries which, considered in the aggregate as a single subsidiary, would not constitute a significant subsidiary as defined in 17 C.F.R. § 210.1-02(w).</w:t>
      </w:r>
    </w:p>
    <w:p>
      <w:pPr>
        <w:spacing w:after="0" w:line="1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(i)          </w:t>
      </w:r>
      <w:r>
        <w:rPr>
          <w:rFonts w:ascii="Times New Roman" w:cs="Times New Roman" w:eastAsia="Times New Roman" w:hAnsi="Times New Roman"/>
          <w:sz w:val="13"/>
          <w:szCs w:val="13"/>
          <w:u w:val="single" w:color="auto"/>
          <w:color w:val="auto"/>
        </w:rPr>
        <w:t>  This Agreement</w:t>
      </w:r>
      <w:r>
        <w:rPr>
          <w:rFonts w:ascii="Times New Roman" w:cs="Times New Roman" w:eastAsia="Times New Roman" w:hAnsi="Times New Roman"/>
          <w:sz w:val="13"/>
          <w:szCs w:val="13"/>
          <w:color w:val="auto"/>
        </w:rPr>
        <w:t>. This Agreement has been duly authorized, executed and delivered by the Company.</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(j)          </w:t>
      </w:r>
      <w:r>
        <w:rPr>
          <w:rFonts w:ascii="Times New Roman" w:cs="Times New Roman" w:eastAsia="Times New Roman" w:hAnsi="Times New Roman"/>
          <w:sz w:val="13"/>
          <w:szCs w:val="13"/>
          <w:u w:val="single" w:color="auto"/>
          <w:color w:val="auto"/>
        </w:rPr>
        <w:t>  Capital Stock Matters</w:t>
      </w:r>
      <w:r>
        <w:rPr>
          <w:rFonts w:ascii="Times New Roman" w:cs="Times New Roman" w:eastAsia="Times New Roman" w:hAnsi="Times New Roman"/>
          <w:sz w:val="13"/>
          <w:szCs w:val="13"/>
          <w:color w:val="auto"/>
        </w:rPr>
        <w:t>. The authorized capital stock of the Company conforms as to legal matters to the description thereof contained in each of the Registration Statement and the Prospectus.</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(k)          </w:t>
      </w:r>
      <w:r>
        <w:rPr>
          <w:rFonts w:ascii="Times New Roman" w:cs="Times New Roman" w:eastAsia="Times New Roman" w:hAnsi="Times New Roman"/>
          <w:sz w:val="13"/>
          <w:szCs w:val="13"/>
          <w:u w:val="single" w:color="auto"/>
          <w:color w:val="auto"/>
        </w:rPr>
        <w:t>  Capitalization</w:t>
      </w:r>
      <w:r>
        <w:rPr>
          <w:rFonts w:ascii="Times New Roman" w:cs="Times New Roman" w:eastAsia="Times New Roman" w:hAnsi="Times New Roman"/>
          <w:sz w:val="13"/>
          <w:szCs w:val="13"/>
          <w:color w:val="auto"/>
        </w:rPr>
        <w:t>. The Common Shares outstanding prior to the issuance of the Shares have been duly authorized and are validly issued, fully paid and non-assessable.</w:t>
      </w:r>
    </w:p>
    <w:p>
      <w:pPr>
        <w:spacing w:after="0" w:line="174" w:lineRule="exact"/>
        <w:rPr>
          <w:sz w:val="20"/>
          <w:szCs w:val="20"/>
          <w:color w:val="auto"/>
        </w:rPr>
      </w:pPr>
    </w:p>
    <w:p>
      <w:pPr>
        <w:jc w:val="both"/>
        <w:ind w:firstLine="485"/>
        <w:spacing w:after="0" w:line="298" w:lineRule="auto"/>
        <w:rPr>
          <w:sz w:val="20"/>
          <w:szCs w:val="20"/>
          <w:color w:val="auto"/>
        </w:rPr>
      </w:pPr>
      <w:r>
        <w:rPr>
          <w:rFonts w:ascii="Times New Roman" w:cs="Times New Roman" w:eastAsia="Times New Roman" w:hAnsi="Times New Roman"/>
          <w:sz w:val="13"/>
          <w:szCs w:val="13"/>
          <w:color w:val="auto"/>
        </w:rPr>
        <w:t>(l)          </w:t>
      </w:r>
      <w:r>
        <w:rPr>
          <w:rFonts w:ascii="Times New Roman" w:cs="Times New Roman" w:eastAsia="Times New Roman" w:hAnsi="Times New Roman"/>
          <w:sz w:val="13"/>
          <w:szCs w:val="13"/>
          <w:u w:val="single" w:color="auto"/>
          <w:color w:val="auto"/>
        </w:rPr>
        <w:t>  Authorization of the Shares</w:t>
      </w:r>
      <w:r>
        <w:rPr>
          <w:rFonts w:ascii="Times New Roman" w:cs="Times New Roman" w:eastAsia="Times New Roman" w:hAnsi="Times New Roman"/>
          <w:sz w:val="13"/>
          <w:szCs w:val="13"/>
          <w:color w:val="auto"/>
        </w:rPr>
        <w:t>. The Shares have been duly authorized for issuance and sale pursuant to this Agreement and, when issued, delivered and paid for in accordance with the terms of this Agreement, will be validly issued, fully paid and non-assessable, and the issuance and sale of the Shares will not be subject to any preemptive or similar rights.</w:t>
      </w:r>
    </w:p>
    <w:p>
      <w:pPr>
        <w:spacing w:after="0" w:line="114" w:lineRule="exact"/>
        <w:rPr>
          <w:sz w:val="20"/>
          <w:szCs w:val="20"/>
          <w:color w:val="auto"/>
        </w:rPr>
      </w:pPr>
    </w:p>
    <w:p>
      <w:pPr>
        <w:jc w:val="both"/>
        <w:ind w:firstLine="485"/>
        <w:spacing w:after="0" w:line="272" w:lineRule="auto"/>
        <w:rPr>
          <w:sz w:val="20"/>
          <w:szCs w:val="20"/>
          <w:color w:val="auto"/>
        </w:rPr>
      </w:pPr>
      <w:r>
        <w:rPr>
          <w:rFonts w:ascii="Times New Roman" w:cs="Times New Roman" w:eastAsia="Times New Roman" w:hAnsi="Times New Roman"/>
          <w:sz w:val="13"/>
          <w:szCs w:val="13"/>
          <w:color w:val="auto"/>
        </w:rPr>
        <w:t>(m)          </w:t>
      </w:r>
      <w:r>
        <w:rPr>
          <w:rFonts w:ascii="Times New Roman" w:cs="Times New Roman" w:eastAsia="Times New Roman" w:hAnsi="Times New Roman"/>
          <w:sz w:val="13"/>
          <w:szCs w:val="13"/>
          <w:u w:val="single" w:color="auto"/>
          <w:color w:val="auto"/>
        </w:rPr>
        <w:t>  Stock Exchange Listing</w:t>
      </w:r>
      <w:r>
        <w:rPr>
          <w:rFonts w:ascii="Times New Roman" w:cs="Times New Roman" w:eastAsia="Times New Roman" w:hAnsi="Times New Roman"/>
          <w:sz w:val="13"/>
          <w:szCs w:val="13"/>
          <w:color w:val="auto"/>
        </w:rPr>
        <w:t>. The Common Shares are registered pursuant to Section 12(b) of the Exchange Act and are listed on the Principal Market, and the Company has taken no action designed to, or reasonably likely to have the effect of, terminating the registration of the Common Shares under the Exchange Act or delisting the Common Shares from the Principal Market, nor has the Company received any notification that the Commission or the Principal Market is contemplating terminating such registration or listing. To the Company’s knowledge, it is in compliance in all material respects with all applicable listing requirements of the Principal Market.</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4">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3" w:right="319" w:bottom="1440" w:gutter="0" w:footer="0" w:header="0"/>
        </w:sectPr>
      </w:pPr>
    </w:p>
    <w:bookmarkStart w:id="59" w:name="page60"/>
    <w:bookmarkEnd w:id="59"/>
    <w:p>
      <w:pPr>
        <w:jc w:val="both"/>
        <w:ind w:firstLine="485"/>
        <w:spacing w:after="0" w:line="267" w:lineRule="auto"/>
        <w:rPr>
          <w:sz w:val="20"/>
          <w:szCs w:val="20"/>
          <w:color w:val="auto"/>
        </w:rPr>
      </w:pPr>
      <w:r>
        <w:rPr>
          <w:rFonts w:ascii="Times New Roman" w:cs="Times New Roman" w:eastAsia="Times New Roman" w:hAnsi="Times New Roman"/>
          <w:sz w:val="13"/>
          <w:szCs w:val="13"/>
          <w:color w:val="auto"/>
        </w:rPr>
        <w:t>(n)          </w:t>
      </w:r>
      <w:r>
        <w:rPr>
          <w:rFonts w:ascii="Times New Roman" w:cs="Times New Roman" w:eastAsia="Times New Roman" w:hAnsi="Times New Roman"/>
          <w:sz w:val="13"/>
          <w:szCs w:val="13"/>
          <w:u w:val="single" w:color="auto"/>
          <w:color w:val="auto"/>
        </w:rPr>
        <w:t>  Non-Contravention of Agreement; No Further Authorizations or Approvals Required</w:t>
      </w:r>
      <w:r>
        <w:rPr>
          <w:rFonts w:ascii="Times New Roman" w:cs="Times New Roman" w:eastAsia="Times New Roman" w:hAnsi="Times New Roman"/>
          <w:sz w:val="13"/>
          <w:szCs w:val="13"/>
          <w:color w:val="auto"/>
        </w:rPr>
        <w:t>. The execution and delivery by the Company of, and the performance by the Company of its obligations under, this Agreement will not contravene any provision of applicable law or the certificate of incorporation or bylaws of the Company or any agreement or other instrument binding upon the Company or any of its subsidiaries that is material to the Company and its subsidiaries, taken as a whole, or any judgment, order or decree of any governmental body, agency or court having jurisdiction over the Company or any subsidiary, and no consent, approval, authorization or order of, or qualification with, any governmental body, agency or court is required for the performance by the Company of its obligations under this Agreement, except such as may be required by the securities or blue sky laws of the various states or foreign jurisdictions or the rules and regulations of the Financial Industry Regulatory Authority, Inc. (“</w:t>
      </w:r>
      <w:r>
        <w:rPr>
          <w:rFonts w:ascii="Times New Roman" w:cs="Times New Roman" w:eastAsia="Times New Roman" w:hAnsi="Times New Roman"/>
          <w:sz w:val="13"/>
          <w:szCs w:val="13"/>
          <w:b w:val="1"/>
          <w:bCs w:val="1"/>
          <w:color w:val="auto"/>
        </w:rPr>
        <w:t>FINRA</w:t>
      </w:r>
      <w:r>
        <w:rPr>
          <w:rFonts w:ascii="Times New Roman" w:cs="Times New Roman" w:eastAsia="Times New Roman" w:hAnsi="Times New Roman"/>
          <w:sz w:val="13"/>
          <w:szCs w:val="13"/>
          <w:color w:val="auto"/>
        </w:rPr>
        <w:t>”) in connection with the offer and sale of the Shares.</w:t>
      </w:r>
    </w:p>
    <w:p>
      <w:pPr>
        <w:spacing w:after="0" w:line="134" w:lineRule="exact"/>
        <w:rPr>
          <w:sz w:val="20"/>
          <w:szCs w:val="20"/>
          <w:color w:val="auto"/>
        </w:rPr>
      </w:pPr>
    </w:p>
    <w:p>
      <w:pPr>
        <w:jc w:val="both"/>
        <w:ind w:firstLine="485"/>
        <w:spacing w:after="0" w:line="279" w:lineRule="auto"/>
        <w:rPr>
          <w:sz w:val="20"/>
          <w:szCs w:val="20"/>
          <w:color w:val="auto"/>
        </w:rPr>
      </w:pPr>
      <w:r>
        <w:rPr>
          <w:rFonts w:ascii="Times New Roman" w:cs="Times New Roman" w:eastAsia="Times New Roman" w:hAnsi="Times New Roman"/>
          <w:sz w:val="13"/>
          <w:szCs w:val="13"/>
          <w:color w:val="auto"/>
        </w:rPr>
        <w:t>(o)          </w:t>
      </w:r>
      <w:r>
        <w:rPr>
          <w:rFonts w:ascii="Times New Roman" w:cs="Times New Roman" w:eastAsia="Times New Roman" w:hAnsi="Times New Roman"/>
          <w:sz w:val="13"/>
          <w:szCs w:val="13"/>
          <w:u w:val="single" w:color="auto"/>
          <w:color w:val="auto"/>
        </w:rPr>
        <w:t>  No Price Stabilization or Manipulation; Compliance with Regulation M</w:t>
      </w:r>
      <w:r>
        <w:rPr>
          <w:rFonts w:ascii="Times New Roman" w:cs="Times New Roman" w:eastAsia="Times New Roman" w:hAnsi="Times New Roman"/>
          <w:sz w:val="13"/>
          <w:szCs w:val="13"/>
          <w:color w:val="auto"/>
        </w:rPr>
        <w:t>. Neither the Company nor any of its subsidiaries has taken, directly or indirectly, any action designed to or that might cause or result in stabilization or manipulation of the price of the Common Shares or of any “reference security” (as defined in Rule 100 of Regulation M under the Exchange Act (“</w:t>
      </w:r>
      <w:r>
        <w:rPr>
          <w:rFonts w:ascii="Times New Roman" w:cs="Times New Roman" w:eastAsia="Times New Roman" w:hAnsi="Times New Roman"/>
          <w:sz w:val="13"/>
          <w:szCs w:val="13"/>
          <w:b w:val="1"/>
          <w:bCs w:val="1"/>
          <w:color w:val="auto"/>
        </w:rPr>
        <w:t>Regulation M</w:t>
      </w:r>
      <w:r>
        <w:rPr>
          <w:rFonts w:ascii="Times New Roman" w:cs="Times New Roman" w:eastAsia="Times New Roman" w:hAnsi="Times New Roman"/>
          <w:sz w:val="13"/>
          <w:szCs w:val="13"/>
          <w:color w:val="auto"/>
        </w:rPr>
        <w:t>”)) with respect to the Common Shares, whether to facilitate the sale or resale of the Shares or otherwise, and has taken no action which would directly or indirectly violate Regulation M.</w:t>
      </w:r>
    </w:p>
    <w:p>
      <w:pPr>
        <w:spacing w:after="0" w:line="125" w:lineRule="exact"/>
        <w:rPr>
          <w:sz w:val="20"/>
          <w:szCs w:val="20"/>
          <w:color w:val="auto"/>
        </w:rPr>
      </w:pPr>
    </w:p>
    <w:p>
      <w:pPr>
        <w:jc w:val="both"/>
        <w:ind w:firstLine="485"/>
        <w:spacing w:after="0" w:line="272" w:lineRule="auto"/>
        <w:rPr>
          <w:sz w:val="20"/>
          <w:szCs w:val="20"/>
          <w:color w:val="auto"/>
        </w:rPr>
      </w:pPr>
      <w:r>
        <w:rPr>
          <w:rFonts w:ascii="Times New Roman" w:cs="Times New Roman" w:eastAsia="Times New Roman" w:hAnsi="Times New Roman"/>
          <w:sz w:val="13"/>
          <w:szCs w:val="13"/>
          <w:color w:val="auto"/>
        </w:rPr>
        <w:t>(p)          </w:t>
      </w:r>
      <w:r>
        <w:rPr>
          <w:rFonts w:ascii="Times New Roman" w:cs="Times New Roman" w:eastAsia="Times New Roman" w:hAnsi="Times New Roman"/>
          <w:sz w:val="13"/>
          <w:szCs w:val="13"/>
          <w:u w:val="single" w:color="auto"/>
          <w:color w:val="auto"/>
        </w:rPr>
        <w:t>  FINRA Matters</w:t>
      </w:r>
      <w:r>
        <w:rPr>
          <w:rFonts w:ascii="Times New Roman" w:cs="Times New Roman" w:eastAsia="Times New Roman" w:hAnsi="Times New Roman"/>
          <w:sz w:val="13"/>
          <w:szCs w:val="13"/>
          <w:color w:val="auto"/>
        </w:rPr>
        <w:t>. All of the information provided to the Agents or to counsel for the Agents by the Company, its counsel, its officers and directors and, to the Company’s knowledge, the holders of any securities (debt or equity) or options to acquire any securities of the Company in connection with the offering of the Shares is true, complete, correct in all material respects and compliant with FINRA’s rules and any letters, filings or other supplemental information provided to FINRA pursuant to FINRA Rules or NASD Conduct Rules is true, complete and correct in all material respects. The Company meets the definition of the term “experienced issuer” specified in FINRA Rule 5110(j)(6).</w:t>
      </w:r>
    </w:p>
    <w:p>
      <w:pPr>
        <w:spacing w:after="0" w:line="131" w:lineRule="exact"/>
        <w:rPr>
          <w:sz w:val="20"/>
          <w:szCs w:val="20"/>
          <w:color w:val="auto"/>
        </w:rPr>
      </w:pPr>
    </w:p>
    <w:p>
      <w:pPr>
        <w:jc w:val="both"/>
        <w:ind w:firstLine="485"/>
        <w:spacing w:after="0" w:line="279" w:lineRule="auto"/>
        <w:rPr>
          <w:sz w:val="20"/>
          <w:szCs w:val="20"/>
          <w:color w:val="auto"/>
        </w:rPr>
      </w:pPr>
      <w:r>
        <w:rPr>
          <w:rFonts w:ascii="Times New Roman" w:cs="Times New Roman" w:eastAsia="Times New Roman" w:hAnsi="Times New Roman"/>
          <w:sz w:val="13"/>
          <w:szCs w:val="13"/>
          <w:color w:val="auto"/>
        </w:rPr>
        <w:t>(q)          </w:t>
      </w:r>
      <w:r>
        <w:rPr>
          <w:rFonts w:ascii="Times New Roman" w:cs="Times New Roman" w:eastAsia="Times New Roman" w:hAnsi="Times New Roman"/>
          <w:sz w:val="13"/>
          <w:szCs w:val="13"/>
          <w:u w:val="single" w:color="auto"/>
          <w:color w:val="auto"/>
        </w:rPr>
        <w:t>  No Material Adverse Change</w:t>
      </w:r>
      <w:r>
        <w:rPr>
          <w:rFonts w:ascii="Times New Roman" w:cs="Times New Roman" w:eastAsia="Times New Roman" w:hAnsi="Times New Roman"/>
          <w:sz w:val="13"/>
          <w:szCs w:val="13"/>
          <w:color w:val="auto"/>
        </w:rPr>
        <w:t>. 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Registration Statement and the Prospectus (any such change being referred to herein as a “</w:t>
      </w:r>
      <w:r>
        <w:rPr>
          <w:rFonts w:ascii="Times New Roman" w:cs="Times New Roman" w:eastAsia="Times New Roman" w:hAnsi="Times New Roman"/>
          <w:sz w:val="13"/>
          <w:szCs w:val="13"/>
          <w:b w:val="1"/>
          <w:bCs w:val="1"/>
          <w:color w:val="auto"/>
        </w:rPr>
        <w:t>Material Adverse Change</w:t>
      </w:r>
      <w:r>
        <w:rPr>
          <w:rFonts w:ascii="Times New Roman" w:cs="Times New Roman" w:eastAsia="Times New Roman" w:hAnsi="Times New Roman"/>
          <w:sz w:val="13"/>
          <w:szCs w:val="13"/>
          <w:color w:val="auto"/>
        </w:rPr>
        <w:t>”).</w:t>
      </w:r>
    </w:p>
    <w:p>
      <w:pPr>
        <w:spacing w:after="0" w:line="125" w:lineRule="exact"/>
        <w:rPr>
          <w:sz w:val="20"/>
          <w:szCs w:val="20"/>
          <w:color w:val="auto"/>
        </w:rPr>
      </w:pPr>
    </w:p>
    <w:p>
      <w:pPr>
        <w:jc w:val="both"/>
        <w:ind w:firstLine="485"/>
        <w:spacing w:after="0" w:line="266" w:lineRule="auto"/>
        <w:rPr>
          <w:sz w:val="20"/>
          <w:szCs w:val="20"/>
          <w:color w:val="auto"/>
        </w:rPr>
      </w:pPr>
      <w:r>
        <w:rPr>
          <w:rFonts w:ascii="Times New Roman" w:cs="Times New Roman" w:eastAsia="Times New Roman" w:hAnsi="Times New Roman"/>
          <w:sz w:val="13"/>
          <w:szCs w:val="13"/>
          <w:color w:val="auto"/>
        </w:rPr>
        <w:t>(r)          </w:t>
      </w:r>
      <w:r>
        <w:rPr>
          <w:rFonts w:ascii="Times New Roman" w:cs="Times New Roman" w:eastAsia="Times New Roman" w:hAnsi="Times New Roman"/>
          <w:sz w:val="13"/>
          <w:szCs w:val="13"/>
          <w:u w:val="single" w:color="auto"/>
          <w:color w:val="auto"/>
        </w:rPr>
        <w:t>  Non-Contravention of Existing Instruments</w:t>
      </w:r>
      <w:r>
        <w:rPr>
          <w:rFonts w:ascii="Times New Roman" w:cs="Times New Roman" w:eastAsia="Times New Roman" w:hAnsi="Times New Roman"/>
          <w:sz w:val="13"/>
          <w:szCs w:val="13"/>
          <w:color w:val="auto"/>
        </w:rPr>
        <w:t>. Neither the Company nor any of its subsidiaries is (i) in violation of its respective certificate of incorporation or bylaws (or other applicable organizational document);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(iii) in violation of any law or statute or any judgment, order, rule or regulation of any court or arbitrator or governmental or regulatory authority applicable to the Company, any of its subsidiaries or their respective businesses and properties, except in the case of clauses (ii) and (iii) above for any such default or violation that would not, singly or in the aggregate, have a material adverse effect on the Company and its subsidiaries, taken as a whole, whether or not arising from transactions in the ordinary course of business.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5">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3" w:right="319" w:bottom="1440" w:gutter="0" w:footer="0" w:header="0"/>
        </w:sectPr>
      </w:pPr>
    </w:p>
    <w:bookmarkStart w:id="60" w:name="page61"/>
    <w:bookmarkEnd w:id="60"/>
    <w:p>
      <w:pPr>
        <w:jc w:val="both"/>
        <w:ind w:firstLine="485"/>
        <w:spacing w:after="0" w:line="267" w:lineRule="auto"/>
        <w:rPr>
          <w:sz w:val="20"/>
          <w:szCs w:val="20"/>
          <w:color w:val="auto"/>
        </w:rPr>
      </w:pPr>
      <w:r>
        <w:rPr>
          <w:rFonts w:ascii="Times New Roman" w:cs="Times New Roman" w:eastAsia="Times New Roman" w:hAnsi="Times New Roman"/>
          <w:sz w:val="13"/>
          <w:szCs w:val="13"/>
          <w:color w:val="auto"/>
        </w:rPr>
        <w:t>(s)          </w:t>
      </w:r>
      <w:r>
        <w:rPr>
          <w:rFonts w:ascii="Times New Roman" w:cs="Times New Roman" w:eastAsia="Times New Roman" w:hAnsi="Times New Roman"/>
          <w:sz w:val="13"/>
          <w:szCs w:val="13"/>
          <w:u w:val="single" w:color="auto"/>
          <w:color w:val="auto"/>
        </w:rPr>
        <w:t>  No Material Actions or Proceedings</w:t>
      </w:r>
      <w:r>
        <w:rPr>
          <w:rFonts w:ascii="Times New Roman" w:cs="Times New Roman" w:eastAsia="Times New Roman" w:hAnsi="Times New Roman"/>
          <w:sz w:val="13"/>
          <w:szCs w:val="13"/>
          <w:color w:val="auto"/>
        </w:rPr>
        <w:t>. There are no legal or governmental proceedings pending or, to the Company’s knowledge, threatened to which the Company or any of its subsidiaries is a party or to which any of the properties of the Company or any of its subsidiaries is subject (i) other than proceedings accurately described in all material respects in each of the Registration Statement and the Prospectus and proceedings that would not, singly or in the aggregate, have a material adverse effect on the Company and its subsidiaries, taken as a whole, or on the power or ability of the Company to perform its obligations under this Agreement or to consummate the transactions contemplated by each of the Registration Statement and the Prospectus or (ii) that are required to be described in the Registration Statement or the Prospectus and are not so described; and there are no statutes, regulations, contracts or other documents that are required to be described in the Registration Statement or the Prospectus or to be filed as exhibits to the Registration Statement that are not described or filed as required.</w:t>
      </w:r>
    </w:p>
    <w:p>
      <w:pPr>
        <w:spacing w:after="0" w:line="134" w:lineRule="exact"/>
        <w:rPr>
          <w:sz w:val="20"/>
          <w:szCs w:val="20"/>
          <w:color w:val="auto"/>
        </w:rPr>
      </w:pPr>
    </w:p>
    <w:p>
      <w:pPr>
        <w:jc w:val="both"/>
        <w:ind w:firstLine="485"/>
        <w:spacing w:after="0" w:line="298" w:lineRule="auto"/>
        <w:rPr>
          <w:sz w:val="20"/>
          <w:szCs w:val="20"/>
          <w:color w:val="auto"/>
        </w:rPr>
      </w:pPr>
      <w:r>
        <w:rPr>
          <w:rFonts w:ascii="Times New Roman" w:cs="Times New Roman" w:eastAsia="Times New Roman" w:hAnsi="Times New Roman"/>
          <w:sz w:val="13"/>
          <w:szCs w:val="13"/>
          <w:color w:val="auto"/>
        </w:rPr>
        <w:t>(t)          </w:t>
      </w:r>
      <w:r>
        <w:rPr>
          <w:rFonts w:ascii="Times New Roman" w:cs="Times New Roman" w:eastAsia="Times New Roman" w:hAnsi="Times New Roman"/>
          <w:sz w:val="13"/>
          <w:szCs w:val="13"/>
          <w:u w:val="single" w:color="auto"/>
          <w:color w:val="auto"/>
        </w:rPr>
        <w:t>  Company Not an “Investment Company</w:t>
      </w:r>
      <w:r>
        <w:rPr>
          <w:rFonts w:ascii="Times New Roman" w:cs="Times New Roman" w:eastAsia="Times New Roman" w:hAnsi="Times New Roman"/>
          <w:sz w:val="13"/>
          <w:szCs w:val="13"/>
          <w:color w:val="auto"/>
        </w:rPr>
        <w:t>.” The Company is not, and after giving effect to the offering and sale of the Shares and the application of the proceeds thereof as described in each of the Registration Statement and the Prospectus will not be, required to register as an “investment company” as such term is defined in the Investment Company Act of 1940, as amended.</w:t>
      </w:r>
    </w:p>
    <w:p>
      <w:pPr>
        <w:spacing w:after="0" w:line="114" w:lineRule="exact"/>
        <w:rPr>
          <w:sz w:val="20"/>
          <w:szCs w:val="20"/>
          <w:color w:val="auto"/>
        </w:rPr>
      </w:pPr>
    </w:p>
    <w:p>
      <w:pPr>
        <w:jc w:val="both"/>
        <w:ind w:firstLine="485"/>
        <w:spacing w:after="0" w:line="269" w:lineRule="auto"/>
        <w:rPr>
          <w:sz w:val="20"/>
          <w:szCs w:val="20"/>
          <w:color w:val="auto"/>
        </w:rPr>
      </w:pPr>
      <w:r>
        <w:rPr>
          <w:rFonts w:ascii="Times New Roman" w:cs="Times New Roman" w:eastAsia="Times New Roman" w:hAnsi="Times New Roman"/>
          <w:sz w:val="13"/>
          <w:szCs w:val="13"/>
          <w:color w:val="auto"/>
        </w:rPr>
        <w:t>(u)          </w:t>
      </w:r>
      <w:r>
        <w:rPr>
          <w:rFonts w:ascii="Times New Roman" w:cs="Times New Roman" w:eastAsia="Times New Roman" w:hAnsi="Times New Roman"/>
          <w:sz w:val="13"/>
          <w:szCs w:val="13"/>
          <w:u w:val="single" w:color="auto"/>
          <w:color w:val="auto"/>
        </w:rPr>
        <w:t>  Compliance with Environmental Laws</w:t>
      </w:r>
      <w:r>
        <w:rPr>
          <w:rFonts w:ascii="Times New Roman" w:cs="Times New Roman" w:eastAsia="Times New Roman" w:hAnsi="Times New Roman"/>
          <w:sz w:val="13"/>
          <w:szCs w:val="13"/>
          <w:color w:val="auto"/>
        </w:rPr>
        <w:t>. The Company and each of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cs="Times New Roman" w:eastAsia="Times New Roman" w:hAnsi="Times New Roman"/>
          <w:sz w:val="13"/>
          <w:szCs w:val="13"/>
          <w:b w:val="1"/>
          <w:bCs w:val="1"/>
          <w:color w:val="auto"/>
        </w:rPr>
        <w:t>Environmental Laws</w:t>
      </w:r>
      <w:r>
        <w:rPr>
          <w:rFonts w:ascii="Times New Roman" w:cs="Times New Roman" w:eastAsia="Times New Roman" w:hAnsi="Times New Roman"/>
          <w:sz w:val="13"/>
          <w:szCs w:val="13"/>
          <w:color w:val="auto"/>
        </w:rPr>
        <w:t>”),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have a material adverse effect on the Company and its subsidiaries, taken as a whole.</w:t>
      </w:r>
    </w:p>
    <w:p>
      <w:pPr>
        <w:spacing w:after="0" w:line="132" w:lineRule="exact"/>
        <w:rPr>
          <w:sz w:val="20"/>
          <w:szCs w:val="20"/>
          <w:color w:val="auto"/>
        </w:rPr>
      </w:pPr>
    </w:p>
    <w:p>
      <w:pPr>
        <w:jc w:val="both"/>
        <w:ind w:firstLine="485"/>
        <w:spacing w:after="0" w:line="279" w:lineRule="auto"/>
        <w:rPr>
          <w:sz w:val="20"/>
          <w:szCs w:val="20"/>
          <w:color w:val="auto"/>
        </w:rPr>
      </w:pPr>
      <w:r>
        <w:rPr>
          <w:rFonts w:ascii="Times New Roman" w:cs="Times New Roman" w:eastAsia="Times New Roman" w:hAnsi="Times New Roman"/>
          <w:sz w:val="13"/>
          <w:szCs w:val="13"/>
          <w:color w:val="auto"/>
        </w:rPr>
        <w:t>(v)          </w:t>
      </w:r>
      <w:r>
        <w:rPr>
          <w:rFonts w:ascii="Times New Roman" w:cs="Times New Roman" w:eastAsia="Times New Roman" w:hAnsi="Times New Roman"/>
          <w:sz w:val="13"/>
          <w:szCs w:val="13"/>
          <w:u w:val="single" w:color="auto"/>
          <w:color w:val="auto"/>
        </w:rPr>
        <w:t>  No Outstanding Costs of Environmental Compliance</w:t>
      </w:r>
      <w:r>
        <w:rPr>
          <w:rFonts w:ascii="Times New Roman" w:cs="Times New Roman" w:eastAsia="Times New Roman" w:hAnsi="Times New Roman"/>
          <w:sz w:val="13"/>
          <w:szCs w:val="13"/>
          <w:color w:val="auto"/>
        </w:rPr>
        <w:t>. 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have a material adverse effect on the Company and its subsidiaries, taken as a whole.</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6">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3" w:right="319" w:bottom="1440" w:gutter="0" w:footer="0" w:header="0"/>
        </w:sectPr>
      </w:pPr>
    </w:p>
    <w:bookmarkStart w:id="61" w:name="page62"/>
    <w:bookmarkEnd w:id="61"/>
    <w:p>
      <w:pPr>
        <w:jc w:val="both"/>
        <w:ind w:firstLine="485"/>
        <w:spacing w:after="0" w:line="279" w:lineRule="auto"/>
        <w:rPr>
          <w:sz w:val="20"/>
          <w:szCs w:val="20"/>
          <w:color w:val="auto"/>
        </w:rPr>
      </w:pPr>
      <w:r>
        <w:rPr>
          <w:rFonts w:ascii="Times New Roman" w:cs="Times New Roman" w:eastAsia="Times New Roman" w:hAnsi="Times New Roman"/>
          <w:sz w:val="13"/>
          <w:szCs w:val="13"/>
          <w:color w:val="auto"/>
        </w:rPr>
        <w:t>(w)          </w:t>
      </w:r>
      <w:r>
        <w:rPr>
          <w:rFonts w:ascii="Times New Roman" w:cs="Times New Roman" w:eastAsia="Times New Roman" w:hAnsi="Times New Roman"/>
          <w:sz w:val="13"/>
          <w:szCs w:val="13"/>
          <w:u w:val="single" w:color="auto"/>
          <w:color w:val="auto"/>
        </w:rPr>
        <w:t>  Outstanding Registration and Other Rights</w:t>
      </w:r>
      <w:r>
        <w:rPr>
          <w:rFonts w:ascii="Times New Roman" w:cs="Times New Roman" w:eastAsia="Times New Roman" w:hAnsi="Times New Roman"/>
          <w:sz w:val="13"/>
          <w:szCs w:val="13"/>
          <w:color w:val="auto"/>
        </w:rPr>
        <w:t>. Other than as disclosed in the Registration Statement and the Prospectus, 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Shares registered pursuant to the Registration Statement.</w:t>
      </w:r>
    </w:p>
    <w:p>
      <w:pPr>
        <w:spacing w:after="0" w:line="125" w:lineRule="exact"/>
        <w:rPr>
          <w:sz w:val="20"/>
          <w:szCs w:val="20"/>
          <w:color w:val="auto"/>
        </w:rPr>
      </w:pPr>
    </w:p>
    <w:p>
      <w:pPr>
        <w:jc w:val="both"/>
        <w:ind w:firstLine="485"/>
        <w:spacing w:after="0" w:line="265" w:lineRule="auto"/>
        <w:rPr>
          <w:sz w:val="20"/>
          <w:szCs w:val="20"/>
          <w:color w:val="auto"/>
        </w:rPr>
      </w:pPr>
      <w:r>
        <w:rPr>
          <w:rFonts w:ascii="Times New Roman" w:cs="Times New Roman" w:eastAsia="Times New Roman" w:hAnsi="Times New Roman"/>
          <w:sz w:val="13"/>
          <w:szCs w:val="13"/>
          <w:color w:val="auto"/>
        </w:rPr>
        <w:t>(x)          </w:t>
      </w:r>
      <w:r>
        <w:rPr>
          <w:rFonts w:ascii="Times New Roman" w:cs="Times New Roman" w:eastAsia="Times New Roman" w:hAnsi="Times New Roman"/>
          <w:sz w:val="13"/>
          <w:szCs w:val="13"/>
          <w:u w:val="single" w:color="auto"/>
          <w:color w:val="auto"/>
        </w:rPr>
        <w:t>  Anti-Corruption and Anti-Bribery</w:t>
      </w:r>
      <w:r>
        <w:rPr>
          <w:rFonts w:ascii="Times New Roman" w:cs="Times New Roman" w:eastAsia="Times New Roman" w:hAnsi="Times New Roman"/>
          <w:sz w:val="13"/>
          <w:szCs w:val="13"/>
          <w:color w:val="auto"/>
        </w:rPr>
        <w:t>. (i) None of the Company or any of its subsidiaries or Affiliates, or any director, officer, or employee thereof, or, to the Company’s knowledge, any agent or representative of the Company or of any of its subsidiaries or Affiliates,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in order to influence official action, or to any Person in violation of any applicable anti-corruption laws; (ii) the Company and each of its subsidiaries and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 (iii) neither the Company nor any of its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135" w:lineRule="exact"/>
        <w:rPr>
          <w:sz w:val="20"/>
          <w:szCs w:val="20"/>
          <w:color w:val="auto"/>
        </w:rPr>
      </w:pPr>
    </w:p>
    <w:p>
      <w:pPr>
        <w:jc w:val="both"/>
        <w:ind w:firstLine="485"/>
        <w:spacing w:after="0" w:line="267" w:lineRule="auto"/>
        <w:rPr>
          <w:sz w:val="20"/>
          <w:szCs w:val="20"/>
          <w:color w:val="auto"/>
        </w:rPr>
      </w:pPr>
      <w:r>
        <w:rPr>
          <w:rFonts w:ascii="Times New Roman" w:cs="Times New Roman" w:eastAsia="Times New Roman" w:hAnsi="Times New Roman"/>
          <w:sz w:val="13"/>
          <w:szCs w:val="13"/>
          <w:color w:val="auto"/>
        </w:rPr>
        <w:t>(y)          </w:t>
      </w:r>
      <w:r>
        <w:rPr>
          <w:rFonts w:ascii="Times New Roman" w:cs="Times New Roman" w:eastAsia="Times New Roman" w:hAnsi="Times New Roman"/>
          <w:sz w:val="13"/>
          <w:szCs w:val="13"/>
          <w:u w:val="single" w:color="auto"/>
          <w:color w:val="auto"/>
        </w:rPr>
        <w:t>  Money Laundering Laws</w:t>
      </w:r>
      <w:r>
        <w:rPr>
          <w:rFonts w:ascii="Times New Roman" w:cs="Times New Roman" w:eastAsia="Times New Roman" w:hAnsi="Times New Roman"/>
          <w:sz w:val="13"/>
          <w:szCs w:val="13"/>
          <w:color w:val="auto"/>
        </w:rPr>
        <w:t>. The operations of the Company and each of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each of its subsidiaries conduct business,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3"/>
          <w:szCs w:val="13"/>
          <w:b w:val="1"/>
          <w:bCs w:val="1"/>
          <w:color w:val="auto"/>
        </w:rPr>
        <w:t>Anti-Money Laundering Laws</w:t>
      </w:r>
      <w:r>
        <w:rPr>
          <w:rFonts w:ascii="Times New Roman" w:cs="Times New Roman" w:eastAsia="Times New Roman" w:hAnsi="Times New Roman"/>
          <w:sz w:val="13"/>
          <w:szCs w:val="13"/>
          <w:color w:val="auto"/>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134" w:lineRule="exact"/>
        <w:rPr>
          <w:sz w:val="20"/>
          <w:szCs w:val="20"/>
          <w:color w:val="auto"/>
        </w:rPr>
      </w:pPr>
    </w:p>
    <w:p>
      <w:pPr>
        <w:jc w:val="both"/>
        <w:ind w:firstLine="485"/>
        <w:spacing w:after="0" w:line="298" w:lineRule="auto"/>
        <w:rPr>
          <w:sz w:val="20"/>
          <w:szCs w:val="20"/>
          <w:color w:val="auto"/>
        </w:rPr>
      </w:pPr>
      <w:r>
        <w:rPr>
          <w:rFonts w:ascii="Times New Roman" w:cs="Times New Roman" w:eastAsia="Times New Roman" w:hAnsi="Times New Roman"/>
          <w:sz w:val="13"/>
          <w:szCs w:val="13"/>
          <w:color w:val="auto"/>
        </w:rPr>
        <w:t>(z)          </w:t>
      </w:r>
      <w:r>
        <w:rPr>
          <w:rFonts w:ascii="Times New Roman" w:cs="Times New Roman" w:eastAsia="Times New Roman" w:hAnsi="Times New Roman"/>
          <w:sz w:val="13"/>
          <w:szCs w:val="13"/>
          <w:u w:val="single" w:color="auto"/>
          <w:color w:val="auto"/>
        </w:rPr>
        <w:t>  Sanctions</w:t>
      </w:r>
      <w:r>
        <w:rPr>
          <w:rFonts w:ascii="Times New Roman" w:cs="Times New Roman" w:eastAsia="Times New Roman" w:hAnsi="Times New Roman"/>
          <w:sz w:val="13"/>
          <w:szCs w:val="13"/>
          <w:color w:val="auto"/>
        </w:rPr>
        <w:t>. (i) None of the Company, any of its subsidiaries, or any director, officer, or employee thereof, or, to the Company’s knowledge, any agent, Affiliate or representative of the Company or any of its subsidiaries, is a Person that is, or is owned or controlled by one or more Persons that are:</w:t>
      </w:r>
    </w:p>
    <w:p>
      <w:pPr>
        <w:spacing w:after="0" w:line="114" w:lineRule="exact"/>
        <w:rPr>
          <w:sz w:val="20"/>
          <w:szCs w:val="20"/>
          <w:color w:val="auto"/>
        </w:rPr>
      </w:pPr>
    </w:p>
    <w:p>
      <w:pPr>
        <w:ind w:left="980" w:firstLine="476"/>
        <w:spacing w:after="0" w:line="298" w:lineRule="auto"/>
        <w:tabs>
          <w:tab w:leader="none" w:pos="1702"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subject of any sanctions administered or enforced by the U.S. Department of the Treasury’s Office of Foreign Assets Control, the United Nations Security Council, the European Union, His Majesty’s Treasury, or other relevant sanctions authority (collectively, “</w:t>
      </w:r>
      <w:r>
        <w:rPr>
          <w:rFonts w:ascii="Times New Roman" w:cs="Times New Roman" w:eastAsia="Times New Roman" w:hAnsi="Times New Roman"/>
          <w:sz w:val="13"/>
          <w:szCs w:val="13"/>
          <w:b w:val="1"/>
          <w:bCs w:val="1"/>
          <w:color w:val="auto"/>
        </w:rPr>
        <w:t>Sanctions</w:t>
      </w:r>
      <w:r>
        <w:rPr>
          <w:rFonts w:ascii="Times New Roman" w:cs="Times New Roman" w:eastAsia="Times New Roman" w:hAnsi="Times New Roman"/>
          <w:sz w:val="13"/>
          <w:szCs w:val="13"/>
          <w:color w:val="auto"/>
        </w:rPr>
        <w:t>”), or</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7">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3" w:right="319" w:bottom="1440" w:gutter="0" w:footer="0" w:header="0"/>
        </w:sectPr>
      </w:pPr>
    </w:p>
    <w:bookmarkStart w:id="62" w:name="page63"/>
    <w:bookmarkEnd w:id="62"/>
    <w:p>
      <w:pPr>
        <w:jc w:val="both"/>
        <w:ind w:left="980" w:firstLine="476"/>
        <w:spacing w:after="0" w:line="292" w:lineRule="auto"/>
        <w:tabs>
          <w:tab w:leader="none" w:pos="1691" w:val="left"/>
        </w:tabs>
        <w:numPr>
          <w:ilvl w:val="1"/>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located, organized or resident in a country or territory that is the subject of Sanctions (including, without limitation, Crimea, Cuba, Iran, North Korea, Syria (prior to July 1, 2025), the non-government-controlled areas of the Zaporizhzhia and Kherson Regions of Ukraine and the so-called Donetsk People’s Republic and so-called Luhansk People’s Republic regions of Ukraine).</w:t>
      </w:r>
    </w:p>
    <w:p>
      <w:pPr>
        <w:spacing w:after="0" w:line="282" w:lineRule="exact"/>
        <w:rPr>
          <w:rFonts w:ascii="Times New Roman" w:cs="Times New Roman" w:eastAsia="Times New Roman" w:hAnsi="Times New Roman"/>
          <w:sz w:val="13"/>
          <w:szCs w:val="13"/>
          <w:color w:val="auto"/>
        </w:rPr>
      </w:pPr>
    </w:p>
    <w:p>
      <w:pPr>
        <w:ind w:left="1160" w:hanging="189"/>
        <w:spacing w:after="0"/>
        <w:tabs>
          <w:tab w:leader="none" w:pos="116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will not, directly or indirectly, use the proceeds of the offering, or lend, contribute or otherwise make available such proceeds to any subsidiary, joint venture partner or other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Person:</w:t>
      </w:r>
    </w:p>
    <w:p>
      <w:pPr>
        <w:spacing w:after="0" w:line="162" w:lineRule="exact"/>
        <w:rPr>
          <w:sz w:val="20"/>
          <w:szCs w:val="20"/>
          <w:color w:val="auto"/>
        </w:rPr>
      </w:pPr>
    </w:p>
    <w:p>
      <w:pPr>
        <w:ind w:left="1680" w:hanging="224"/>
        <w:spacing w:after="0"/>
        <w:tabs>
          <w:tab w:leader="none" w:pos="1680" w:val="left"/>
        </w:tabs>
        <w:numPr>
          <w:ilvl w:val="1"/>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fund or facilitate any activities or business of or with any Person or in any country or territory that, at the time of such funding or facilitation, is the subject of Sanctions; or</w:t>
      </w:r>
    </w:p>
    <w:p>
      <w:pPr>
        <w:spacing w:after="0" w:line="173" w:lineRule="exact"/>
        <w:rPr>
          <w:rFonts w:ascii="Times New Roman" w:cs="Times New Roman" w:eastAsia="Times New Roman" w:hAnsi="Times New Roman"/>
          <w:sz w:val="13"/>
          <w:szCs w:val="13"/>
          <w:color w:val="auto"/>
        </w:rPr>
      </w:pPr>
    </w:p>
    <w:p>
      <w:pPr>
        <w:ind w:left="1680" w:hanging="224"/>
        <w:spacing w:after="0"/>
        <w:tabs>
          <w:tab w:leader="none" w:pos="1680" w:val="left"/>
        </w:tabs>
        <w:numPr>
          <w:ilvl w:val="1"/>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any other manner that will result in a violation of Sanctions by any Person (including any Person participating in the offering, whether as underwriter, advisor, investor or</w:t>
      </w:r>
    </w:p>
    <w:p>
      <w:pPr>
        <w:spacing w:after="0" w:line="24" w:lineRule="exact"/>
        <w:rPr>
          <w:rFonts w:ascii="Times New Roman" w:cs="Times New Roman" w:eastAsia="Times New Roman" w:hAnsi="Times New Roman"/>
          <w:sz w:val="13"/>
          <w:szCs w:val="13"/>
          <w:color w:val="auto"/>
        </w:rPr>
      </w:pPr>
    </w:p>
    <w:p>
      <w:pPr>
        <w:ind w:left="9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otherwise).</w:t>
      </w:r>
    </w:p>
    <w:p>
      <w:pPr>
        <w:spacing w:after="0" w:line="161" w:lineRule="exact"/>
        <w:rPr>
          <w:rFonts w:ascii="Times New Roman" w:cs="Times New Roman" w:eastAsia="Times New Roman" w:hAnsi="Times New Roman"/>
          <w:sz w:val="13"/>
          <w:szCs w:val="13"/>
          <w:color w:val="auto"/>
        </w:rPr>
      </w:pPr>
    </w:p>
    <w:p>
      <w:pPr>
        <w:ind w:firstLine="971"/>
        <w:spacing w:after="0" w:line="298" w:lineRule="auto"/>
        <w:tabs>
          <w:tab w:leader="none" w:pos="1207"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each of its subsidiaries have not knowingly engaged in, are not now knowingly engaged in, and will not engage in, any dealings or transactions with any Person, or in any country or territory, that at the time of the dealing or transaction is or was the subject of Sanctions.</w:t>
      </w:r>
    </w:p>
    <w:p>
      <w:pPr>
        <w:spacing w:after="0" w:line="114" w:lineRule="exact"/>
        <w:rPr>
          <w:sz w:val="20"/>
          <w:szCs w:val="20"/>
          <w:color w:val="auto"/>
        </w:rPr>
      </w:pPr>
    </w:p>
    <w:p>
      <w:pPr>
        <w:jc w:val="both"/>
        <w:ind w:firstLine="485"/>
        <w:spacing w:after="0" w:line="269" w:lineRule="auto"/>
        <w:rPr>
          <w:sz w:val="20"/>
          <w:szCs w:val="20"/>
          <w:color w:val="auto"/>
        </w:rPr>
      </w:pPr>
      <w:r>
        <w:rPr>
          <w:rFonts w:ascii="Times New Roman" w:cs="Times New Roman" w:eastAsia="Times New Roman" w:hAnsi="Times New Roman"/>
          <w:sz w:val="13"/>
          <w:szCs w:val="13"/>
          <w:color w:val="auto"/>
        </w:rPr>
        <w:t>(aa)        The Company and its Subsidiaries have conducted and will conduct their businesses in compliance with applicable anti-corruption laws, the Anti-Money Laundering Laws, and Sanctions, and no investigation, inquiry, action, suit or proceeding by or before any court or governmental agency, authority or body or any arbitrator involving the Company or any of its subsidiaries with respect to applicable anti-corruption laws, the Anti-Money Laundering Laws, or Sanctions is pending or, to the knowledge of the Company, threatened. The Company and its subsidiaries and affiliates have instituted and maintained and will continue to maintain policies and procedures reasonably designed to promote and achieve compliance with applicable anti-corruption laws, the Anti- Money Laundering Laws, Sanctions, and with the representations and warranties contained herein.</w:t>
      </w:r>
    </w:p>
    <w:p>
      <w:pPr>
        <w:spacing w:after="0" w:line="132" w:lineRule="exact"/>
        <w:rPr>
          <w:sz w:val="20"/>
          <w:szCs w:val="20"/>
          <w:color w:val="auto"/>
        </w:rPr>
      </w:pPr>
    </w:p>
    <w:p>
      <w:pPr>
        <w:jc w:val="both"/>
        <w:ind w:firstLine="485"/>
        <w:spacing w:after="0" w:line="266" w:lineRule="auto"/>
        <w:rPr>
          <w:sz w:val="20"/>
          <w:szCs w:val="20"/>
          <w:color w:val="auto"/>
        </w:rPr>
      </w:pPr>
      <w:r>
        <w:rPr>
          <w:rFonts w:ascii="Times New Roman" w:cs="Times New Roman" w:eastAsia="Times New Roman" w:hAnsi="Times New Roman"/>
          <w:sz w:val="13"/>
          <w:szCs w:val="13"/>
          <w:color w:val="auto"/>
        </w:rPr>
        <w:t>(bb)      </w:t>
      </w:r>
      <w:r>
        <w:rPr>
          <w:rFonts w:ascii="Times New Roman" w:cs="Times New Roman" w:eastAsia="Times New Roman" w:hAnsi="Times New Roman"/>
          <w:sz w:val="13"/>
          <w:szCs w:val="13"/>
          <w:u w:val="single" w:color="auto"/>
          <w:color w:val="auto"/>
        </w:rPr>
        <w:t>  Compliance with UFLPA Entity List</w:t>
      </w:r>
      <w:r>
        <w:rPr>
          <w:rFonts w:ascii="Times New Roman" w:cs="Times New Roman" w:eastAsia="Times New Roman" w:hAnsi="Times New Roman"/>
          <w:sz w:val="13"/>
          <w:szCs w:val="13"/>
          <w:color w:val="auto"/>
        </w:rPr>
        <w:t>. To the knowledge of the Company, the operations of neither the Company nor any of its subsidiaries involve the sale or import into the United States of any goods, wares, articles, or merchandise mined, produced, or manufactured wholly or in part in the Xinjiang Uyghur Autonomous Region of the People’s Republic of China, or produced by an entity on the Department of Homeland Security’s UFLPA Entity List. In the past five (5) years, none of the goods the Company or any of its subsidiaries have sold or imported into the United States have been seized by Customs and Border Protection as being contrary to Section 307 of the Tariff Act of 1930 due to the use of forced labor in China in the production of such goods, and neither the Company nor its respective subsidiaries have been the subject of any fines, penalties, enforcement actions, litigation, or other liability in relation to the use of forced labor or alleged forced labor in the supply chain of the products it sells or imports into the United States. The Company and its subsidiaries have implemented policies and controls reasonably designed to mitigate the risks of forced labor in their supply chains and to ensure compliance with Section 307 of the Tariff Act of 1930.</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8">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3" w:right="319" w:bottom="1440" w:gutter="0" w:footer="0" w:header="0"/>
        </w:sectPr>
      </w:pPr>
    </w:p>
    <w:bookmarkStart w:id="63" w:name="page64"/>
    <w:bookmarkEnd w:id="63"/>
    <w:p>
      <w:pPr>
        <w:jc w:val="both"/>
        <w:ind w:firstLine="485"/>
        <w:spacing w:after="0" w:line="269" w:lineRule="auto"/>
        <w:rPr>
          <w:sz w:val="20"/>
          <w:szCs w:val="20"/>
          <w:color w:val="auto"/>
        </w:rPr>
      </w:pPr>
      <w:r>
        <w:rPr>
          <w:rFonts w:ascii="Times New Roman" w:cs="Times New Roman" w:eastAsia="Times New Roman" w:hAnsi="Times New Roman"/>
          <w:sz w:val="13"/>
          <w:szCs w:val="13"/>
          <w:color w:val="auto"/>
        </w:rPr>
        <w:t>(cc)      </w:t>
      </w:r>
      <w:r>
        <w:rPr>
          <w:rFonts w:ascii="Times New Roman" w:cs="Times New Roman" w:eastAsia="Times New Roman" w:hAnsi="Times New Roman"/>
          <w:sz w:val="13"/>
          <w:szCs w:val="13"/>
          <w:u w:val="single" w:color="auto"/>
          <w:color w:val="auto"/>
        </w:rPr>
        <w:t>  Title to Properties</w:t>
      </w:r>
      <w:r>
        <w:rPr>
          <w:rFonts w:ascii="Times New Roman" w:cs="Times New Roman" w:eastAsia="Times New Roman" w:hAnsi="Times New Roman"/>
          <w:sz w:val="13"/>
          <w:szCs w:val="13"/>
          <w:color w:val="auto"/>
        </w:rPr>
        <w:t xml:space="preserve">. Except as otherwise disclosed in the Prospectus, the Company and its subsidiaries do not own any real property. The Company and its subsidiaries have good and marketable title to all personal property (other than intellectual property, which is covered by </w:t>
      </w:r>
      <w:r>
        <w:rPr>
          <w:rFonts w:ascii="Times New Roman" w:cs="Times New Roman" w:eastAsia="Times New Roman" w:hAnsi="Times New Roman"/>
          <w:sz w:val="13"/>
          <w:szCs w:val="13"/>
          <w:u w:val="single" w:color="auto"/>
          <w:color w:val="auto"/>
        </w:rPr>
        <w:t>Section 2(dd)</w:t>
      </w:r>
      <w:r>
        <w:rPr>
          <w:rFonts w:ascii="Times New Roman" w:cs="Times New Roman" w:eastAsia="Times New Roman" w:hAnsi="Times New Roman"/>
          <w:sz w:val="13"/>
          <w:szCs w:val="13"/>
          <w:color w:val="auto"/>
        </w:rPr>
        <w:t xml:space="preserve"> below) owned by them which is material to the business of the Company and its subsidiaries, in each case free and clear of all liens, encumbrances and defects except such as do not materially affect the value of such property and do not interfere with the use made and proposed to be made of such property by the Company and its subsidiaries; and any real property and buildings held under lease by the Company and its subsidiaries are held by them under valid, subsisting and, to the Company’s knowledge, enforceable leases with such exceptions as are not material and do not materially interfere with the use made and proposed to be made of such property and buildings by the Company and its subsidiaries.</w:t>
      </w:r>
    </w:p>
    <w:p>
      <w:pPr>
        <w:spacing w:after="0" w:line="132" w:lineRule="exact"/>
        <w:rPr>
          <w:sz w:val="20"/>
          <w:szCs w:val="20"/>
          <w:color w:val="auto"/>
        </w:rPr>
      </w:pPr>
    </w:p>
    <w:p>
      <w:pPr>
        <w:jc w:val="both"/>
        <w:ind w:firstLine="485"/>
        <w:spacing w:after="0" w:line="261" w:lineRule="auto"/>
        <w:rPr>
          <w:sz w:val="20"/>
          <w:szCs w:val="20"/>
          <w:color w:val="auto"/>
        </w:rPr>
      </w:pPr>
      <w:r>
        <w:rPr>
          <w:rFonts w:ascii="Times New Roman" w:cs="Times New Roman" w:eastAsia="Times New Roman" w:hAnsi="Times New Roman"/>
          <w:sz w:val="13"/>
          <w:szCs w:val="13"/>
          <w:color w:val="auto"/>
        </w:rPr>
        <w:t>(dd)      </w:t>
      </w:r>
      <w:r>
        <w:rPr>
          <w:rFonts w:ascii="Times New Roman" w:cs="Times New Roman" w:eastAsia="Times New Roman" w:hAnsi="Times New Roman"/>
          <w:sz w:val="13"/>
          <w:szCs w:val="13"/>
          <w:u w:val="single" w:color="auto"/>
          <w:color w:val="auto"/>
        </w:rPr>
        <w:t>  Intellectual Property</w:t>
      </w:r>
      <w:r>
        <w:rPr>
          <w:rFonts w:ascii="Times New Roman" w:cs="Times New Roman" w:eastAsia="Times New Roman" w:hAnsi="Times New Roman"/>
          <w:sz w:val="13"/>
          <w:szCs w:val="13"/>
          <w:color w:val="auto"/>
        </w:rPr>
        <w:t>. (i) The Company and its subsidiaries own or have a valid enforceable license to all intellectual property and intellectual property rights, including, without limitation, patents, patent applications, inventions, copyrights, know how (including trade secrets and other unpatented and/or unpatentable proprietary or confidential information, systems or procedures), trademarks, service marks and trade names, together with all moral rights and goodwill associated therewith, and all applications, registrations and renewals in connection with the foregoing (collectively, “</w:t>
      </w:r>
      <w:r>
        <w:rPr>
          <w:rFonts w:ascii="Times New Roman" w:cs="Times New Roman" w:eastAsia="Times New Roman" w:hAnsi="Times New Roman"/>
          <w:sz w:val="13"/>
          <w:szCs w:val="13"/>
          <w:b w:val="1"/>
          <w:bCs w:val="1"/>
          <w:color w:val="auto"/>
        </w:rPr>
        <w:t>Intellectual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Property Rights</w:t>
      </w:r>
      <w:r>
        <w:rPr>
          <w:rFonts w:ascii="Times New Roman" w:cs="Times New Roman" w:eastAsia="Times New Roman" w:hAnsi="Times New Roman"/>
          <w:sz w:val="13"/>
          <w:szCs w:val="13"/>
          <w:color w:val="auto"/>
        </w:rPr>
        <w:t>”) used in or reasonably necessary to the conduct of their businesses as presently conducted and as presently proposed to be conducted; (ii) the Intellectual Property Rights owned by, purported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to be owned by, or exclusively licensed to the Company and its subsidiaries and, to the Company’s knowledge, the Intellectual Property Rights non-exclusively licensed to the Company and its subsidiaries, are valid, subsisting and enforceable, and there is no pending or, to the Company’s knowledge, threatened action, suit, claim or proceeding by others challenging the validity, scope or enforceability of any such Intellectual Property Rights, and the Company is unaware of any facts which would form a reasonable basis for any such action, suit, claim or proceeding; (iii) there are no rights of third parties to any Intellectual Property Rights owned by the Company and its subsidiaries, including no liens, security interests, licenses (other than non-exclusive licenses entered into in the ordinary course), or other encumbrances; (iv) to the Company’s knowledge, no third party is infringing, misappropriating or otherwise violating, or has infringed, misappropriated or otherwise violated, any Intellectual Property Rights owned by or purported to be owned by the Company; (v) neither the Company nor any of its subsidiaries infringes, misappropriates or otherwise violates, or has infringed, misappropriated or otherwise violated, any Intellectual Property Rights, nor would the Company or any of its subsidiaries, upon commercialization of any product or service currently under development, infringe, misappropriate, or otherwise violate any Intellectual Property Rights; (vi) all current and former founders, employees, consultants and contractors engaged in the development of Intellectual Property Rights on behalf of the Company or any subsidiary of the Company have executed a valid and enforceable invention assignment agreement whereby such founders, employees, consultants or contractors presently assigned all of their right, title and interest in and to such Intellectual Property Rights to the Company or the applicable subsidiary and are bound by obligations sufficiently protective of the Company’s or the applicable subsidiary’s confidential and proprietary information (including information that the Company or the applicable subsidiary receives from third parties), and to the Company’s knowledge, no such agreement has been breached or violated by the counterparty to any such agreements; (vii) the Company and its subsidiaries use, and have used, commercially reasonable efforts to appropriately maintain all information intended to be maintained as confidential (including as a trade secret); and (viii) the Company and its subsidiaries have complied in all material respects with the terms of all licenses for Intellectual Property Rights, and said license(s) are in full force and effect. All patents and patent applications, trademark applications and trademark registrations, domain name registrations, copyright applications and copyright registrations owned by or licensed to the Company or under which the Company has rights have been duly and properly filed and maintained, and there are no material defects in any of the patents or patent applications, trademark applications or trademark registration, copyright applications or copyright registrations that are owned by or purported to be owned by the Company. The Company is not aware of any facts required to be disclosed to the USPTO that were not disclosed to the USPTO and which would preclude the grant of a patent in connection with any such application or could form the basis of a finding of invalidity with respect to any patents that have issued with respect to such applications. To the Company’s knowledge, there is no prior art that may render any patent within the Intellectual Property Rights owned by the Company invalid or that may render any patent application within the Intellectual Property Rights owned by the Company unpatentable that has not been disclosed to the USPTO.</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9">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3" w:right="319" w:bottom="1440" w:gutter="0" w:footer="0" w:header="0"/>
        </w:sectPr>
      </w:pPr>
    </w:p>
    <w:bookmarkStart w:id="64" w:name="page65"/>
    <w:bookmarkEnd w:id="64"/>
    <w:p>
      <w:pPr>
        <w:jc w:val="both"/>
        <w:ind w:firstLine="485"/>
        <w:spacing w:after="0" w:line="266" w:lineRule="auto"/>
        <w:rPr>
          <w:sz w:val="20"/>
          <w:szCs w:val="20"/>
          <w:color w:val="auto"/>
        </w:rPr>
      </w:pPr>
      <w:r>
        <w:rPr>
          <w:rFonts w:ascii="Times New Roman" w:cs="Times New Roman" w:eastAsia="Times New Roman" w:hAnsi="Times New Roman"/>
          <w:sz w:val="13"/>
          <w:szCs w:val="13"/>
          <w:color w:val="auto"/>
        </w:rPr>
        <w:t>(ee)      </w:t>
      </w:r>
      <w:r>
        <w:rPr>
          <w:rFonts w:ascii="Times New Roman" w:cs="Times New Roman" w:eastAsia="Times New Roman" w:hAnsi="Times New Roman"/>
          <w:sz w:val="13"/>
          <w:szCs w:val="13"/>
          <w:u w:val="single" w:color="auto"/>
          <w:color w:val="auto"/>
        </w:rPr>
        <w:t>  Software Licenses</w:t>
      </w:r>
      <w:r>
        <w:rPr>
          <w:rFonts w:ascii="Times New Roman" w:cs="Times New Roman" w:eastAsia="Times New Roman" w:hAnsi="Times New Roman"/>
          <w:sz w:val="13"/>
          <w:szCs w:val="13"/>
          <w:color w:val="auto"/>
        </w:rPr>
        <w:t>. (i) The Company and its subsidiaries use and have used any and all software and other materials distributed under a “free,” “open source,” or similar licensing model (including but not limited to the MIT License, Apache License, GNU General Public License, GNU Lesser General Public License and GNU Affero General Public License) (“</w:t>
      </w:r>
      <w:r>
        <w:rPr>
          <w:rFonts w:ascii="Times New Roman" w:cs="Times New Roman" w:eastAsia="Times New Roman" w:hAnsi="Times New Roman"/>
          <w:sz w:val="13"/>
          <w:szCs w:val="13"/>
          <w:b w:val="1"/>
          <w:bCs w:val="1"/>
          <w:color w:val="auto"/>
        </w:rPr>
        <w:t>Open Source Software</w:t>
      </w:r>
      <w:r>
        <w:rPr>
          <w:rFonts w:ascii="Times New Roman" w:cs="Times New Roman" w:eastAsia="Times New Roman" w:hAnsi="Times New Roman"/>
          <w:sz w:val="13"/>
          <w:szCs w:val="13"/>
          <w:color w:val="auto"/>
        </w:rPr>
        <w:t>”) or any modification or derivative thereof in material compliance with all license terms applicable to such Open Source Software; and (ii) neither the Company nor any of its subsidiaries uses or distributes or has used or distributed any Open Source Software or any modification or derivative thereof in any manner that requires or has required (A) the Company or any of its subsidiaries to permit reverse engineering of any software code or other technology owned by the Company or any of its subsidiaries, (B) any software code or other technology owned by the Company or any of its subsidiaries to be (1) disclosed or distributed in source code form, (2) licensed for the purpose of making derivative works or (3) redistributed at no charge, or (C) the Company or any of its subsidiaries to grant any third-party any rights or immunities under the Intellectual Property Rights owned or purported to be owned by the Company and its subsidiaries.</w:t>
      </w:r>
    </w:p>
    <w:p>
      <w:pPr>
        <w:spacing w:after="0" w:line="134" w:lineRule="exact"/>
        <w:rPr>
          <w:sz w:val="20"/>
          <w:szCs w:val="20"/>
          <w:color w:val="auto"/>
        </w:rPr>
      </w:pPr>
    </w:p>
    <w:p>
      <w:pPr>
        <w:jc w:val="both"/>
        <w:ind w:firstLine="485"/>
        <w:spacing w:after="0" w:line="266" w:lineRule="auto"/>
        <w:rPr>
          <w:sz w:val="20"/>
          <w:szCs w:val="20"/>
          <w:color w:val="auto"/>
        </w:rPr>
      </w:pPr>
      <w:r>
        <w:rPr>
          <w:rFonts w:ascii="Times New Roman" w:cs="Times New Roman" w:eastAsia="Times New Roman" w:hAnsi="Times New Roman"/>
          <w:sz w:val="13"/>
          <w:szCs w:val="13"/>
          <w:color w:val="auto"/>
        </w:rPr>
        <w:t>(ff)       </w:t>
      </w:r>
      <w:r>
        <w:rPr>
          <w:rFonts w:ascii="Times New Roman" w:cs="Times New Roman" w:eastAsia="Times New Roman" w:hAnsi="Times New Roman"/>
          <w:sz w:val="13"/>
          <w:szCs w:val="13"/>
          <w:u w:val="single" w:color="auto"/>
          <w:color w:val="auto"/>
        </w:rPr>
        <w:t>  Data Security</w:t>
      </w:r>
      <w:r>
        <w:rPr>
          <w:rFonts w:ascii="Times New Roman" w:cs="Times New Roman" w:eastAsia="Times New Roman" w:hAnsi="Times New Roman"/>
          <w:sz w:val="13"/>
          <w:szCs w:val="13"/>
          <w:color w:val="auto"/>
        </w:rPr>
        <w:t>. (i) The Company and each of its subsidiaries have complied in all material respects and are presently in compliance in all material respects with all internal and external privacy policies, contractual obligations, contractually binding industry standards, applicable laws, statutes, judgments, orders, rules and regulations of any court or arbitrator or other governmental or regulatory authority and any other legal obligations, in each case, relating to the collection, use, transfer, import, export, storage, protection, disposal and disclosure by the Company or any of its subsidiaries of personal, personally identifiable, household, sensitive, confidential or regulated data (“</w:t>
      </w:r>
      <w:r>
        <w:rPr>
          <w:rFonts w:ascii="Times New Roman" w:cs="Times New Roman" w:eastAsia="Times New Roman" w:hAnsi="Times New Roman"/>
          <w:sz w:val="13"/>
          <w:szCs w:val="13"/>
          <w:b w:val="1"/>
          <w:bCs w:val="1"/>
          <w:color w:val="auto"/>
        </w:rPr>
        <w:t>Data Security Obligations</w:t>
      </w:r>
      <w:r>
        <w:rPr>
          <w:rFonts w:ascii="Times New Roman" w:cs="Times New Roman" w:eastAsia="Times New Roman" w:hAnsi="Times New Roman"/>
          <w:sz w:val="13"/>
          <w:szCs w:val="13"/>
          <w:color w:val="auto"/>
        </w:rPr>
        <w:t>,” and such data, “</w:t>
      </w:r>
      <w:r>
        <w:rPr>
          <w:rFonts w:ascii="Times New Roman" w:cs="Times New Roman" w:eastAsia="Times New Roman" w:hAnsi="Times New Roman"/>
          <w:sz w:val="13"/>
          <w:szCs w:val="13"/>
          <w:b w:val="1"/>
          <w:bCs w:val="1"/>
          <w:color w:val="auto"/>
        </w:rPr>
        <w:t>Data</w:t>
      </w:r>
      <w:r>
        <w:rPr>
          <w:rFonts w:ascii="Times New Roman" w:cs="Times New Roman" w:eastAsia="Times New Roman" w:hAnsi="Times New Roman"/>
          <w:sz w:val="13"/>
          <w:szCs w:val="13"/>
          <w:color w:val="auto"/>
        </w:rPr>
        <w:t>”); (ii) the Company has not received any notification of or complaint regarding and is unaware of any other facts that, individually or in the aggregate, would reasonably indicate non-compliance with any Data Security Obligation; and (iii) there is no (A) action, suit or proceeding by or before any court or governmental agency, authority or body pending or, to the Company’s knowledge, threatened or (B) contractual claim by any third party alleging non-compliance with any Data Security Obligation.</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0">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3" w:right="319" w:bottom="1440" w:gutter="0" w:footer="0" w:header="0"/>
        </w:sectPr>
      </w:pPr>
    </w:p>
    <w:bookmarkStart w:id="65" w:name="page66"/>
    <w:bookmarkEnd w:id="65"/>
    <w:p>
      <w:pPr>
        <w:jc w:val="both"/>
        <w:ind w:firstLine="485"/>
        <w:spacing w:after="0" w:line="266" w:lineRule="auto"/>
        <w:rPr>
          <w:sz w:val="20"/>
          <w:szCs w:val="20"/>
          <w:color w:val="auto"/>
        </w:rPr>
      </w:pPr>
      <w:r>
        <w:rPr>
          <w:rFonts w:ascii="Times New Roman" w:cs="Times New Roman" w:eastAsia="Times New Roman" w:hAnsi="Times New Roman"/>
          <w:sz w:val="13"/>
          <w:szCs w:val="13"/>
          <w:color w:val="auto"/>
        </w:rPr>
        <w:t>(gg)    </w:t>
      </w:r>
      <w:r>
        <w:rPr>
          <w:rFonts w:ascii="Times New Roman" w:cs="Times New Roman" w:eastAsia="Times New Roman" w:hAnsi="Times New Roman"/>
          <w:sz w:val="13"/>
          <w:szCs w:val="13"/>
          <w:u w:val="single" w:color="auto"/>
          <w:color w:val="auto"/>
        </w:rPr>
        <w:t>  Cybersecurity</w:t>
      </w:r>
      <w:r>
        <w:rPr>
          <w:rFonts w:ascii="Times New Roman" w:cs="Times New Roman" w:eastAsia="Times New Roman" w:hAnsi="Times New Roman"/>
          <w:sz w:val="13"/>
          <w:szCs w:val="13"/>
          <w:color w:val="auto"/>
        </w:rPr>
        <w:t>. The Company and each of its subsidiaries have taken all reasonable technical and organizational measures necessary to protect the information technology systems and Data used in connection with the operation of the Company’s and its subsidiaries’ businesses. Without limiting the foregoing, the Company and its subsidiaries have used reasonable efforts to establish and maintain, and have established, maintained, implemented and complied with, reasonable information technology, information security, cyber security and data protection controls, policies and procedures, including oversight, access controls, encryption, technological and physical safeguards and business continuity/disaster recovery and security plans to protect against and prevent breach, destruction, loss, unauthorized distribution, use, access, disablement, misappropriation or modification, or other compromise or misuse of or relating to any information technology system or Data used by the Company or any of its third-party service providers in connection with the operation of the Company’s and its subsidiaries’ businesses (“</w:t>
      </w:r>
      <w:r>
        <w:rPr>
          <w:rFonts w:ascii="Times New Roman" w:cs="Times New Roman" w:eastAsia="Times New Roman" w:hAnsi="Times New Roman"/>
          <w:sz w:val="13"/>
          <w:szCs w:val="13"/>
          <w:b w:val="1"/>
          <w:bCs w:val="1"/>
          <w:color w:val="auto"/>
        </w:rPr>
        <w:t>Breach</w:t>
      </w:r>
      <w:r>
        <w:rPr>
          <w:rFonts w:ascii="Times New Roman" w:cs="Times New Roman" w:eastAsia="Times New Roman" w:hAnsi="Times New Roman"/>
          <w:sz w:val="13"/>
          <w:szCs w:val="13"/>
          <w:color w:val="auto"/>
        </w:rPr>
        <w:t>”). There has been no such material Breach, and the Company and its subsidiaries have not been notified of and have no knowledge of any event or condition that would reasonably be expected to result in, any such material Breach.</w:t>
      </w:r>
    </w:p>
    <w:p>
      <w:pPr>
        <w:spacing w:after="0" w:line="134" w:lineRule="exact"/>
        <w:rPr>
          <w:sz w:val="20"/>
          <w:szCs w:val="20"/>
          <w:color w:val="auto"/>
        </w:rPr>
      </w:pPr>
    </w:p>
    <w:p>
      <w:pPr>
        <w:jc w:val="both"/>
        <w:ind w:firstLine="485"/>
        <w:spacing w:after="0" w:line="279" w:lineRule="auto"/>
        <w:rPr>
          <w:sz w:val="20"/>
          <w:szCs w:val="20"/>
          <w:color w:val="auto"/>
        </w:rPr>
      </w:pPr>
      <w:r>
        <w:rPr>
          <w:rFonts w:ascii="Times New Roman" w:cs="Times New Roman" w:eastAsia="Times New Roman" w:hAnsi="Times New Roman"/>
          <w:sz w:val="13"/>
          <w:szCs w:val="13"/>
          <w:color w:val="auto"/>
        </w:rPr>
        <w:t>(hh)    </w:t>
      </w:r>
      <w:r>
        <w:rPr>
          <w:rFonts w:ascii="Times New Roman" w:cs="Times New Roman" w:eastAsia="Times New Roman" w:hAnsi="Times New Roman"/>
          <w:sz w:val="13"/>
          <w:szCs w:val="13"/>
          <w:u w:val="single" w:color="auto"/>
          <w:color w:val="auto"/>
        </w:rPr>
        <w:t>  No Labor Dispute</w:t>
      </w:r>
      <w:r>
        <w:rPr>
          <w:rFonts w:ascii="Times New Roman" w:cs="Times New Roman" w:eastAsia="Times New Roman" w:hAnsi="Times New Roman"/>
          <w:sz w:val="13"/>
          <w:szCs w:val="13"/>
          <w:color w:val="auto"/>
        </w:rPr>
        <w:t>. No material labor dispute with the employees of the Company or any of its subsidiaries exists or, to the Company’s knowledge, is imminent; and the Company is not aware of any existing, threatened or imminent labor disturbance by the employees of any of its principal suppliers, manufacturers or contractors that could, singly or in the aggregate, have a material adverse effect on the Company and its subsidiaries, taken as a whole.</w:t>
      </w:r>
    </w:p>
    <w:p>
      <w:pPr>
        <w:spacing w:after="0" w:line="125" w:lineRule="exact"/>
        <w:rPr>
          <w:sz w:val="20"/>
          <w:szCs w:val="20"/>
          <w:color w:val="auto"/>
        </w:rPr>
      </w:pPr>
    </w:p>
    <w:p>
      <w:pPr>
        <w:jc w:val="both"/>
        <w:ind w:firstLine="485"/>
        <w:spacing w:after="0" w:line="272" w:lineRule="auto"/>
        <w:rPr>
          <w:sz w:val="20"/>
          <w:szCs w:val="20"/>
          <w:color w:val="auto"/>
        </w:rPr>
      </w:pPr>
      <w:r>
        <w:rPr>
          <w:rFonts w:ascii="Times New Roman" w:cs="Times New Roman" w:eastAsia="Times New Roman" w:hAnsi="Times New Roman"/>
          <w:sz w:val="13"/>
          <w:szCs w:val="13"/>
          <w:color w:val="auto"/>
        </w:rPr>
        <w:t>(ii)      </w:t>
      </w:r>
      <w:r>
        <w:rPr>
          <w:rFonts w:ascii="Times New Roman" w:cs="Times New Roman" w:eastAsia="Times New Roman" w:hAnsi="Times New Roman"/>
          <w:sz w:val="13"/>
          <w:szCs w:val="13"/>
          <w:u w:val="single" w:color="auto"/>
          <w:color w:val="auto"/>
        </w:rPr>
        <w:t>  Insurance</w:t>
      </w:r>
      <w:r>
        <w:rPr>
          <w:rFonts w:ascii="Times New Roman" w:cs="Times New Roman" w:eastAsia="Times New Roman" w:hAnsi="Times New Roman"/>
          <w:sz w:val="13"/>
          <w:szCs w:val="13"/>
          <w:color w:val="auto"/>
        </w:rPr>
        <w:t>. The Company and each of its subsidiaries are insured by insurers of recognized financial responsibility against such losses and risks and in such amounts as the Company reasonably believes are prudent and customary in the businesses in which they are engaged; and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singly or in the aggregate, have a material adverse effect on the Company and its subsidiaries, taken as a whole.</w:t>
      </w:r>
    </w:p>
    <w:p>
      <w:pPr>
        <w:spacing w:after="0" w:line="131" w:lineRule="exact"/>
        <w:rPr>
          <w:sz w:val="20"/>
          <w:szCs w:val="20"/>
          <w:color w:val="auto"/>
        </w:rPr>
      </w:pPr>
    </w:p>
    <w:p>
      <w:pPr>
        <w:jc w:val="both"/>
        <w:ind w:firstLine="485"/>
        <w:spacing w:after="0" w:line="272" w:lineRule="auto"/>
        <w:rPr>
          <w:sz w:val="20"/>
          <w:szCs w:val="20"/>
          <w:color w:val="auto"/>
        </w:rPr>
      </w:pPr>
      <w:r>
        <w:rPr>
          <w:rFonts w:ascii="Times New Roman" w:cs="Times New Roman" w:eastAsia="Times New Roman" w:hAnsi="Times New Roman"/>
          <w:sz w:val="13"/>
          <w:szCs w:val="13"/>
          <w:color w:val="auto"/>
        </w:rPr>
        <w:t>(jj)      </w:t>
      </w:r>
      <w:r>
        <w:rPr>
          <w:rFonts w:ascii="Times New Roman" w:cs="Times New Roman" w:eastAsia="Times New Roman" w:hAnsi="Times New Roman"/>
          <w:sz w:val="13"/>
          <w:szCs w:val="13"/>
          <w:u w:val="single" w:color="auto"/>
          <w:color w:val="auto"/>
        </w:rPr>
        <w:t>  Permits</w:t>
      </w:r>
      <w:r>
        <w:rPr>
          <w:rFonts w:ascii="Times New Roman" w:cs="Times New Roman" w:eastAsia="Times New Roman" w:hAnsi="Times New Roman"/>
          <w:sz w:val="13"/>
          <w:szCs w:val="13"/>
          <w:color w:val="auto"/>
        </w:rPr>
        <w:t>. The Company and each of its subsidiaries possess all certificates, authorizations and permits issued by the appropriate federal, state or foreign regulatory authorities necessary to conduct their respective businesses, except where the failure to obtain such certificates, authorizations or permits would not, singly or in the aggregate, have a material adverse effect on the Company and its subsidiaries, taken as a whole, and neither the Company nor any of its subsidiaries has received any notice of proceedings relating to the revocation or modification of any such certificate, authorization or permit which, singly or in the aggregate, if the subject of an unfavorable decision, ruling or finding, would have a material adverse effect on the Company and its subsidiaries, taken as a whole.</w:t>
      </w:r>
    </w:p>
    <w:p>
      <w:pPr>
        <w:spacing w:after="0" w:line="131" w:lineRule="exact"/>
        <w:rPr>
          <w:sz w:val="20"/>
          <w:szCs w:val="20"/>
          <w:color w:val="auto"/>
        </w:rPr>
      </w:pPr>
    </w:p>
    <w:p>
      <w:pPr>
        <w:jc w:val="both"/>
        <w:ind w:firstLine="485"/>
        <w:spacing w:after="0" w:line="266" w:lineRule="auto"/>
        <w:rPr>
          <w:sz w:val="20"/>
          <w:szCs w:val="20"/>
          <w:color w:val="auto"/>
        </w:rPr>
      </w:pPr>
      <w:r>
        <w:rPr>
          <w:rFonts w:ascii="Times New Roman" w:cs="Times New Roman" w:eastAsia="Times New Roman" w:hAnsi="Times New Roman"/>
          <w:sz w:val="13"/>
          <w:szCs w:val="13"/>
          <w:color w:val="auto"/>
        </w:rPr>
        <w:t>(kk)    </w:t>
      </w:r>
      <w:r>
        <w:rPr>
          <w:rFonts w:ascii="Times New Roman" w:cs="Times New Roman" w:eastAsia="Times New Roman" w:hAnsi="Times New Roman"/>
          <w:sz w:val="13"/>
          <w:szCs w:val="13"/>
          <w:u w:val="single" w:color="auto"/>
          <w:color w:val="auto"/>
        </w:rPr>
        <w:t>  Tax</w:t>
      </w:r>
      <w:r>
        <w:rPr>
          <w:rFonts w:ascii="Times New Roman" w:cs="Times New Roman" w:eastAsia="Times New Roman" w:hAnsi="Times New Roman"/>
          <w:sz w:val="13"/>
          <w:szCs w:val="13"/>
          <w:color w:val="auto"/>
        </w:rPr>
        <w:t>. The Company and each of its subsidiaries have filed all federal, state, local and foreign tax returns required to be filed through the date of this Agreement or have requested extensions thereof (except where the failure to file would not, singly or in the aggregate, have a material adverse effect on the Company and its subsidiaries, taken as a whole) and have paid all taxes required to be paid thereon (except for cases in which the failure to file or pay would not, singly or in the aggregate, have a material adverse effect on the Company and its subsidiaries, taken as a whole, or, except as currently being contested in good faith and for which reserves required by generally accepted accounting principles in the United States (“</w:t>
      </w:r>
      <w:r>
        <w:rPr>
          <w:rFonts w:ascii="Times New Roman" w:cs="Times New Roman" w:eastAsia="Times New Roman" w:hAnsi="Times New Roman"/>
          <w:sz w:val="13"/>
          <w:szCs w:val="13"/>
          <w:b w:val="1"/>
          <w:bCs w:val="1"/>
          <w:color w:val="auto"/>
        </w:rPr>
        <w:t>U.S. GAAP</w:t>
      </w:r>
      <w:r>
        <w:rPr>
          <w:rFonts w:ascii="Times New Roman" w:cs="Times New Roman" w:eastAsia="Times New Roman" w:hAnsi="Times New Roman"/>
          <w:sz w:val="13"/>
          <w:szCs w:val="13"/>
          <w:color w:val="auto"/>
        </w:rPr>
        <w:t>”) have been created in the financial statements of the Company), and no tax deficiency has been determined adversely to the Company or any of its subsidiaries which, singly or in the aggregate, has had (nor does the Company nor any of its subsidiaries have any notice or knowledge of any tax deficiency which could reasonably be expected to be determined adversely to the Company or its subsidiaries and which could reasonably be expected to have) a material adverse effect on the Company and its subsidiaries, taken as a whole.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1">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3" w:right="319" w:bottom="1440" w:gutter="0" w:footer="0" w:header="0"/>
        </w:sectPr>
      </w:pPr>
    </w:p>
    <w:bookmarkStart w:id="66" w:name="page67"/>
    <w:bookmarkEnd w:id="66"/>
    <w:p>
      <w:pPr>
        <w:jc w:val="both"/>
        <w:ind w:firstLine="485"/>
        <w:spacing w:after="0" w:line="265" w:lineRule="auto"/>
        <w:rPr>
          <w:sz w:val="20"/>
          <w:szCs w:val="20"/>
          <w:color w:val="auto"/>
        </w:rPr>
      </w:pPr>
      <w:r>
        <w:rPr>
          <w:rFonts w:ascii="Times New Roman" w:cs="Times New Roman" w:eastAsia="Times New Roman" w:hAnsi="Times New Roman"/>
          <w:sz w:val="13"/>
          <w:szCs w:val="13"/>
          <w:color w:val="auto"/>
        </w:rPr>
        <w:t>(ll)        </w:t>
      </w:r>
      <w:r>
        <w:rPr>
          <w:rFonts w:ascii="Times New Roman" w:cs="Times New Roman" w:eastAsia="Times New Roman" w:hAnsi="Times New Roman"/>
          <w:sz w:val="13"/>
          <w:szCs w:val="13"/>
          <w:u w:val="single" w:color="auto"/>
          <w:color w:val="auto"/>
        </w:rPr>
        <w:t>  Financial Statements</w:t>
      </w:r>
      <w:r>
        <w:rPr>
          <w:rFonts w:ascii="Times New Roman" w:cs="Times New Roman" w:eastAsia="Times New Roman" w:hAnsi="Times New Roman"/>
          <w:sz w:val="13"/>
          <w:szCs w:val="13"/>
          <w:color w:val="auto"/>
        </w:rPr>
        <w:t>. The financial statements included or incorporated by reference in each of the Registration Statement and the Prospectus, together with the related schedules and notes thereto, comply as to form in all material respects with the applicable accounting requirements of the Securities Act and present fairly the consolidated financial position of the Company and its subsidiaries as of the dates shown and its results of operations and cash flows for the periods shown, and such financial statements have been prepared in conformity with U.S. GAAP applied on a consistent basis throughout the periods covered thereby except for any normal year-end adjustments in the Company’s quarterly financial statements. The other financial information included in each of the Registration Statement and the Prospectus has been derived from the accounting records of the Company and its consolidated subsidiaries and presents fairly in all material respects the information shown thereby. The pro forma financial statements and the related notes thereto included in each of the Registration Statement and the Prospectus present fairly the information shown therein, have been prepared in accordance with the Commission’s rules and guidelines with respect to pro forma financial statements and have been properly compiled on the bases described therein, and the assumptions used in the preparation thereof are reasonable and the adjustments used therein are appropriate to give effect to the transactions and circumstances referred to therein.</w:t>
      </w:r>
    </w:p>
    <w:p>
      <w:pPr>
        <w:spacing w:after="0" w:line="135" w:lineRule="exact"/>
        <w:rPr>
          <w:sz w:val="20"/>
          <w:szCs w:val="20"/>
          <w:color w:val="auto"/>
        </w:rPr>
      </w:pPr>
    </w:p>
    <w:p>
      <w:pPr>
        <w:jc w:val="both"/>
        <w:ind w:firstLine="485"/>
        <w:spacing w:after="0" w:line="272" w:lineRule="auto"/>
        <w:rPr>
          <w:sz w:val="20"/>
          <w:szCs w:val="20"/>
          <w:color w:val="auto"/>
        </w:rPr>
      </w:pPr>
      <w:r>
        <w:rPr>
          <w:rFonts w:ascii="Times New Roman" w:cs="Times New Roman" w:eastAsia="Times New Roman" w:hAnsi="Times New Roman"/>
          <w:sz w:val="13"/>
          <w:szCs w:val="13"/>
          <w:color w:val="auto"/>
        </w:rPr>
        <w:t>(mm)    </w:t>
      </w:r>
      <w:r>
        <w:rPr>
          <w:rFonts w:ascii="Times New Roman" w:cs="Times New Roman" w:eastAsia="Times New Roman" w:hAnsi="Times New Roman"/>
          <w:sz w:val="13"/>
          <w:szCs w:val="13"/>
          <w:u w:val="single" w:color="auto"/>
          <w:color w:val="auto"/>
        </w:rPr>
        <w:t>  Independent Accountants</w:t>
      </w:r>
      <w:r>
        <w:rPr>
          <w:rFonts w:ascii="Times New Roman" w:cs="Times New Roman" w:eastAsia="Times New Roman" w:hAnsi="Times New Roman"/>
          <w:sz w:val="13"/>
          <w:szCs w:val="13"/>
          <w:color w:val="auto"/>
        </w:rPr>
        <w:t>. Each of Baker Tilly US, LLP and KPMG LLP, or such other accountants, who have certified certain financial statements of the Company and its subsidiaries and delivered its report with respect to the audited consolidated financial statements and schedules filed with the Commission as part of the Registration Statement and included in each of the Registration Statement and the Prospectus, is an independent registered public accounting firm with respect to the Company within the meaning of the Securities Act and the applicable rules and regulations thereunder adopted by the Commission and the Public Company Accounting Oversight Board (United States).</w:t>
      </w:r>
    </w:p>
    <w:p>
      <w:pPr>
        <w:spacing w:after="0" w:line="131" w:lineRule="exact"/>
        <w:rPr>
          <w:sz w:val="20"/>
          <w:szCs w:val="20"/>
          <w:color w:val="auto"/>
        </w:rPr>
      </w:pPr>
    </w:p>
    <w:p>
      <w:pPr>
        <w:jc w:val="both"/>
        <w:ind w:firstLine="485"/>
        <w:spacing w:after="0" w:line="266" w:lineRule="auto"/>
        <w:rPr>
          <w:sz w:val="20"/>
          <w:szCs w:val="20"/>
          <w:color w:val="auto"/>
        </w:rPr>
      </w:pPr>
      <w:r>
        <w:rPr>
          <w:rFonts w:ascii="Times New Roman" w:cs="Times New Roman" w:eastAsia="Times New Roman" w:hAnsi="Times New Roman"/>
          <w:sz w:val="13"/>
          <w:szCs w:val="13"/>
          <w:color w:val="auto"/>
        </w:rPr>
        <w:t>(nn)     </w:t>
      </w:r>
      <w:r>
        <w:rPr>
          <w:rFonts w:ascii="Times New Roman" w:cs="Times New Roman" w:eastAsia="Times New Roman" w:hAnsi="Times New Roman"/>
          <w:sz w:val="13"/>
          <w:szCs w:val="13"/>
          <w:u w:val="single" w:color="auto"/>
          <w:color w:val="auto"/>
        </w:rPr>
        <w:t>  Disclosure Controls</w:t>
      </w:r>
      <w:r>
        <w:rPr>
          <w:rFonts w:ascii="Times New Roman" w:cs="Times New Roman" w:eastAsia="Times New Roman" w:hAnsi="Times New Roman"/>
          <w:sz w:val="13"/>
          <w:szCs w:val="13"/>
          <w:color w:val="auto"/>
        </w:rPr>
        <w:t>. Other than as disclosed in the Registration Statement and the Prospectus, the Company and each of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U.S. GAAP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is accurate. Other than as disclosed in the Registration Statement and the Prospectus, since the end of the Company’s most recent audited fiscal year, there has been (x) no material weakness in the Company’s internal control over financial reporting (whether or not remediated) and (y) no change in the Company’s internal control over financial reporting that has materially affected, or is reasonably likely to materially affect, the Company’s internal control over financial reporting.</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2">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3" w:right="319" w:bottom="1440" w:gutter="0" w:footer="0" w:header="0"/>
        </w:sectPr>
      </w:pPr>
    </w:p>
    <w:bookmarkStart w:id="67" w:name="page68"/>
    <w:bookmarkEnd w:id="67"/>
    <w:p>
      <w:pPr>
        <w:jc w:val="both"/>
        <w:ind w:firstLine="485"/>
        <w:spacing w:after="0" w:line="272" w:lineRule="auto"/>
        <w:rPr>
          <w:sz w:val="20"/>
          <w:szCs w:val="20"/>
          <w:color w:val="auto"/>
        </w:rPr>
      </w:pPr>
      <w:r>
        <w:rPr>
          <w:rFonts w:ascii="Times New Roman" w:cs="Times New Roman" w:eastAsia="Times New Roman" w:hAnsi="Times New Roman"/>
          <w:sz w:val="13"/>
          <w:szCs w:val="13"/>
          <w:color w:val="auto"/>
        </w:rPr>
        <w:t>(oo)      </w:t>
      </w:r>
      <w:r>
        <w:rPr>
          <w:rFonts w:ascii="Times New Roman" w:cs="Times New Roman" w:eastAsia="Times New Roman" w:hAnsi="Times New Roman"/>
          <w:sz w:val="13"/>
          <w:szCs w:val="13"/>
          <w:u w:val="single" w:color="auto"/>
          <w:color w:val="auto"/>
        </w:rPr>
        <w:t>  Sarbanes-Oxley</w:t>
      </w:r>
      <w:r>
        <w:rPr>
          <w:rFonts w:ascii="Times New Roman" w:cs="Times New Roman" w:eastAsia="Times New Roman" w:hAnsi="Times New Roman"/>
          <w:sz w:val="13"/>
          <w:szCs w:val="13"/>
          <w:color w:val="auto"/>
        </w:rPr>
        <w:t>. The Company has taken all necessary actions to ensure that it is in compliance with the provisions of the Sarbanes-Oxley Act of 2002 and the rules and regulations promulgated in connection therewith (the “</w:t>
      </w:r>
      <w:r>
        <w:rPr>
          <w:rFonts w:ascii="Times New Roman" w:cs="Times New Roman" w:eastAsia="Times New Roman" w:hAnsi="Times New Roman"/>
          <w:sz w:val="13"/>
          <w:szCs w:val="13"/>
          <w:b w:val="1"/>
          <w:bCs w:val="1"/>
          <w:color w:val="auto"/>
        </w:rPr>
        <w:t>Sarbanes-Oxley Act</w:t>
      </w:r>
      <w:r>
        <w:rPr>
          <w:rFonts w:ascii="Times New Roman" w:cs="Times New Roman" w:eastAsia="Times New Roman" w:hAnsi="Times New Roman"/>
          <w:sz w:val="13"/>
          <w:szCs w:val="13"/>
          <w:color w:val="auto"/>
        </w:rPr>
        <w:t>”) that are currently in effect and with which the Company is required to comply. There is and has been no material failure on the part of the Company or, to the knowledge of the Company, any of the Company’s directors or officers, in their capacities as such, to comply with any applicable provision of the Sarbanes-Oxley Act, including Section 402 related to loans and Sections 302 and 906 related to certifications.</w:t>
      </w:r>
    </w:p>
    <w:p>
      <w:pPr>
        <w:spacing w:after="0" w:line="131" w:lineRule="exact"/>
        <w:rPr>
          <w:sz w:val="20"/>
          <w:szCs w:val="20"/>
          <w:color w:val="auto"/>
        </w:rPr>
      </w:pPr>
    </w:p>
    <w:p>
      <w:pPr>
        <w:jc w:val="both"/>
        <w:ind w:firstLine="485"/>
        <w:spacing w:after="0" w:line="298" w:lineRule="auto"/>
        <w:rPr>
          <w:sz w:val="20"/>
          <w:szCs w:val="20"/>
          <w:color w:val="auto"/>
        </w:rPr>
      </w:pPr>
      <w:r>
        <w:rPr>
          <w:rFonts w:ascii="Times New Roman" w:cs="Times New Roman" w:eastAsia="Times New Roman" w:hAnsi="Times New Roman"/>
          <w:sz w:val="13"/>
          <w:szCs w:val="13"/>
          <w:color w:val="auto"/>
        </w:rPr>
        <w:t>(pp)      </w:t>
      </w:r>
      <w:r>
        <w:rPr>
          <w:rFonts w:ascii="Times New Roman" w:cs="Times New Roman" w:eastAsia="Times New Roman" w:hAnsi="Times New Roman"/>
          <w:sz w:val="13"/>
          <w:szCs w:val="13"/>
          <w:u w:val="single" w:color="auto"/>
          <w:color w:val="auto"/>
        </w:rPr>
        <w:t>  XBRL</w:t>
      </w:r>
      <w:r>
        <w:rPr>
          <w:rFonts w:ascii="Times New Roman" w:cs="Times New Roman" w:eastAsia="Times New Roman" w:hAnsi="Times New Roman"/>
          <w:sz w:val="13"/>
          <w:szCs w:val="13"/>
          <w:color w:val="auto"/>
        </w:rPr>
        <w:t>.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spacing w:after="0" w:line="114" w:lineRule="exact"/>
        <w:rPr>
          <w:sz w:val="20"/>
          <w:szCs w:val="20"/>
          <w:color w:val="auto"/>
        </w:rPr>
      </w:pPr>
    </w:p>
    <w:p>
      <w:pPr>
        <w:jc w:val="both"/>
        <w:ind w:firstLine="485"/>
        <w:spacing w:after="0" w:line="298" w:lineRule="auto"/>
        <w:rPr>
          <w:sz w:val="20"/>
          <w:szCs w:val="20"/>
          <w:color w:val="auto"/>
        </w:rPr>
      </w:pPr>
      <w:r>
        <w:rPr>
          <w:rFonts w:ascii="Times New Roman" w:cs="Times New Roman" w:eastAsia="Times New Roman" w:hAnsi="Times New Roman"/>
          <w:sz w:val="13"/>
          <w:szCs w:val="13"/>
          <w:color w:val="auto"/>
        </w:rPr>
        <w:t>(qq)      </w:t>
      </w:r>
      <w:r>
        <w:rPr>
          <w:rFonts w:ascii="Times New Roman" w:cs="Times New Roman" w:eastAsia="Times New Roman" w:hAnsi="Times New Roman"/>
          <w:sz w:val="13"/>
          <w:szCs w:val="13"/>
          <w:u w:val="single" w:color="auto"/>
          <w:color w:val="auto"/>
        </w:rPr>
        <w:t>  Related Party Transactions</w:t>
      </w:r>
      <w:r>
        <w:rPr>
          <w:rFonts w:ascii="Times New Roman" w:cs="Times New Roman" w:eastAsia="Times New Roman" w:hAnsi="Times New Roman"/>
          <w:sz w:val="13"/>
          <w:szCs w:val="13"/>
          <w:color w:val="auto"/>
        </w:rPr>
        <w:t>. There are no business relationships or related party transactions involving the Company or any of its subsidiaries or any other Person required to be described in the Registration Statement or the Prospectus which have not been described as required.</w:t>
      </w:r>
    </w:p>
    <w:p>
      <w:pPr>
        <w:spacing w:after="0" w:line="114" w:lineRule="exact"/>
        <w:rPr>
          <w:sz w:val="20"/>
          <w:szCs w:val="20"/>
          <w:color w:val="auto"/>
        </w:rPr>
      </w:pPr>
    </w:p>
    <w:p>
      <w:pPr>
        <w:jc w:val="both"/>
        <w:ind w:firstLine="485"/>
        <w:spacing w:after="0" w:line="298" w:lineRule="auto"/>
        <w:rPr>
          <w:sz w:val="20"/>
          <w:szCs w:val="20"/>
          <w:color w:val="auto"/>
        </w:rPr>
      </w:pPr>
      <w:r>
        <w:rPr>
          <w:rFonts w:ascii="Times New Roman" w:cs="Times New Roman" w:eastAsia="Times New Roman" w:hAnsi="Times New Roman"/>
          <w:sz w:val="13"/>
          <w:szCs w:val="13"/>
          <w:color w:val="auto"/>
        </w:rPr>
        <w:t>(rr)        </w:t>
      </w:r>
      <w:r>
        <w:rPr>
          <w:rFonts w:ascii="Times New Roman" w:cs="Times New Roman" w:eastAsia="Times New Roman" w:hAnsi="Times New Roman"/>
          <w:sz w:val="13"/>
          <w:szCs w:val="13"/>
          <w:u w:val="single" w:color="auto"/>
          <w:color w:val="auto"/>
        </w:rPr>
        <w:t>  Brokers</w:t>
      </w:r>
      <w:r>
        <w:rPr>
          <w:rFonts w:ascii="Times New Roman" w:cs="Times New Roman" w:eastAsia="Times New Roman" w:hAnsi="Times New Roman"/>
          <w:sz w:val="13"/>
          <w:szCs w:val="13"/>
          <w:color w:val="auto"/>
        </w:rPr>
        <w:t>. Except as otherwise disclosed in the Prospectus, there is no broker, finder or other party that is entitled to receive from the Company any brokerage or finder’s fee or other fee or commission as a result of any transactions contemplated by this Agreement.</w:t>
      </w:r>
    </w:p>
    <w:p>
      <w:pPr>
        <w:spacing w:after="0" w:line="114" w:lineRule="exact"/>
        <w:rPr>
          <w:sz w:val="20"/>
          <w:szCs w:val="20"/>
          <w:color w:val="auto"/>
        </w:rPr>
      </w:pPr>
    </w:p>
    <w:p>
      <w:pPr>
        <w:jc w:val="both"/>
        <w:ind w:firstLine="485"/>
        <w:spacing w:after="0" w:line="298" w:lineRule="auto"/>
        <w:rPr>
          <w:sz w:val="20"/>
          <w:szCs w:val="20"/>
          <w:color w:val="auto"/>
        </w:rPr>
      </w:pPr>
      <w:r>
        <w:rPr>
          <w:rFonts w:ascii="Times New Roman" w:cs="Times New Roman" w:eastAsia="Times New Roman" w:hAnsi="Times New Roman"/>
          <w:sz w:val="13"/>
          <w:szCs w:val="13"/>
          <w:color w:val="auto"/>
        </w:rPr>
        <w:t>(ss)       </w:t>
      </w:r>
      <w:r>
        <w:rPr>
          <w:rFonts w:ascii="Times New Roman" w:cs="Times New Roman" w:eastAsia="Times New Roman" w:hAnsi="Times New Roman"/>
          <w:sz w:val="13"/>
          <w:szCs w:val="13"/>
          <w:u w:val="single" w:color="auto"/>
          <w:color w:val="auto"/>
        </w:rPr>
        <w:t>  Duties, Transfer Taxes, Etc</w:t>
      </w:r>
      <w:r>
        <w:rPr>
          <w:rFonts w:ascii="Times New Roman" w:cs="Times New Roman" w:eastAsia="Times New Roman" w:hAnsi="Times New Roman"/>
          <w:sz w:val="13"/>
          <w:szCs w:val="13"/>
          <w:color w:val="auto"/>
        </w:rPr>
        <w:t>. No stamp or other issuance or transfer taxes or duties and no capital gains, income, withholding or other taxes are payable by the Agents in the United States or any political subdivision or taxing authority thereof or therein in connection with the execution, delivery or performance of this Agreement by the Company or the sale and delivery by the Company of the Shares.</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(tt)        </w:t>
      </w:r>
      <w:r>
        <w:rPr>
          <w:rFonts w:ascii="Times New Roman" w:cs="Times New Roman" w:eastAsia="Times New Roman" w:hAnsi="Times New Roman"/>
          <w:sz w:val="13"/>
          <w:szCs w:val="13"/>
          <w:u w:val="single" w:color="auto"/>
          <w:color w:val="auto"/>
        </w:rPr>
        <w:t>  Other Underwriting Agreements</w:t>
      </w:r>
      <w:r>
        <w:rPr>
          <w:rFonts w:ascii="Times New Roman" w:cs="Times New Roman" w:eastAsia="Times New Roman" w:hAnsi="Times New Roman"/>
          <w:sz w:val="13"/>
          <w:szCs w:val="13"/>
          <w:color w:val="auto"/>
        </w:rPr>
        <w:t>. The Company is not a party to any agreement with an agent or underwriter for any other “at the market” or continuous equity transaction.</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(uu)      </w:t>
      </w:r>
      <w:r>
        <w:rPr>
          <w:rFonts w:ascii="Times New Roman" w:cs="Times New Roman" w:eastAsia="Times New Roman" w:hAnsi="Times New Roman"/>
          <w:sz w:val="13"/>
          <w:szCs w:val="13"/>
          <w:u w:val="single" w:color="auto"/>
          <w:color w:val="auto"/>
        </w:rPr>
        <w:t>  OISP</w:t>
      </w:r>
      <w:r>
        <w:rPr>
          <w:rFonts w:ascii="Times New Roman" w:cs="Times New Roman" w:eastAsia="Times New Roman" w:hAnsi="Times New Roman"/>
          <w:sz w:val="13"/>
          <w:szCs w:val="13"/>
          <w:color w:val="auto"/>
        </w:rPr>
        <w:t>. As of the date hereof, the Company is a “covered foreign person”, as that term is defined in 31 C.F.R. § 850.209.</w:t>
      </w:r>
    </w:p>
    <w:p>
      <w:pPr>
        <w:spacing w:after="0" w:line="174" w:lineRule="exact"/>
        <w:rPr>
          <w:sz w:val="20"/>
          <w:szCs w:val="20"/>
          <w:color w:val="auto"/>
        </w:rPr>
      </w:pPr>
    </w:p>
    <w:p>
      <w:pPr>
        <w:jc w:val="both"/>
        <w:ind w:firstLine="485"/>
        <w:spacing w:after="0" w:line="272" w:lineRule="auto"/>
        <w:rPr>
          <w:sz w:val="20"/>
          <w:szCs w:val="20"/>
          <w:color w:val="auto"/>
        </w:rPr>
      </w:pPr>
      <w:r>
        <w:rPr>
          <w:rFonts w:ascii="Times New Roman" w:cs="Times New Roman" w:eastAsia="Times New Roman" w:hAnsi="Times New Roman"/>
          <w:sz w:val="13"/>
          <w:szCs w:val="13"/>
          <w:color w:val="auto"/>
        </w:rPr>
        <w:t>(vv)      </w:t>
      </w:r>
      <w:r>
        <w:rPr>
          <w:rFonts w:ascii="Times New Roman" w:cs="Times New Roman" w:eastAsia="Times New Roman" w:hAnsi="Times New Roman"/>
          <w:sz w:val="13"/>
          <w:szCs w:val="13"/>
          <w:u w:val="single" w:color="auto"/>
          <w:color w:val="auto"/>
        </w:rPr>
        <w:t>  Well-known Seasoned Issuer</w:t>
      </w:r>
      <w:r>
        <w:rPr>
          <w:rFonts w:ascii="Times New Roman" w:cs="Times New Roman" w:eastAsia="Times New Roman" w:hAnsi="Times New Roman"/>
          <w:sz w:val="13"/>
          <w:szCs w:val="13"/>
          <w:color w:val="auto"/>
        </w:rPr>
        <w:t>. (A) At the original effectiveness of the Registration Statement, (B) at the time of the most recent amendment thereto for the purposes of complying with Section 10(a)(3) of the Securities Act (whether such amendment was by post-effective amendment or incorporated report filed pursuant to Section 13 or 15(d) of the Exchange Act or in the form of a prospectus), and (C) at the time the Company or any person acting on its behalf (within the meaning, for this clause only, of Rule 163(c) under the Securities Act) made any offer relating to the Shares in reliance on the exemption of Rule 163 under the Securities Act, the Company was and is a “well-known seasoned issuer” (as defined in Rule 405).</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3">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3" w:right="319" w:bottom="1440" w:gutter="0" w:footer="0" w:header="0"/>
        </w:sectPr>
      </w:pPr>
    </w:p>
    <w:bookmarkStart w:id="68" w:name="page69"/>
    <w:bookmarkEnd w:id="68"/>
    <w:p>
      <w:pPr>
        <w:jc w:val="both"/>
        <w:ind w:firstLine="485"/>
        <w:spacing w:after="0" w:line="298" w:lineRule="auto"/>
        <w:rPr>
          <w:sz w:val="20"/>
          <w:szCs w:val="20"/>
          <w:color w:val="auto"/>
        </w:rPr>
      </w:pPr>
      <w:r>
        <w:rPr>
          <w:rFonts w:ascii="Times New Roman" w:cs="Times New Roman" w:eastAsia="Times New Roman" w:hAnsi="Times New Roman"/>
          <w:sz w:val="13"/>
          <w:szCs w:val="13"/>
          <w:color w:val="auto"/>
        </w:rPr>
        <w:t>Any certificate signed by any officer or representative of the Company or any of its subsidiaries and delivered to the Agents or counsel for the Agents in connection with an issuance of Shares shall be deemed a representation and warranty by the Company to the Agents as to the matters covered thereby on the date of such certificate.</w:t>
      </w:r>
    </w:p>
    <w:p>
      <w:pPr>
        <w:spacing w:after="0" w:line="114" w:lineRule="exact"/>
        <w:rPr>
          <w:sz w:val="20"/>
          <w:szCs w:val="20"/>
          <w:color w:val="auto"/>
        </w:rPr>
      </w:pPr>
    </w:p>
    <w:p>
      <w:pPr>
        <w:jc w:val="both"/>
        <w:ind w:firstLine="485"/>
        <w:spacing w:after="0" w:line="298" w:lineRule="auto"/>
        <w:rPr>
          <w:sz w:val="20"/>
          <w:szCs w:val="20"/>
          <w:color w:val="auto"/>
        </w:rPr>
      </w:pPr>
      <w:r>
        <w:rPr>
          <w:rFonts w:ascii="Times New Roman" w:cs="Times New Roman" w:eastAsia="Times New Roman" w:hAnsi="Times New Roman"/>
          <w:sz w:val="13"/>
          <w:szCs w:val="13"/>
          <w:color w:val="auto"/>
        </w:rPr>
        <w:t xml:space="preserve">The Company acknowledges that the Agents and, for purposes of the opinions to be delivered pursuant to </w:t>
      </w:r>
      <w:r>
        <w:rPr>
          <w:rFonts w:ascii="Times New Roman" w:cs="Times New Roman" w:eastAsia="Times New Roman" w:hAnsi="Times New Roman"/>
          <w:sz w:val="13"/>
          <w:szCs w:val="13"/>
          <w:u w:val="single" w:color="auto"/>
          <w:color w:val="auto"/>
        </w:rPr>
        <w:t>Section 4(o)</w:t>
      </w:r>
      <w:r>
        <w:rPr>
          <w:rFonts w:ascii="Times New Roman" w:cs="Times New Roman" w:eastAsia="Times New Roman" w:hAnsi="Times New Roman"/>
          <w:sz w:val="13"/>
          <w:szCs w:val="13"/>
          <w:color w:val="auto"/>
        </w:rPr>
        <w:t xml:space="preserve"> hereof, counsel to the Company and counsel to the Agents, will rely upon the accuracy and truthfulness of the foregoing representations and hereby consents to such reliance.</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Section 3.        ISSUANCE AND SALE OF COMMON SHARES</w:t>
      </w:r>
    </w:p>
    <w:p>
      <w:pPr>
        <w:spacing w:after="0" w:line="178" w:lineRule="exact"/>
        <w:rPr>
          <w:sz w:val="20"/>
          <w:szCs w:val="20"/>
          <w:color w:val="auto"/>
        </w:rPr>
      </w:pPr>
    </w:p>
    <w:p>
      <w:pPr>
        <w:jc w:val="both"/>
        <w:ind w:firstLine="485"/>
        <w:spacing w:after="0" w:line="279" w:lineRule="auto"/>
        <w:rPr>
          <w:sz w:val="20"/>
          <w:szCs w:val="20"/>
          <w:color w:val="auto"/>
        </w:rPr>
      </w:pPr>
      <w:r>
        <w:rPr>
          <w:rFonts w:ascii="Times New Roman" w:cs="Times New Roman" w:eastAsia="Times New Roman" w:hAnsi="Times New Roman"/>
          <w:sz w:val="13"/>
          <w:szCs w:val="13"/>
          <w:color w:val="auto"/>
        </w:rPr>
        <w:t>(a)          </w:t>
      </w:r>
      <w:r>
        <w:rPr>
          <w:rFonts w:ascii="Times New Roman" w:cs="Times New Roman" w:eastAsia="Times New Roman" w:hAnsi="Times New Roman"/>
          <w:sz w:val="13"/>
          <w:szCs w:val="13"/>
          <w:u w:val="single" w:color="auto"/>
          <w:color w:val="auto"/>
        </w:rPr>
        <w:t>  Sale of Securities</w:t>
      </w:r>
      <w:r>
        <w:rPr>
          <w:rFonts w:ascii="Times New Roman" w:cs="Times New Roman" w:eastAsia="Times New Roman" w:hAnsi="Times New Roman"/>
          <w:sz w:val="13"/>
          <w:szCs w:val="13"/>
          <w:color w:val="auto"/>
        </w:rPr>
        <w:t>. On the basis of the representations, warranties and agreements herein contained, but subject to the terms and conditions herein set forth, the Company and the Agents agree that the Company may from time to time seek to sell Shares through the Agents, acting as sales agents, or directly to the Agents, acting as principals, as follows, with an aggregate Sales Price of up to the Maximum Program Amount, based on and in accordance with Issuance Notices as the Company may deliver, during the Agency Period.</w:t>
      </w:r>
    </w:p>
    <w:p>
      <w:pPr>
        <w:spacing w:after="0" w:line="1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(b)          </w:t>
      </w:r>
      <w:r>
        <w:rPr>
          <w:rFonts w:ascii="Times New Roman" w:cs="Times New Roman" w:eastAsia="Times New Roman" w:hAnsi="Times New Roman"/>
          <w:sz w:val="13"/>
          <w:szCs w:val="13"/>
          <w:u w:val="single" w:color="auto"/>
          <w:color w:val="auto"/>
        </w:rPr>
        <w:t>  Mechanics of Issuances</w:t>
      </w:r>
      <w:r>
        <w:rPr>
          <w:rFonts w:ascii="Times New Roman" w:cs="Times New Roman" w:eastAsia="Times New Roman" w:hAnsi="Times New Roman"/>
          <w:sz w:val="13"/>
          <w:szCs w:val="13"/>
          <w:color w:val="auto"/>
        </w:rPr>
        <w:t>.</w:t>
      </w:r>
    </w:p>
    <w:p>
      <w:pPr>
        <w:spacing w:after="0" w:line="174" w:lineRule="exact"/>
        <w:rPr>
          <w:sz w:val="20"/>
          <w:szCs w:val="20"/>
          <w:color w:val="auto"/>
        </w:rPr>
      </w:pPr>
    </w:p>
    <w:p>
      <w:pPr>
        <w:jc w:val="both"/>
        <w:ind w:firstLine="485"/>
        <w:spacing w:after="0" w:line="269" w:lineRule="auto"/>
        <w:rPr>
          <w:sz w:val="20"/>
          <w:szCs w:val="20"/>
          <w:color w:val="auto"/>
        </w:rPr>
      </w:pPr>
      <w:r>
        <w:rPr>
          <w:rFonts w:ascii="Times New Roman" w:cs="Times New Roman" w:eastAsia="Times New Roman" w:hAnsi="Times New Roman"/>
          <w:sz w:val="13"/>
          <w:szCs w:val="13"/>
          <w:color w:val="auto"/>
        </w:rPr>
        <w:t>(i)          </w:t>
      </w:r>
      <w:r>
        <w:rPr>
          <w:rFonts w:ascii="Times New Roman" w:cs="Times New Roman" w:eastAsia="Times New Roman" w:hAnsi="Times New Roman"/>
          <w:sz w:val="13"/>
          <w:szCs w:val="13"/>
          <w:u w:val="single" w:color="auto"/>
          <w:color w:val="auto"/>
        </w:rPr>
        <w:t>  Issuance Notice</w:t>
      </w:r>
      <w:r>
        <w:rPr>
          <w:rFonts w:ascii="Times New Roman" w:cs="Times New Roman" w:eastAsia="Times New Roman" w:hAnsi="Times New Roman"/>
          <w:sz w:val="13"/>
          <w:szCs w:val="13"/>
          <w:color w:val="auto"/>
        </w:rPr>
        <w:t xml:space="preserve">. Upon the terms and subject to the conditions set forth herein, on any Trading Day during the Agency Period on which the conditions set forth in Section‎ 5(a) and </w:t>
      </w:r>
      <w:r>
        <w:rPr>
          <w:rFonts w:ascii="Times New Roman" w:cs="Times New Roman" w:eastAsia="Times New Roman" w:hAnsi="Times New Roman"/>
          <w:sz w:val="13"/>
          <w:szCs w:val="13"/>
          <w:u w:val="single" w:color="auto"/>
          <w:color w:val="auto"/>
        </w:rPr>
        <w:t>Section 5(b)</w:t>
      </w:r>
      <w:r>
        <w:rPr>
          <w:rFonts w:ascii="Times New Roman" w:cs="Times New Roman" w:eastAsia="Times New Roman" w:hAnsi="Times New Roman"/>
          <w:sz w:val="13"/>
          <w:szCs w:val="13"/>
          <w:color w:val="auto"/>
        </w:rPr>
        <w:t xml:space="preserve"> shall have been satisfied, the Company may exercise its right to request an issuance of Shares by delivering to an Agent (the “</w:t>
      </w:r>
      <w:r>
        <w:rPr>
          <w:rFonts w:ascii="Times New Roman" w:cs="Times New Roman" w:eastAsia="Times New Roman" w:hAnsi="Times New Roman"/>
          <w:sz w:val="13"/>
          <w:szCs w:val="13"/>
          <w:b w:val="1"/>
          <w:bCs w:val="1"/>
          <w:color w:val="auto"/>
        </w:rPr>
        <w:t>Designated Agent</w:t>
      </w:r>
      <w:r>
        <w:rPr>
          <w:rFonts w:ascii="Times New Roman" w:cs="Times New Roman" w:eastAsia="Times New Roman" w:hAnsi="Times New Roman"/>
          <w:sz w:val="13"/>
          <w:szCs w:val="13"/>
          <w:color w:val="auto"/>
        </w:rPr>
        <w:t>”) an Issuance Notice; provided, however,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6565900</wp:posOffset>
            </wp:positionH>
            <wp:positionV relativeFrom="paragraph">
              <wp:posOffset>-120650</wp:posOffset>
            </wp:positionV>
            <wp:extent cx="434975"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4">
                      <a:extLst>
                        <a:ext uri="{28A0092B-C50C-407E-A947-70E740481C1C}"/>
                      </a:extLst>
                    </a:blip>
                    <a:srcRect/>
                    <a:stretch>
                      <a:fillRect/>
                    </a:stretch>
                  </pic:blipFill>
                  <pic:spPr bwMode="auto">
                    <a:xfrm>
                      <a:off x="0" y="0"/>
                      <a:ext cx="434975" cy="6350"/>
                    </a:xfrm>
                    <a:prstGeom prst="rect">
                      <a:avLst/>
                    </a:prstGeom>
                    <a:noFill/>
                  </pic:spPr>
                </pic:pic>
              </a:graphicData>
            </a:graphic>
          </wp:anchor>
        </w:drawing>
      </w:r>
    </w:p>
    <w:p>
      <w:pPr>
        <w:jc w:val="both"/>
        <w:ind w:firstLine="1"/>
        <w:spacing w:after="0" w:line="264" w:lineRule="auto"/>
        <w:tabs>
          <w:tab w:leader="none" w:pos="222"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 no event may the Company deliver an Issuance Notice to the extent that the sum of (x) the aggregate Sales Price of the requested Issuance Amount, plus (y) the aggregate Sales Price of all Shares issued under all previous Issuance Notices effected pursuant to this Agreement, would exceed the Maximum Program Amount; and (B) prior to delivery of any Issuance Notice, the period set forth for any previous Issuance Notice shall have expired or been terminated. An Issuance Notice shall be considered delivered on the Trading Day that it is received by electronic mail to the persons set forth in </w:t>
      </w:r>
      <w:r>
        <w:rPr>
          <w:rFonts w:ascii="Times New Roman" w:cs="Times New Roman" w:eastAsia="Times New Roman" w:hAnsi="Times New Roman"/>
          <w:sz w:val="13"/>
          <w:szCs w:val="13"/>
          <w:u w:val="single" w:color="auto"/>
          <w:color w:val="auto"/>
        </w:rPr>
        <w:t>Schedule A</w:t>
      </w:r>
      <w:r>
        <w:rPr>
          <w:rFonts w:ascii="Times New Roman" w:cs="Times New Roman" w:eastAsia="Times New Roman" w:hAnsi="Times New Roman"/>
          <w:sz w:val="13"/>
          <w:szCs w:val="13"/>
          <w:color w:val="auto"/>
        </w:rPr>
        <w:t xml:space="preserve"> hereto and confirmed by the Company by telephone (including a voicemail message to the persons so identified), with the understanding that, with adequate prior written notice, the Designated Agent may modify the list of such persons from time to time.</w:t>
      </w:r>
    </w:p>
    <w:p>
      <w:pPr>
        <w:spacing w:after="0" w:line="135" w:lineRule="exact"/>
        <w:rPr>
          <w:sz w:val="20"/>
          <w:szCs w:val="20"/>
          <w:color w:val="auto"/>
        </w:rPr>
      </w:pPr>
    </w:p>
    <w:p>
      <w:pPr>
        <w:jc w:val="both"/>
        <w:ind w:firstLine="485"/>
        <w:spacing w:after="0" w:line="272" w:lineRule="auto"/>
        <w:rPr>
          <w:sz w:val="20"/>
          <w:szCs w:val="20"/>
          <w:color w:val="auto"/>
        </w:rPr>
      </w:pPr>
      <w:r>
        <w:rPr>
          <w:rFonts w:ascii="Times New Roman" w:cs="Times New Roman" w:eastAsia="Times New Roman" w:hAnsi="Times New Roman"/>
          <w:sz w:val="13"/>
          <w:szCs w:val="13"/>
          <w:color w:val="auto"/>
        </w:rPr>
        <w:t>(ii)          </w:t>
      </w:r>
      <w:r>
        <w:rPr>
          <w:rFonts w:ascii="Times New Roman" w:cs="Times New Roman" w:eastAsia="Times New Roman" w:hAnsi="Times New Roman"/>
          <w:sz w:val="13"/>
          <w:szCs w:val="13"/>
          <w:u w:val="single" w:color="auto"/>
          <w:color w:val="auto"/>
        </w:rPr>
        <w:t>  Designated Agent’s Efforts</w:t>
      </w:r>
      <w:r>
        <w:rPr>
          <w:rFonts w:ascii="Times New Roman" w:cs="Times New Roman" w:eastAsia="Times New Roman" w:hAnsi="Times New Roman"/>
          <w:sz w:val="13"/>
          <w:szCs w:val="13"/>
          <w:color w:val="auto"/>
        </w:rPr>
        <w:t>. Upon the terms and subject to the conditions set forth in this Agreement, upon the receipt of an Issuance Notice, the Designated Agent will use its commercially reasonable efforts consistent with its normal sales and trading practices to place the Shares with respect to which the Designated Agent has agreed to act as sales agent, subject to, and in accordance with the information specified in, the Issuance Notice, unless the sale of the Shares described therein has been suspended, cancelled or otherwise terminated in accordance with the terms of this Agreement. For the avoidance of doubt, the parties to this Agreement may modify an Issuance Notice at any time provided they both agree in writing to any such modification.</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5">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3" w:right="319" w:bottom="1440" w:gutter="0" w:footer="0" w:header="0"/>
        </w:sectPr>
      </w:pPr>
    </w:p>
    <w:bookmarkStart w:id="69" w:name="page70"/>
    <w:bookmarkEnd w:id="69"/>
    <w:p>
      <w:pPr>
        <w:jc w:val="both"/>
        <w:ind w:firstLine="485"/>
        <w:spacing w:after="0" w:line="272" w:lineRule="auto"/>
        <w:rPr>
          <w:sz w:val="20"/>
          <w:szCs w:val="20"/>
          <w:color w:val="auto"/>
        </w:rPr>
      </w:pPr>
      <w:r>
        <w:rPr>
          <w:rFonts w:ascii="Times New Roman" w:cs="Times New Roman" w:eastAsia="Times New Roman" w:hAnsi="Times New Roman"/>
          <w:sz w:val="13"/>
          <w:szCs w:val="13"/>
          <w:color w:val="auto"/>
        </w:rPr>
        <w:t>(iii)          </w:t>
      </w:r>
      <w:r>
        <w:rPr>
          <w:rFonts w:ascii="Times New Roman" w:cs="Times New Roman" w:eastAsia="Times New Roman" w:hAnsi="Times New Roman"/>
          <w:sz w:val="13"/>
          <w:szCs w:val="13"/>
          <w:u w:val="single" w:color="auto"/>
          <w:color w:val="auto"/>
        </w:rPr>
        <w:t>  Method of Offer and Sale</w:t>
      </w:r>
      <w:r>
        <w:rPr>
          <w:rFonts w:ascii="Times New Roman" w:cs="Times New Roman" w:eastAsia="Times New Roman" w:hAnsi="Times New Roman"/>
          <w:sz w:val="13"/>
          <w:szCs w:val="13"/>
          <w:color w:val="auto"/>
        </w:rPr>
        <w:t>. The Shares may be offered and sold (A) in negotiated transactions with the consent of the Company or (B) by any other method permitted by law deemed to be an “</w:t>
      </w:r>
      <w:r>
        <w:rPr>
          <w:rFonts w:ascii="Times New Roman" w:cs="Times New Roman" w:eastAsia="Times New Roman" w:hAnsi="Times New Roman"/>
          <w:sz w:val="13"/>
          <w:szCs w:val="13"/>
          <w:b w:val="1"/>
          <w:bCs w:val="1"/>
          <w:color w:val="auto"/>
        </w:rPr>
        <w:t>at the market offering</w:t>
      </w:r>
      <w:r>
        <w:rPr>
          <w:rFonts w:ascii="Times New Roman" w:cs="Times New Roman" w:eastAsia="Times New Roman" w:hAnsi="Times New Roman"/>
          <w:sz w:val="13"/>
          <w:szCs w:val="13"/>
          <w:color w:val="auto"/>
        </w:rPr>
        <w:t>” as defined in Rule 415(a)(4) under the Securities Act, including block transactions, sales made directly on the Principal Market or sales made into any other existing trading market of the Common Shares. Nothing in this Agreement shall be deemed to require either party to agree to the method of offer and sale specified in the preceding sentence, and (except as specified in clause (A) above) the method of placement of any Shares by the Designated Agent shall be at the Designated Agent’s discretion.</w:t>
      </w:r>
    </w:p>
    <w:p>
      <w:pPr>
        <w:spacing w:after="0" w:line="131" w:lineRule="exact"/>
        <w:rPr>
          <w:sz w:val="20"/>
          <w:szCs w:val="20"/>
          <w:color w:val="auto"/>
        </w:rPr>
      </w:pPr>
    </w:p>
    <w:p>
      <w:pPr>
        <w:jc w:val="both"/>
        <w:ind w:firstLine="485"/>
        <w:spacing w:after="0" w:line="279" w:lineRule="auto"/>
        <w:rPr>
          <w:sz w:val="20"/>
          <w:szCs w:val="20"/>
          <w:color w:val="auto"/>
        </w:rPr>
      </w:pPr>
      <w:r>
        <w:rPr>
          <w:rFonts w:ascii="Times New Roman" w:cs="Times New Roman" w:eastAsia="Times New Roman" w:hAnsi="Times New Roman"/>
          <w:sz w:val="13"/>
          <w:szCs w:val="13"/>
          <w:color w:val="auto"/>
        </w:rPr>
        <w:t>(iv)          </w:t>
      </w:r>
      <w:r>
        <w:rPr>
          <w:rFonts w:ascii="Times New Roman" w:cs="Times New Roman" w:eastAsia="Times New Roman" w:hAnsi="Times New Roman"/>
          <w:sz w:val="13"/>
          <w:szCs w:val="13"/>
          <w:u w:val="single" w:color="auto"/>
          <w:color w:val="auto"/>
        </w:rPr>
        <w:t>  Confirmation to the Company</w:t>
      </w:r>
      <w:r>
        <w:rPr>
          <w:rFonts w:ascii="Times New Roman" w:cs="Times New Roman" w:eastAsia="Times New Roman" w:hAnsi="Times New Roman"/>
          <w:sz w:val="13"/>
          <w:szCs w:val="13"/>
          <w:color w:val="auto"/>
        </w:rPr>
        <w:t>. If acting as sales agent hereunder, the Designated Agent will provide written confirmation to the Company no later than the opening of the Trading Day immediately following the Trading Day on which it has placed Shares hereunder setting forth the number of Shares sold on such Trading Day, the corresponding Sales Price and the Issuance Price payable to the Company in respect thereof.</w:t>
      </w:r>
    </w:p>
    <w:p>
      <w:pPr>
        <w:spacing w:after="0" w:line="125" w:lineRule="exact"/>
        <w:rPr>
          <w:sz w:val="20"/>
          <w:szCs w:val="20"/>
          <w:color w:val="auto"/>
        </w:rPr>
      </w:pPr>
    </w:p>
    <w:p>
      <w:pPr>
        <w:jc w:val="both"/>
        <w:ind w:firstLine="485"/>
        <w:spacing w:after="0" w:line="267" w:lineRule="auto"/>
        <w:rPr>
          <w:sz w:val="20"/>
          <w:szCs w:val="20"/>
          <w:color w:val="auto"/>
        </w:rPr>
      </w:pPr>
      <w:r>
        <w:rPr>
          <w:rFonts w:ascii="Times New Roman" w:cs="Times New Roman" w:eastAsia="Times New Roman" w:hAnsi="Times New Roman"/>
          <w:sz w:val="13"/>
          <w:szCs w:val="13"/>
          <w:color w:val="auto"/>
        </w:rPr>
        <w:t>(v)          </w:t>
      </w:r>
      <w:r>
        <w:rPr>
          <w:rFonts w:ascii="Times New Roman" w:cs="Times New Roman" w:eastAsia="Times New Roman" w:hAnsi="Times New Roman"/>
          <w:sz w:val="13"/>
          <w:szCs w:val="13"/>
          <w:u w:val="single" w:color="auto"/>
          <w:color w:val="auto"/>
        </w:rPr>
        <w:t>  Settlement</w:t>
      </w:r>
      <w:r>
        <w:rPr>
          <w:rFonts w:ascii="Times New Roman" w:cs="Times New Roman" w:eastAsia="Times New Roman" w:hAnsi="Times New Roman"/>
          <w:sz w:val="13"/>
          <w:szCs w:val="13"/>
          <w:color w:val="auto"/>
        </w:rPr>
        <w:t>. Each issuance of Shares will be settled on the applicable Settlement Date for such issuance of Shares and, subject to the provisions of Section‎ 5, on or before each Settlement Date, the Company will, or will cause its transfer agent to, electronically transfer the Shares being sold by crediting Designated Agent or such Designated Agent’s designee’s account at The Depository Trust Company through its Deposit/Withdrawal At Custodian (DWAC) System, or by such other means of delivery as may be mutually agreed upon by the parties hereto and, upon receipt of such Shares, which in all cases shall be freely tradable, transferable, registered Common Shares in good deliverable form, the Designated Agent will deliver, by wire transfer of immediately available funds, the related Issuance Price to an account designated by the Company prior to the Settlement Date. The Company may sell Shares to the Designated Agent as principal at a price agreed upon at each relevant time Shares are sold pursuant to this Agreement (each, a “</w:t>
      </w:r>
      <w:r>
        <w:rPr>
          <w:rFonts w:ascii="Times New Roman" w:cs="Times New Roman" w:eastAsia="Times New Roman" w:hAnsi="Times New Roman"/>
          <w:sz w:val="13"/>
          <w:szCs w:val="13"/>
          <w:b w:val="1"/>
          <w:bCs w:val="1"/>
          <w:color w:val="auto"/>
        </w:rPr>
        <w:t>Time of Sale</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5596890</wp:posOffset>
            </wp:positionH>
            <wp:positionV relativeFrom="paragraph">
              <wp:posOffset>-541655</wp:posOffset>
            </wp:positionV>
            <wp:extent cx="320675"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6">
                      <a:extLst>
                        <a:ext uri="{28A0092B-C50C-407E-A947-70E740481C1C}"/>
                      </a:extLst>
                    </a:blip>
                    <a:srcRect/>
                    <a:stretch>
                      <a:fillRect/>
                    </a:stretch>
                  </pic:blipFill>
                  <pic:spPr bwMode="auto">
                    <a:xfrm>
                      <a:off x="0" y="0"/>
                      <a:ext cx="320675" cy="6350"/>
                    </a:xfrm>
                    <a:prstGeom prst="rect">
                      <a:avLst/>
                    </a:prstGeom>
                    <a:noFill/>
                  </pic:spPr>
                </pic:pic>
              </a:graphicData>
            </a:graphic>
          </wp:anchor>
        </w:drawing>
      </w:r>
    </w:p>
    <w:p>
      <w:pPr>
        <w:spacing w:after="0" w:line="114" w:lineRule="exact"/>
        <w:rPr>
          <w:sz w:val="20"/>
          <w:szCs w:val="20"/>
          <w:color w:val="auto"/>
        </w:rPr>
      </w:pPr>
    </w:p>
    <w:p>
      <w:pPr>
        <w:jc w:val="both"/>
        <w:ind w:firstLine="485"/>
        <w:spacing w:after="0" w:line="262" w:lineRule="auto"/>
        <w:rPr>
          <w:sz w:val="20"/>
          <w:szCs w:val="20"/>
          <w:color w:val="auto"/>
        </w:rPr>
      </w:pPr>
      <w:r>
        <w:rPr>
          <w:rFonts w:ascii="Times New Roman" w:cs="Times New Roman" w:eastAsia="Times New Roman" w:hAnsi="Times New Roman"/>
          <w:sz w:val="13"/>
          <w:szCs w:val="13"/>
          <w:color w:val="auto"/>
        </w:rPr>
        <w:t>(vi)          </w:t>
      </w:r>
      <w:r>
        <w:rPr>
          <w:rFonts w:ascii="Times New Roman" w:cs="Times New Roman" w:eastAsia="Times New Roman" w:hAnsi="Times New Roman"/>
          <w:sz w:val="13"/>
          <w:szCs w:val="13"/>
          <w:u w:val="single" w:color="auto"/>
          <w:color w:val="auto"/>
        </w:rPr>
        <w:t>  Suspension or Termination of Sales</w:t>
      </w:r>
      <w:r>
        <w:rPr>
          <w:rFonts w:ascii="Times New Roman" w:cs="Times New Roman" w:eastAsia="Times New Roman" w:hAnsi="Times New Roman"/>
          <w:sz w:val="13"/>
          <w:szCs w:val="13"/>
          <w:color w:val="auto"/>
        </w:rPr>
        <w:t xml:space="preserve">. Consistent with standard market settlement practices, the Company or the Designated Agent may, upon notice to the other party hereto in writing or by telephone (confirmed immediately by verifiable email), suspend any sale of Shares, and the period set forth in an Issuance Notice shall immediately terminate; provided, however, that (A) such suspension and termination shall not affect or impair either party’s obligations with respect to any Shares placed or sold hereunder prior to the receipt of such notice; (B) if the Company suspends or terminates any sale of Shares after the Designated Agent confirms such sale to the Company, the Company shall still be obligated to comply with Section‎ 3(b)(v) with respect to such Shares; and (C) if the Company defaults in its obligation to deliver Shares on a Settlement Date, the Company agrees that it will hold the Designated Agent harmless against any loss, claim, damage or expense (including, without limitation, penalties, interest and reasonable and documented legal fees and expenses), as incurred, arising out of or in connection with such default by the Company. The parties hereto acknowledge and agree that, in performing its obligations under this Agreement, the Designated Agent may borrow Common Shares from stock lenders in the event that the Company has not delivered Shares to settle sales as required by </w:t>
      </w:r>
      <w:r>
        <w:rPr>
          <w:rFonts w:ascii="Times New Roman" w:cs="Times New Roman" w:eastAsia="Times New Roman" w:hAnsi="Times New Roman"/>
          <w:sz w:val="13"/>
          <w:szCs w:val="13"/>
          <w:u w:val="single" w:color="auto"/>
          <w:color w:val="auto"/>
        </w:rPr>
        <w:t>Section 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-325120</wp:posOffset>
            </wp:positionV>
            <wp:extent cx="520065"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7">
                      <a:extLst>
                        <a:ext uri="{28A0092B-C50C-407E-A947-70E740481C1C}"/>
                      </a:extLst>
                    </a:blip>
                    <a:srcRect/>
                    <a:stretch>
                      <a:fillRect/>
                    </a:stretch>
                  </pic:blipFill>
                  <pic:spPr bwMode="auto">
                    <a:xfrm>
                      <a:off x="0" y="0"/>
                      <a:ext cx="520065" cy="6350"/>
                    </a:xfrm>
                    <a:prstGeom prst="rect">
                      <a:avLst/>
                    </a:prstGeom>
                    <a:noFill/>
                  </pic:spPr>
                </pic:pic>
              </a:graphicData>
            </a:graphic>
          </wp:anchor>
        </w:drawing>
      </w:r>
    </w:p>
    <w:p>
      <w:pPr>
        <w:ind w:firstLine="1"/>
        <w:spacing w:after="0" w:line="279" w:lineRule="auto"/>
        <w:tabs>
          <w:tab w:leader="none" w:pos="195" w:val="left"/>
        </w:tabs>
        <w:numPr>
          <w:ilvl w:val="0"/>
          <w:numId w:val="49"/>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color w:val="auto"/>
        </w:rPr>
        <w:t xml:space="preserve">above, and may use the Shares to settle or close out such borrowings. The Company agrees that no such notice shall be effective against the Designated Agent unless it is made to the persons identified in writing by the Designated Agent pursuant to </w:t>
      </w:r>
      <w:r>
        <w:rPr>
          <w:rFonts w:ascii="Times New Roman" w:cs="Times New Roman" w:eastAsia="Times New Roman" w:hAnsi="Times New Roman"/>
          <w:sz w:val="13"/>
          <w:szCs w:val="13"/>
          <w:u w:val="single" w:color="auto"/>
          <w:color w:val="auto"/>
        </w:rPr>
        <w:t>Section 3(b)(i)</w:t>
      </w:r>
      <w:r>
        <w:rPr>
          <w:rFonts w:ascii="Times New Roman" w:cs="Times New Roman" w:eastAsia="Times New Roman" w:hAnsi="Times New Roman"/>
          <w:sz w:val="13"/>
          <w:szCs w:val="13"/>
          <w:color w:val="auto"/>
        </w:rPr>
        <w:t>.</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8">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3" w:right="319" w:bottom="1440" w:gutter="0" w:footer="0" w:header="0"/>
        </w:sectPr>
      </w:pPr>
    </w:p>
    <w:bookmarkStart w:id="70" w:name="page71"/>
    <w:bookmarkEnd w:id="70"/>
    <w:p>
      <w:pPr>
        <w:jc w:val="both"/>
        <w:ind w:firstLine="485"/>
        <w:spacing w:after="0" w:line="279" w:lineRule="auto"/>
        <w:rPr>
          <w:sz w:val="20"/>
          <w:szCs w:val="20"/>
          <w:color w:val="auto"/>
        </w:rPr>
      </w:pPr>
      <w:r>
        <w:rPr>
          <w:rFonts w:ascii="Times New Roman" w:cs="Times New Roman" w:eastAsia="Times New Roman" w:hAnsi="Times New Roman"/>
          <w:sz w:val="13"/>
          <w:szCs w:val="13"/>
          <w:color w:val="auto"/>
        </w:rPr>
        <w:t>(vii)         </w:t>
      </w:r>
      <w:r>
        <w:rPr>
          <w:rFonts w:ascii="Times New Roman" w:cs="Times New Roman" w:eastAsia="Times New Roman" w:hAnsi="Times New Roman"/>
          <w:sz w:val="13"/>
          <w:szCs w:val="13"/>
          <w:u w:val="single" w:color="auto"/>
          <w:color w:val="auto"/>
        </w:rPr>
        <w:t>  No Guarantee of Placement, Etc</w:t>
      </w:r>
      <w:r>
        <w:rPr>
          <w:rFonts w:ascii="Times New Roman" w:cs="Times New Roman" w:eastAsia="Times New Roman" w:hAnsi="Times New Roman"/>
          <w:sz w:val="13"/>
          <w:szCs w:val="13"/>
          <w:color w:val="auto"/>
        </w:rPr>
        <w:t>. The Company acknowledges and agrees that (A) there can be no assurance that the Designated Agent will be successful in placing Shares; (B) the Designated Agent will incur no liability or obligation to the Company or any other Person if it does not sell Shares; and (C) the Designated Agent shall be under no obligation to purchase Shares on a principal basis pursuant to this Agreement, except as otherwise specifically agreed by the Designated Agent and the Company.</w:t>
      </w:r>
    </w:p>
    <w:p>
      <w:pPr>
        <w:spacing w:after="0" w:line="125" w:lineRule="exact"/>
        <w:rPr>
          <w:sz w:val="20"/>
          <w:szCs w:val="20"/>
          <w:color w:val="auto"/>
        </w:rPr>
      </w:pPr>
    </w:p>
    <w:p>
      <w:pPr>
        <w:jc w:val="both"/>
        <w:ind w:firstLine="485"/>
        <w:spacing w:after="0" w:line="298" w:lineRule="auto"/>
        <w:rPr>
          <w:sz w:val="20"/>
          <w:szCs w:val="20"/>
          <w:color w:val="auto"/>
        </w:rPr>
      </w:pPr>
      <w:r>
        <w:rPr>
          <w:rFonts w:ascii="Times New Roman" w:cs="Times New Roman" w:eastAsia="Times New Roman" w:hAnsi="Times New Roman"/>
          <w:sz w:val="13"/>
          <w:szCs w:val="13"/>
          <w:color w:val="auto"/>
        </w:rPr>
        <w:t>(viii)        </w:t>
      </w:r>
      <w:r>
        <w:rPr>
          <w:rFonts w:ascii="Times New Roman" w:cs="Times New Roman" w:eastAsia="Times New Roman" w:hAnsi="Times New Roman"/>
          <w:sz w:val="13"/>
          <w:szCs w:val="13"/>
          <w:u w:val="single" w:color="auto"/>
          <w:color w:val="auto"/>
        </w:rPr>
        <w:t>  Material Non-Public Information</w:t>
      </w:r>
      <w:r>
        <w:rPr>
          <w:rFonts w:ascii="Times New Roman" w:cs="Times New Roman" w:eastAsia="Times New Roman" w:hAnsi="Times New Roman"/>
          <w:sz w:val="13"/>
          <w:szCs w:val="13"/>
          <w:color w:val="auto"/>
        </w:rPr>
        <w:t>. Notwithstanding any other provision of this Agreement, the Company and the Agents agree that the Company shall not deliver any Issuance Notice to the Agents, and the Agents shall not be obligated to place any Shares, during any period in which the Company is in possession of material non-public information.</w:t>
      </w:r>
    </w:p>
    <w:p>
      <w:pPr>
        <w:spacing w:after="0" w:line="114" w:lineRule="exact"/>
        <w:rPr>
          <w:sz w:val="20"/>
          <w:szCs w:val="20"/>
          <w:color w:val="auto"/>
        </w:rPr>
      </w:pPr>
    </w:p>
    <w:p>
      <w:pPr>
        <w:jc w:val="both"/>
        <w:ind w:firstLine="485"/>
        <w:spacing w:after="0" w:line="279" w:lineRule="auto"/>
        <w:rPr>
          <w:sz w:val="20"/>
          <w:szCs w:val="20"/>
          <w:color w:val="auto"/>
        </w:rPr>
      </w:pPr>
      <w:r>
        <w:rPr>
          <w:rFonts w:ascii="Times New Roman" w:cs="Times New Roman" w:eastAsia="Times New Roman" w:hAnsi="Times New Roman"/>
          <w:sz w:val="13"/>
          <w:szCs w:val="13"/>
          <w:color w:val="auto"/>
        </w:rPr>
        <w:t>(ix)          </w:t>
      </w:r>
      <w:r>
        <w:rPr>
          <w:rFonts w:ascii="Times New Roman" w:cs="Times New Roman" w:eastAsia="Times New Roman" w:hAnsi="Times New Roman"/>
          <w:sz w:val="13"/>
          <w:szCs w:val="13"/>
          <w:u w:val="single" w:color="auto"/>
          <w:color w:val="auto"/>
        </w:rPr>
        <w:t>  Sales Through Agents</w:t>
      </w:r>
      <w:r>
        <w:rPr>
          <w:rFonts w:ascii="Times New Roman" w:cs="Times New Roman" w:eastAsia="Times New Roman" w:hAnsi="Times New Roman"/>
          <w:sz w:val="13"/>
          <w:szCs w:val="13"/>
          <w:color w:val="auto"/>
        </w:rPr>
        <w:t>. With respect to the offering and sale of Shares pursuant to this Agreement, the Company agrees that any offer to sell Shares, any solicitation of an offer to buy Shares, and any sales of Shares shall only be effected by or through a single Agent on any single given day, and the Company shall in no event request that more than one Agent offer or sell Shares pursuant to this Agreement on the same day.</w:t>
      </w:r>
    </w:p>
    <w:p>
      <w:pPr>
        <w:spacing w:after="0" w:line="125" w:lineRule="exact"/>
        <w:rPr>
          <w:sz w:val="20"/>
          <w:szCs w:val="20"/>
          <w:color w:val="auto"/>
        </w:rPr>
      </w:pPr>
    </w:p>
    <w:p>
      <w:pPr>
        <w:jc w:val="both"/>
        <w:ind w:firstLine="485"/>
        <w:spacing w:after="0" w:line="298" w:lineRule="auto"/>
        <w:rPr>
          <w:sz w:val="20"/>
          <w:szCs w:val="20"/>
          <w:color w:val="auto"/>
        </w:rPr>
      </w:pPr>
      <w:r>
        <w:rPr>
          <w:rFonts w:ascii="Times New Roman" w:cs="Times New Roman" w:eastAsia="Times New Roman" w:hAnsi="Times New Roman"/>
          <w:sz w:val="13"/>
          <w:szCs w:val="13"/>
          <w:color w:val="auto"/>
        </w:rPr>
        <w:t>(c)           </w:t>
      </w:r>
      <w:r>
        <w:rPr>
          <w:rFonts w:ascii="Times New Roman" w:cs="Times New Roman" w:eastAsia="Times New Roman" w:hAnsi="Times New Roman"/>
          <w:sz w:val="13"/>
          <w:szCs w:val="13"/>
          <w:u w:val="single" w:color="auto"/>
          <w:color w:val="auto"/>
        </w:rPr>
        <w:t>  Fees</w:t>
      </w:r>
      <w:r>
        <w:rPr>
          <w:rFonts w:ascii="Times New Roman" w:cs="Times New Roman" w:eastAsia="Times New Roman" w:hAnsi="Times New Roman"/>
          <w:sz w:val="13"/>
          <w:szCs w:val="13"/>
          <w:color w:val="auto"/>
        </w:rPr>
        <w:t xml:space="preserve">. As compensation for services rendered, the Company shall pay to the Designated Agent, on the applicable Settlement Date, the Selling Commission for the applicable Issuance Amount (including with respect to any suspended or terminated sale pursuant to </w:t>
      </w:r>
      <w:r>
        <w:rPr>
          <w:rFonts w:ascii="Times New Roman" w:cs="Times New Roman" w:eastAsia="Times New Roman" w:hAnsi="Times New Roman"/>
          <w:sz w:val="13"/>
          <w:szCs w:val="13"/>
          <w:u w:val="single" w:color="auto"/>
          <w:color w:val="auto"/>
        </w:rPr>
        <w:t>Section 3(b)(vi)</w:t>
      </w:r>
      <w:r>
        <w:rPr>
          <w:rFonts w:ascii="Times New Roman" w:cs="Times New Roman" w:eastAsia="Times New Roman" w:hAnsi="Times New Roman"/>
          <w:sz w:val="13"/>
          <w:szCs w:val="13"/>
          <w:color w:val="auto"/>
        </w:rPr>
        <w:t>) by the Designated Agent deducting the Selling Commission from the applicable Issuance Amount.</w:t>
      </w:r>
    </w:p>
    <w:p>
      <w:pPr>
        <w:spacing w:after="0" w:line="114" w:lineRule="exact"/>
        <w:rPr>
          <w:sz w:val="20"/>
          <w:szCs w:val="20"/>
          <w:color w:val="auto"/>
        </w:rPr>
      </w:pPr>
    </w:p>
    <w:p>
      <w:pPr>
        <w:jc w:val="both"/>
        <w:ind w:firstLine="485"/>
        <w:spacing w:after="0" w:line="262" w:lineRule="auto"/>
        <w:rPr>
          <w:sz w:val="20"/>
          <w:szCs w:val="20"/>
          <w:color w:val="auto"/>
        </w:rPr>
      </w:pPr>
      <w:r>
        <w:rPr>
          <w:rFonts w:ascii="Times New Roman" w:cs="Times New Roman" w:eastAsia="Times New Roman" w:hAnsi="Times New Roman"/>
          <w:sz w:val="13"/>
          <w:szCs w:val="13"/>
          <w:color w:val="auto"/>
        </w:rPr>
        <w:t>(d)           </w:t>
      </w:r>
      <w:r>
        <w:rPr>
          <w:rFonts w:ascii="Times New Roman" w:cs="Times New Roman" w:eastAsia="Times New Roman" w:hAnsi="Times New Roman"/>
          <w:sz w:val="13"/>
          <w:szCs w:val="13"/>
          <w:u w:val="single" w:color="auto"/>
          <w:color w:val="auto"/>
        </w:rPr>
        <w:t>  Expenses</w:t>
      </w:r>
      <w:r>
        <w:rPr>
          <w:rFonts w:ascii="Times New Roman" w:cs="Times New Roman" w:eastAsia="Times New Roman" w:hAnsi="Times New Roman"/>
          <w:sz w:val="13"/>
          <w:szCs w:val="13"/>
          <w:color w:val="auto"/>
        </w:rPr>
        <w:t xml:space="preserve">. The Company agrees to pay all costs, fees and expenses incurred in connection with the performance of its obligations hereunder and in connection with the transactions contemplated hereby, including without limitation (i) all expenses incident to the issuance and delivery of the Shares (including all printing and engraving costs); (ii) all fees and expenses of the registrar and transfer agent of the Shares; (iii) all necessary issue, transfer and other stamp taxes in connection with the issuance and sale of the Shares;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Prospectus, any Free Writing Prospectus prepared by or on behalf of, used by, or referred to by the Company, and all amendments and supplements thereto, and this Agreement; (vi) all filing fees, attorneys’ fees and expenses incurred by the Company or the Agents in connection with qualifying or registering (or obtaining exemptions from the qualification or registration of) all or any part of the Shares for offer and sale under the state securities or blue sky laws or the provincial securities laws of Canada, and, if requested by the Agents, preparing and printing a “Blue Sky Survey” or memorandum and a “Canadian wrapper”, and any supplements thereto, advising the Agents of such qualifications, registrations, determinations and exemptions; (vii) the reasonable fees and disbursements of the Agents’ counsel, including the reasonable fees and expenses of counsel for the Agents in connection with, FINRA review, if any, and approval of the Agents’ participation in the offering and distribution of the Shares; (viii) the filing fees incident to FINRA review, if any; (ix)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of the Agents and any such consultants, and the cost of any aircraft chartered in connection with the road show; and (x) the fees and expenses associated with listing the Shares on the Principal Market. The fees and disbursements of Agents’ counsel pursuant to clauses (vi) and (vii) above shall not exceed (A) $100,000 in connection with execution of this Agreement, (B) $25,000 in connection with each Triggering Event Date involving the filing of an annual report on Form 10-K on which the Company is required to provide a certificate pursuant to </w:t>
      </w:r>
      <w:r>
        <w:rPr>
          <w:rFonts w:ascii="Times New Roman" w:cs="Times New Roman" w:eastAsia="Times New Roman" w:hAnsi="Times New Roman"/>
          <w:sz w:val="13"/>
          <w:szCs w:val="13"/>
          <w:u w:val="single" w:color="auto"/>
          <w:color w:val="auto"/>
        </w:rPr>
        <w:t>Section 4(o)</w:t>
      </w:r>
      <w:r>
        <w:rPr>
          <w:rFonts w:ascii="Times New Roman" w:cs="Times New Roman" w:eastAsia="Times New Roman" w:hAnsi="Times New Roman"/>
          <w:sz w:val="13"/>
          <w:szCs w:val="13"/>
          <w:color w:val="auto"/>
        </w:rPr>
        <w:t xml:space="preserve"> and (C) $15,000 in connection with each other Triggering Event Date on which the Company is required to provide a certificate pursuant to </w:t>
      </w:r>
      <w:r>
        <w:rPr>
          <w:rFonts w:ascii="Times New Roman" w:cs="Times New Roman" w:eastAsia="Times New Roman" w:hAnsi="Times New Roman"/>
          <w:sz w:val="13"/>
          <w:szCs w:val="13"/>
          <w:u w:val="single" w:color="auto"/>
          <w:color w:val="auto"/>
        </w:rPr>
        <w:t>Section 4(o)</w:t>
      </w:r>
      <w:r>
        <w:rPr>
          <w:rFonts w:ascii="Times New Roman" w:cs="Times New Roman" w:eastAsia="Times New Roman" w:hAnsi="Times New Roman"/>
          <w:sz w:val="13"/>
          <w:szCs w:val="13"/>
          <w:color w:val="auto"/>
        </w:rPr>
        <w:t>.</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9">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3" w:right="319" w:bottom="1440" w:gutter="0" w:footer="0" w:header="0"/>
        </w:sectPr>
      </w:pPr>
    </w:p>
    <w:bookmarkStart w:id="71" w:name="page72"/>
    <w:bookmarkEnd w:id="71"/>
    <w:p>
      <w:pPr>
        <w:ind w:left="480"/>
        <w:spacing w:after="0"/>
        <w:rPr>
          <w:sz w:val="20"/>
          <w:szCs w:val="20"/>
          <w:color w:val="auto"/>
        </w:rPr>
      </w:pPr>
      <w:r>
        <w:rPr>
          <w:rFonts w:ascii="Times New Roman" w:cs="Times New Roman" w:eastAsia="Times New Roman" w:hAnsi="Times New Roman"/>
          <w:sz w:val="13"/>
          <w:szCs w:val="13"/>
          <w:b w:val="1"/>
          <w:bCs w:val="1"/>
          <w:color w:val="auto"/>
        </w:rPr>
        <w:t>Section 4.        ADDITIONAL COVENANTS</w:t>
      </w:r>
    </w:p>
    <w:p>
      <w:pPr>
        <w:spacing w:after="0" w:line="1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The Company covenants and agrees with the Agents as follows, in addition to any other covenants and agreements made elsewhere in this Agreement:</w:t>
      </w:r>
    </w:p>
    <w:p>
      <w:pPr>
        <w:spacing w:after="0" w:line="174" w:lineRule="exact"/>
        <w:rPr>
          <w:sz w:val="20"/>
          <w:szCs w:val="20"/>
          <w:color w:val="auto"/>
        </w:rPr>
      </w:pPr>
    </w:p>
    <w:p>
      <w:pPr>
        <w:jc w:val="both"/>
        <w:ind w:firstLine="485"/>
        <w:spacing w:after="0" w:line="266" w:lineRule="auto"/>
        <w:rPr>
          <w:sz w:val="20"/>
          <w:szCs w:val="20"/>
          <w:color w:val="auto"/>
        </w:rPr>
      </w:pPr>
      <w:r>
        <w:rPr>
          <w:rFonts w:ascii="Times New Roman" w:cs="Times New Roman" w:eastAsia="Times New Roman" w:hAnsi="Times New Roman"/>
          <w:sz w:val="13"/>
          <w:szCs w:val="13"/>
          <w:color w:val="auto"/>
        </w:rPr>
        <w:t>(a)          </w:t>
      </w:r>
      <w:r>
        <w:rPr>
          <w:rFonts w:ascii="Times New Roman" w:cs="Times New Roman" w:eastAsia="Times New Roman" w:hAnsi="Times New Roman"/>
          <w:sz w:val="13"/>
          <w:szCs w:val="13"/>
          <w:u w:val="single" w:color="auto"/>
          <w:color w:val="auto"/>
        </w:rPr>
        <w:t>  Exchange Act Compliance</w:t>
      </w:r>
      <w:r>
        <w:rPr>
          <w:rFonts w:ascii="Times New Roman" w:cs="Times New Roman" w:eastAsia="Times New Roman" w:hAnsi="Times New Roman"/>
          <w:sz w:val="13"/>
          <w:szCs w:val="13"/>
          <w:color w:val="auto"/>
        </w:rPr>
        <w:t>. During the Agency Period, the Company shall (i) file, on a timely basis, with the Commission all reports and documents required to be filed under Section 13, 14 or 15 of the Exchange Act in the manner and within the time periods required by the Exchange Act; and (ii) either (A) include in its quarterly reports on Form 10-Q and its annual reports on Form 10-K, a summary detailing, for the relevant reporting period, (1) the number of Shares sold through the Agents pursuant to this Agreement and (2) the net proceeds received by the Company from such sales, or</w:t>
      </w:r>
    </w:p>
    <w:p>
      <w:pPr>
        <w:jc w:val="both"/>
        <w:ind w:firstLine="1"/>
        <w:spacing w:after="0" w:line="269" w:lineRule="auto"/>
        <w:tabs>
          <w:tab w:leader="none" w:pos="217"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prepare a prospectus supplement containing, or include in such other filing permitted by the Securities Act or Exchange Act (each an “</w:t>
      </w:r>
      <w:r>
        <w:rPr>
          <w:rFonts w:ascii="Times New Roman" w:cs="Times New Roman" w:eastAsia="Times New Roman" w:hAnsi="Times New Roman"/>
          <w:sz w:val="13"/>
          <w:szCs w:val="13"/>
          <w:b w:val="1"/>
          <w:bCs w:val="1"/>
          <w:color w:val="auto"/>
        </w:rPr>
        <w:t>Interim Prospectus Supplement</w:t>
      </w:r>
      <w:r>
        <w:rPr>
          <w:rFonts w:ascii="Times New Roman" w:cs="Times New Roman" w:eastAsia="Times New Roman" w:hAnsi="Times New Roman"/>
          <w:sz w:val="13"/>
          <w:szCs w:val="13"/>
          <w:color w:val="auto"/>
        </w:rPr>
        <w:t xml:space="preserve">”), such summary information and, at least once a quarter and subject to this </w:t>
      </w:r>
      <w:r>
        <w:rPr>
          <w:rFonts w:ascii="Times New Roman" w:cs="Times New Roman" w:eastAsia="Times New Roman" w:hAnsi="Times New Roman"/>
          <w:sz w:val="13"/>
          <w:szCs w:val="13"/>
          <w:u w:val="single" w:color="auto"/>
          <w:color w:val="auto"/>
        </w:rPr>
        <w:t>Section 4</w:t>
      </w:r>
      <w:r>
        <w:rPr>
          <w:rFonts w:ascii="Times New Roman" w:cs="Times New Roman" w:eastAsia="Times New Roman" w:hAnsi="Times New Roman"/>
          <w:sz w:val="13"/>
          <w:szCs w:val="13"/>
          <w:color w:val="auto"/>
        </w:rPr>
        <w:t>, file such Interim Prospectus Supplement pursuant to Rule 424(b) under the Securities Act (and within the time periods required by Rule 424(b) and Rule 430B under the Securities Act).</w:t>
      </w:r>
    </w:p>
    <w:p>
      <w:pPr>
        <w:spacing w:after="0" w:line="132" w:lineRule="exact"/>
        <w:rPr>
          <w:sz w:val="20"/>
          <w:szCs w:val="20"/>
          <w:color w:val="auto"/>
        </w:rPr>
      </w:pPr>
    </w:p>
    <w:p>
      <w:pPr>
        <w:jc w:val="both"/>
        <w:ind w:firstLine="485"/>
        <w:spacing w:after="0" w:line="265" w:lineRule="auto"/>
        <w:rPr>
          <w:sz w:val="20"/>
          <w:szCs w:val="20"/>
          <w:color w:val="auto"/>
        </w:rPr>
      </w:pPr>
      <w:r>
        <w:rPr>
          <w:rFonts w:ascii="Times New Roman" w:cs="Times New Roman" w:eastAsia="Times New Roman" w:hAnsi="Times New Roman"/>
          <w:sz w:val="13"/>
          <w:szCs w:val="13"/>
          <w:color w:val="auto"/>
        </w:rPr>
        <w:t>(b)          </w:t>
      </w:r>
      <w:r>
        <w:rPr>
          <w:rFonts w:ascii="Times New Roman" w:cs="Times New Roman" w:eastAsia="Times New Roman" w:hAnsi="Times New Roman"/>
          <w:sz w:val="13"/>
          <w:szCs w:val="13"/>
          <w:u w:val="single" w:color="auto"/>
          <w:color w:val="auto"/>
        </w:rPr>
        <w:t>  Securities Act Compliance</w:t>
      </w:r>
      <w:r>
        <w:rPr>
          <w:rFonts w:ascii="Times New Roman" w:cs="Times New Roman" w:eastAsia="Times New Roman" w:hAnsi="Times New Roman"/>
          <w:sz w:val="13"/>
          <w:szCs w:val="13"/>
          <w:color w:val="auto"/>
        </w:rPr>
        <w:t>. After the date of this Agreement, the Company shall promptly advise the Agents in writing (i) of the receipt of any comments of, or requests for additional or supplemental information from, the Commission; (ii) of the time and date of any filing of any post-effective amendment to the Registration Statement, any amendment or supplement to the Prospectus, or any Free Writing Prospectus; (iii) of the time and date that any post-effective amendment to the Registration Statement becomes effective; and (iv) of the issuance by the Commission of any stop order suspending the effectiveness of the Registration Statement or any post-effective amendment thereto or any amendment or supplement to the Prospectus or of any order preventing or suspending the use of any Free Writing Prospectus or the Prospectus, or of any proceedings to remove, suspend or terminate from listing or quotation the Common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reasonable best efforts to obtain the lifting of such order as soon as reasonably practicable. Additionally, the Company agrees that it shall comply with the provisions of Rule 424(b) and Rule 433, as applicable, under the Securities Act and will use its reasonable efforts to confirm that any filings made by the Company under such Rule 424(b) or Rule 433 were received in a timely manner by the Commission.</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0">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72" w:name="page73"/>
    <w:bookmarkEnd w:id="72"/>
    <w:p>
      <w:pPr>
        <w:jc w:val="both"/>
        <w:ind w:firstLine="485"/>
        <w:spacing w:after="0" w:line="264" w:lineRule="auto"/>
        <w:rPr>
          <w:sz w:val="20"/>
          <w:szCs w:val="20"/>
          <w:color w:val="auto"/>
        </w:rPr>
      </w:pPr>
      <w:r>
        <w:rPr>
          <w:rFonts w:ascii="Times New Roman" w:cs="Times New Roman" w:eastAsia="Times New Roman" w:hAnsi="Times New Roman"/>
          <w:sz w:val="13"/>
          <w:szCs w:val="13"/>
          <w:color w:val="auto"/>
        </w:rPr>
        <w:t>(c)          </w:t>
      </w:r>
      <w:r>
        <w:rPr>
          <w:rFonts w:ascii="Times New Roman" w:cs="Times New Roman" w:eastAsia="Times New Roman" w:hAnsi="Times New Roman"/>
          <w:sz w:val="13"/>
          <w:szCs w:val="13"/>
          <w:u w:val="single" w:color="auto"/>
          <w:color w:val="auto"/>
        </w:rPr>
        <w:t>  Amendments and Supplements to the Prospectus and Other Securities Act Matters</w:t>
      </w:r>
      <w:r>
        <w:rPr>
          <w:rFonts w:ascii="Times New Roman" w:cs="Times New Roman" w:eastAsia="Times New Roman" w:hAnsi="Times New Roman"/>
          <w:sz w:val="13"/>
          <w:szCs w:val="13"/>
          <w:color w:val="auto"/>
        </w:rPr>
        <w:t xml:space="preserve">. 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to a purchaser, not misleading, or if in the opinion of the Agents or counsel for the Agents it is otherwise necessary to amend or supplement the Prospectus to comply with applicable law, including the Securities Act, the Company agrees (subject to </w:t>
      </w:r>
      <w:r>
        <w:rPr>
          <w:rFonts w:ascii="Times New Roman" w:cs="Times New Roman" w:eastAsia="Times New Roman" w:hAnsi="Times New Roman"/>
          <w:sz w:val="13"/>
          <w:szCs w:val="13"/>
          <w:u w:val="single" w:color="auto"/>
          <w:color w:val="auto"/>
        </w:rPr>
        <w:t>Section 4(d)</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4(f)</w:t>
      </w:r>
      <w:r>
        <w:rPr>
          <w:rFonts w:ascii="Times New Roman" w:cs="Times New Roman" w:eastAsia="Times New Roman" w:hAnsi="Times New Roman"/>
          <w:sz w:val="13"/>
          <w:szCs w:val="13"/>
          <w:color w:val="auto"/>
        </w:rPr>
        <w:t xml:space="preserve">) to promptly prepare and file with the Commission at its own expense and furnish to the Agents,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to a purchaser, not misleading or so that the Prospectus, as amended or supplemented, will comply with applicable law including the Securities Act. Neither the Agents’ consent to, or delivery of, any such amendment or supplement shall constitute a waiver of any of the Company’s obligations under </w:t>
      </w:r>
      <w:r>
        <w:rPr>
          <w:rFonts w:ascii="Times New Roman" w:cs="Times New Roman" w:eastAsia="Times New Roman" w:hAnsi="Times New Roman"/>
          <w:sz w:val="13"/>
          <w:szCs w:val="13"/>
          <w:u w:val="single" w:color="auto"/>
          <w:color w:val="auto"/>
        </w:rPr>
        <w:t>Section 4(d)</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4(f)</w:t>
      </w:r>
      <w:r>
        <w:rPr>
          <w:rFonts w:ascii="Times New Roman" w:cs="Times New Roman" w:eastAsia="Times New Roman" w:hAnsi="Times New Roman"/>
          <w:sz w:val="13"/>
          <w:szCs w:val="13"/>
          <w:color w:val="auto"/>
        </w:rPr>
        <w:t>. Notwithstanding the foregoing, the Company shall not be required to file such amendment or supplement if there is no pending Issuance Notice and the Company believes that it is in its best interests not to file such amendment or supplement.</w:t>
      </w:r>
    </w:p>
    <w:p>
      <w:pPr>
        <w:spacing w:after="0" w:line="137" w:lineRule="exact"/>
        <w:rPr>
          <w:sz w:val="20"/>
          <w:szCs w:val="20"/>
          <w:color w:val="auto"/>
        </w:rPr>
      </w:pPr>
    </w:p>
    <w:p>
      <w:pPr>
        <w:jc w:val="both"/>
        <w:ind w:firstLine="485"/>
        <w:spacing w:after="0" w:line="269" w:lineRule="auto"/>
        <w:rPr>
          <w:sz w:val="20"/>
          <w:szCs w:val="20"/>
          <w:color w:val="auto"/>
        </w:rPr>
      </w:pPr>
      <w:r>
        <w:rPr>
          <w:rFonts w:ascii="Times New Roman" w:cs="Times New Roman" w:eastAsia="Times New Roman" w:hAnsi="Times New Roman"/>
          <w:sz w:val="13"/>
          <w:szCs w:val="13"/>
          <w:color w:val="auto"/>
        </w:rPr>
        <w:t>(d)          </w:t>
      </w:r>
      <w:r>
        <w:rPr>
          <w:rFonts w:ascii="Times New Roman" w:cs="Times New Roman" w:eastAsia="Times New Roman" w:hAnsi="Times New Roman"/>
          <w:sz w:val="13"/>
          <w:szCs w:val="13"/>
          <w:u w:val="single" w:color="auto"/>
          <w:color w:val="auto"/>
        </w:rPr>
        <w:t>  Agents’ Review of Proposed Amendments and Supplements</w:t>
      </w:r>
      <w:r>
        <w:rPr>
          <w:rFonts w:ascii="Times New Roman" w:cs="Times New Roman" w:eastAsia="Times New Roman" w:hAnsi="Times New Roman"/>
          <w:sz w:val="13"/>
          <w:szCs w:val="13"/>
          <w:color w:val="auto"/>
        </w:rPr>
        <w:t>. Prior to amending or supplementing the Registration Statement or the Prospectus (excluding any amendment or supplement through incorporation of any report filed under the Exchange Act), the Company shall furnish to the Agents for review, a reasonable amount of time prior to the proposed time of filing or use thereof, a copy of each such proposed amendment or supplement, insofar as such proposed amendment or supplement relates to the transactions contemplated hereby, and the Company shall not file or use any such proposed amendment or supplement without the Agents’ prior consent (which shall not be unreasonably withheld, conditioned or delayed). The Company shall file with the Commission within the applicable period specified in Rule 424(b) under the Securities Act any prospectus required to be filed pursuant thereto.</w:t>
      </w:r>
    </w:p>
    <w:p>
      <w:pPr>
        <w:spacing w:after="0" w:line="132" w:lineRule="exact"/>
        <w:rPr>
          <w:sz w:val="20"/>
          <w:szCs w:val="20"/>
          <w:color w:val="auto"/>
        </w:rPr>
      </w:pPr>
    </w:p>
    <w:p>
      <w:pPr>
        <w:jc w:val="both"/>
        <w:ind w:firstLine="485"/>
        <w:spacing w:after="0" w:line="279" w:lineRule="auto"/>
        <w:rPr>
          <w:sz w:val="20"/>
          <w:szCs w:val="20"/>
          <w:color w:val="auto"/>
        </w:rPr>
      </w:pPr>
      <w:r>
        <w:rPr>
          <w:rFonts w:ascii="Times New Roman" w:cs="Times New Roman" w:eastAsia="Times New Roman" w:hAnsi="Times New Roman"/>
          <w:sz w:val="13"/>
          <w:szCs w:val="13"/>
          <w:color w:val="auto"/>
        </w:rPr>
        <w:t>(e)          </w:t>
      </w:r>
      <w:r>
        <w:rPr>
          <w:rFonts w:ascii="Times New Roman" w:cs="Times New Roman" w:eastAsia="Times New Roman" w:hAnsi="Times New Roman"/>
          <w:sz w:val="13"/>
          <w:szCs w:val="13"/>
          <w:u w:val="single" w:color="auto"/>
          <w:color w:val="auto"/>
        </w:rPr>
        <w:t>  Use of Free Writing Prospectus</w:t>
      </w:r>
      <w:r>
        <w:rPr>
          <w:rFonts w:ascii="Times New Roman" w:cs="Times New Roman" w:eastAsia="Times New Roman" w:hAnsi="Times New Roman"/>
          <w:sz w:val="13"/>
          <w:szCs w:val="13"/>
          <w:color w:val="auto"/>
        </w:rPr>
        <w:t>. Neither the Company nor the Agents have prepared, used, referred to or distributed, or will prepare, use, refer to or distribute, without the other party’s prior written consent, any “written communication” that constitutes a “free writing prospectus” as such terms are defined in Rule 405 under the Securities Act with respect to the offering contemplated by this Agreement (any such free writing prospectus being referred to herein as a “</w:t>
      </w:r>
      <w:r>
        <w:rPr>
          <w:rFonts w:ascii="Times New Roman" w:cs="Times New Roman" w:eastAsia="Times New Roman" w:hAnsi="Times New Roman"/>
          <w:sz w:val="13"/>
          <w:szCs w:val="13"/>
          <w:b w:val="1"/>
          <w:bCs w:val="1"/>
          <w:color w:val="auto"/>
        </w:rPr>
        <w:t>Free Writing Prospectus</w:t>
      </w:r>
      <w:r>
        <w:rPr>
          <w:rFonts w:ascii="Times New Roman" w:cs="Times New Roman" w:eastAsia="Times New Roman" w:hAnsi="Times New Roman"/>
          <w:sz w:val="13"/>
          <w:szCs w:val="13"/>
          <w:color w:val="auto"/>
        </w:rPr>
        <w:t>”).</w:t>
      </w:r>
    </w:p>
    <w:p>
      <w:pPr>
        <w:spacing w:after="0" w:line="125" w:lineRule="exact"/>
        <w:rPr>
          <w:sz w:val="20"/>
          <w:szCs w:val="20"/>
          <w:color w:val="auto"/>
        </w:rPr>
      </w:pPr>
    </w:p>
    <w:p>
      <w:pPr>
        <w:jc w:val="both"/>
        <w:ind w:firstLine="485"/>
        <w:spacing w:after="0" w:line="263" w:lineRule="auto"/>
        <w:rPr>
          <w:sz w:val="20"/>
          <w:szCs w:val="20"/>
          <w:color w:val="auto"/>
        </w:rPr>
      </w:pPr>
      <w:r>
        <w:rPr>
          <w:rFonts w:ascii="Times New Roman" w:cs="Times New Roman" w:eastAsia="Times New Roman" w:hAnsi="Times New Roman"/>
          <w:sz w:val="13"/>
          <w:szCs w:val="13"/>
          <w:color w:val="auto"/>
        </w:rPr>
        <w:t>(f)          </w:t>
      </w:r>
      <w:r>
        <w:rPr>
          <w:rFonts w:ascii="Times New Roman" w:cs="Times New Roman" w:eastAsia="Times New Roman" w:hAnsi="Times New Roman"/>
          <w:sz w:val="13"/>
          <w:szCs w:val="13"/>
          <w:u w:val="single" w:color="auto"/>
          <w:color w:val="auto"/>
        </w:rPr>
        <w:t>  Free Writing Prospectuses</w:t>
      </w:r>
      <w:r>
        <w:rPr>
          <w:rFonts w:ascii="Times New Roman" w:cs="Times New Roman" w:eastAsia="Times New Roman" w:hAnsi="Times New Roman"/>
          <w:sz w:val="13"/>
          <w:szCs w:val="13"/>
          <w:color w:val="auto"/>
        </w:rPr>
        <w:t>. The Company shall furnish to the Agents for review, a reasonable amount of time prior to the proposed time of filing or use thereof, a copy of each proposed Free Writing Prospectus or any amendment or supplement thereto to be prepared by or on behalf of, used by, or referred to by the Company and the Company shall not file, use or refer to any proposed Free Writing Prospectus or any amendment or supplement thereto without the Agents’ consent (which shall not be unreasonably withheld, conditioned or delayed). The Company shall furnish to the Agents, without charge, as many copies of any Free Writing Prospectus prepared by or on behalf of, or used by the Company, as the Agents may reasonably request. If at any time when a prospectus is required by the Securities Act (including, without limitation, pursuant to Rule 173(d)) to be delivered in connection with sales of the Shares (but in any event if at any time through and including the date of this Agreement)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that subsequent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the light of the circumstances prevailing at such subsequent time, not misleading, as the case may be; provided, however, that prior to amending or supplementing any such Free Writing Prospectus, the Company shall furnish to the Agents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Agents’ consent (which shall not be unreasonably withheld, conditioned or delayed).</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1">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3" w:right="319" w:bottom="1440" w:gutter="0" w:footer="0" w:header="0"/>
        </w:sectPr>
      </w:pPr>
    </w:p>
    <w:bookmarkStart w:id="73" w:name="page74"/>
    <w:bookmarkEnd w:id="73"/>
    <w:p>
      <w:pPr>
        <w:jc w:val="both"/>
        <w:ind w:firstLine="485"/>
        <w:spacing w:after="0" w:line="298" w:lineRule="auto"/>
        <w:rPr>
          <w:sz w:val="20"/>
          <w:szCs w:val="20"/>
          <w:color w:val="auto"/>
        </w:rPr>
      </w:pPr>
      <w:r>
        <w:rPr>
          <w:rFonts w:ascii="Times New Roman" w:cs="Times New Roman" w:eastAsia="Times New Roman" w:hAnsi="Times New Roman"/>
          <w:sz w:val="13"/>
          <w:szCs w:val="13"/>
          <w:color w:val="auto"/>
        </w:rPr>
        <w:t>(g)          </w:t>
      </w:r>
      <w:r>
        <w:rPr>
          <w:rFonts w:ascii="Times New Roman" w:cs="Times New Roman" w:eastAsia="Times New Roman" w:hAnsi="Times New Roman"/>
          <w:sz w:val="13"/>
          <w:szCs w:val="13"/>
          <w:u w:val="single" w:color="auto"/>
          <w:color w:val="auto"/>
        </w:rPr>
        <w:t>  Filing of Agents Free Writing Prospectuses</w:t>
      </w:r>
      <w:r>
        <w:rPr>
          <w:rFonts w:ascii="Times New Roman" w:cs="Times New Roman" w:eastAsia="Times New Roman" w:hAnsi="Times New Roman"/>
          <w:sz w:val="13"/>
          <w:szCs w:val="13"/>
          <w:color w:val="auto"/>
        </w:rPr>
        <w:t>. The Company shall not take any action that would result in the Agents or the Company being required to file with the Commission pursuant to Rule 433(d) under the Securities Act a Free Writing Prospectus prepared by or on behalf of the Agents that the Agents otherwise would not have been required to file thereunder.</w:t>
      </w:r>
    </w:p>
    <w:p>
      <w:pPr>
        <w:spacing w:after="0" w:line="114" w:lineRule="exact"/>
        <w:rPr>
          <w:sz w:val="20"/>
          <w:szCs w:val="20"/>
          <w:color w:val="auto"/>
        </w:rPr>
      </w:pPr>
    </w:p>
    <w:p>
      <w:pPr>
        <w:jc w:val="both"/>
        <w:ind w:firstLine="485"/>
        <w:spacing w:after="0" w:line="262" w:lineRule="auto"/>
        <w:rPr>
          <w:sz w:val="20"/>
          <w:szCs w:val="20"/>
          <w:color w:val="auto"/>
        </w:rPr>
      </w:pPr>
      <w:r>
        <w:rPr>
          <w:rFonts w:ascii="Times New Roman" w:cs="Times New Roman" w:eastAsia="Times New Roman" w:hAnsi="Times New Roman"/>
          <w:sz w:val="13"/>
          <w:szCs w:val="13"/>
          <w:color w:val="auto"/>
        </w:rPr>
        <w:t>(h)          </w:t>
      </w:r>
      <w:r>
        <w:rPr>
          <w:rFonts w:ascii="Times New Roman" w:cs="Times New Roman" w:eastAsia="Times New Roman" w:hAnsi="Times New Roman"/>
          <w:sz w:val="13"/>
          <w:szCs w:val="13"/>
          <w:u w:val="single" w:color="auto"/>
          <w:color w:val="auto"/>
        </w:rPr>
        <w:t>  Copies of Registration Statement and Prospectus</w:t>
      </w:r>
      <w:r>
        <w:rPr>
          <w:rFonts w:ascii="Times New Roman" w:cs="Times New Roman" w:eastAsia="Times New Roman" w:hAnsi="Times New Roman"/>
          <w:sz w:val="13"/>
          <w:szCs w:val="13"/>
          <w:color w:val="auto"/>
        </w:rPr>
        <w:t>. After the date of this Agreement through the last time that a prospectus is required by the Securities Act (including, without limitation, pursuant to Rule 173(d)) to be delivered in connection with sales of the Shares, the Company agrees to furnish the Agents with copies (which may be electronic copies) of the Registration Statement and each amendment thereto, and with copies of the Prospectus and each amendment or supplement thereto in the form in which it is filed with the Commission pursuant to the Securities Act or Rule 424(b) under the Securities Act, both in such quantities as the Agents may reasonably request from time to time; and, if the delivery of a prospectus is required under the Securities Act or under the blue sky or securities laws of any jurisdiction at any time on or prior to the applicable Settlement Date for any period set forth in an Issuance Notice in connection with the offering or sale of the Shares and if at such time any event has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is necessary during such same period to amend or supplement the Prospectus or to file under the Exchange Act any document incorporated by reference in the Prospectus in order to comply with the Securities Act or the Exchange Act, the Company agrees to notify the Agents and to request that the Agents suspend offers to sell Shares (and, if so notified, the Agents shall cease such offers as soon as practicable); and if the Company decides to amend or supplement the Registration Statement or the Prospectus as then amended or supplemented, the Company agrees to advise the Agents promptly by telephone (with confirmation in writing) and to prepare and cause to be filed promptly with the Commission an amendment or supplement to the Registration Statement or the Prospectus as then amended or supplemented that will correct such statement or omission or effect such compliance; provided, however, that if during such same period the Agents are required to deliver a prospectus in respect of transactions in the Shares, the Company shall promptly prepare and file with the Commission such an amendment or supplement.</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2">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3" w:right="319" w:bottom="1440" w:gutter="0" w:footer="0" w:header="0"/>
        </w:sectPr>
      </w:pPr>
    </w:p>
    <w:bookmarkStart w:id="74" w:name="page75"/>
    <w:bookmarkEnd w:id="74"/>
    <w:p>
      <w:pPr>
        <w:jc w:val="both"/>
        <w:ind w:firstLine="485"/>
        <w:spacing w:after="0" w:line="267" w:lineRule="auto"/>
        <w:rPr>
          <w:sz w:val="20"/>
          <w:szCs w:val="20"/>
          <w:color w:val="auto"/>
        </w:rPr>
      </w:pPr>
      <w:r>
        <w:rPr>
          <w:rFonts w:ascii="Times New Roman" w:cs="Times New Roman" w:eastAsia="Times New Roman" w:hAnsi="Times New Roman"/>
          <w:sz w:val="13"/>
          <w:szCs w:val="13"/>
          <w:color w:val="auto"/>
        </w:rPr>
        <w:t>(i)          </w:t>
      </w:r>
      <w:r>
        <w:rPr>
          <w:rFonts w:ascii="Times New Roman" w:cs="Times New Roman" w:eastAsia="Times New Roman" w:hAnsi="Times New Roman"/>
          <w:sz w:val="13"/>
          <w:szCs w:val="13"/>
          <w:u w:val="single" w:color="auto"/>
          <w:color w:val="auto"/>
        </w:rPr>
        <w:t>  Blue Sky Compliance</w:t>
      </w:r>
      <w:r>
        <w:rPr>
          <w:rFonts w:ascii="Times New Roman" w:cs="Times New Roman" w:eastAsia="Times New Roman" w:hAnsi="Times New Roman"/>
          <w:sz w:val="13"/>
          <w:szCs w:val="13"/>
          <w:color w:val="auto"/>
        </w:rPr>
        <w:t>. The Company shall cooperate with the Agents and counsel for the Agents to qualify or register the Shares for sale under (or obtain exemptions from the application of) the state securities or blue sky laws or Canadian provincial securities laws of those jurisdictions designated by the Agents, shall comply with such laws and shall continue such qualifications, registrations and exemptions in effect so long as required for the distribution of the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Agents promptly of the suspension of the qualification or registration of (or any such exemption relating to) the Shares for offering, sale or trading in any jurisdiction or any initiation or threat of any proceeding for any such purpose, and in the event of the issuance of any order suspending such qualification, registration or exemption, the Company shall use its reasonable best efforts to obtain the withdrawal thereof as soon as reasonably practicable.</w:t>
      </w:r>
    </w:p>
    <w:p>
      <w:pPr>
        <w:spacing w:after="0" w:line="134" w:lineRule="exact"/>
        <w:rPr>
          <w:sz w:val="20"/>
          <w:szCs w:val="20"/>
          <w:color w:val="auto"/>
        </w:rPr>
      </w:pPr>
    </w:p>
    <w:p>
      <w:pPr>
        <w:jc w:val="both"/>
        <w:ind w:firstLine="485"/>
        <w:spacing w:after="0" w:line="279" w:lineRule="auto"/>
        <w:rPr>
          <w:sz w:val="20"/>
          <w:szCs w:val="20"/>
          <w:color w:val="auto"/>
        </w:rPr>
      </w:pPr>
      <w:r>
        <w:rPr>
          <w:rFonts w:ascii="Times New Roman" w:cs="Times New Roman" w:eastAsia="Times New Roman" w:hAnsi="Times New Roman"/>
          <w:sz w:val="13"/>
          <w:szCs w:val="13"/>
          <w:color w:val="auto"/>
        </w:rPr>
        <w:t>(j)          </w:t>
      </w:r>
      <w:r>
        <w:rPr>
          <w:rFonts w:ascii="Times New Roman" w:cs="Times New Roman" w:eastAsia="Times New Roman" w:hAnsi="Times New Roman"/>
          <w:sz w:val="13"/>
          <w:szCs w:val="13"/>
          <w:u w:val="single" w:color="auto"/>
          <w:color w:val="auto"/>
        </w:rPr>
        <w:t>  Earnings Statement</w:t>
      </w:r>
      <w:r>
        <w:rPr>
          <w:rFonts w:ascii="Times New Roman" w:cs="Times New Roman" w:eastAsia="Times New Roman" w:hAnsi="Times New Roman"/>
          <w:sz w:val="13"/>
          <w:szCs w:val="13"/>
          <w:color w:val="auto"/>
        </w:rPr>
        <w:t>. As soon as reasonably practicable, the Company will make generally available to its security holders and to the Agents an earnings statement (which need not be audited) covering a period of at least twelve months beginning with the first fiscal quarter of the Company occurring after the date of this Agreement which shall satisfy the provisions of Section 11(a) of the Securities Act and Rule 158 under the Securities Act, which requirement (for the avoidance of doubt) may be satisfied by publicly filing the required information on EDGAR.</w:t>
      </w:r>
    </w:p>
    <w:p>
      <w:pPr>
        <w:spacing w:after="0" w:line="125" w:lineRule="exact"/>
        <w:rPr>
          <w:sz w:val="20"/>
          <w:szCs w:val="20"/>
          <w:color w:val="auto"/>
        </w:rPr>
      </w:pPr>
    </w:p>
    <w:p>
      <w:pPr>
        <w:jc w:val="both"/>
        <w:ind w:firstLine="485"/>
        <w:spacing w:after="0" w:line="298" w:lineRule="auto"/>
        <w:rPr>
          <w:sz w:val="20"/>
          <w:szCs w:val="20"/>
          <w:color w:val="auto"/>
        </w:rPr>
      </w:pPr>
      <w:r>
        <w:rPr>
          <w:rFonts w:ascii="Times New Roman" w:cs="Times New Roman" w:eastAsia="Times New Roman" w:hAnsi="Times New Roman"/>
          <w:sz w:val="13"/>
          <w:szCs w:val="13"/>
          <w:color w:val="auto"/>
        </w:rPr>
        <w:t>(k)          </w:t>
      </w:r>
      <w:r>
        <w:rPr>
          <w:rFonts w:ascii="Times New Roman" w:cs="Times New Roman" w:eastAsia="Times New Roman" w:hAnsi="Times New Roman"/>
          <w:sz w:val="13"/>
          <w:szCs w:val="13"/>
          <w:u w:val="single" w:color="auto"/>
          <w:color w:val="auto"/>
        </w:rPr>
        <w:t>  Listing; Reservation of Shares</w:t>
      </w:r>
      <w:r>
        <w:rPr>
          <w:rFonts w:ascii="Times New Roman" w:cs="Times New Roman" w:eastAsia="Times New Roman" w:hAnsi="Times New Roman"/>
          <w:sz w:val="13"/>
          <w:szCs w:val="13"/>
          <w:color w:val="auto"/>
        </w:rPr>
        <w:t>. (i) The Company will maintain the listing of the Shares on the Principal Market; and (ii) the Company will reserve and keep available at all times, free of preemptive rights, Shares for the purpose of enabling the Company to satisfy its obligations under this Agreement.</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(l)           </w:t>
      </w:r>
      <w:r>
        <w:rPr>
          <w:rFonts w:ascii="Times New Roman" w:cs="Times New Roman" w:eastAsia="Times New Roman" w:hAnsi="Times New Roman"/>
          <w:sz w:val="13"/>
          <w:szCs w:val="13"/>
          <w:u w:val="single" w:color="auto"/>
          <w:color w:val="auto"/>
        </w:rPr>
        <w:t>  Transfer Agent</w:t>
      </w:r>
      <w:r>
        <w:rPr>
          <w:rFonts w:ascii="Times New Roman" w:cs="Times New Roman" w:eastAsia="Times New Roman" w:hAnsi="Times New Roman"/>
          <w:sz w:val="13"/>
          <w:szCs w:val="13"/>
          <w:color w:val="auto"/>
        </w:rPr>
        <w:t>. The Company shall engage and maintain, at its expense, a registrar and transfer agent for the Shares.</w:t>
      </w:r>
    </w:p>
    <w:p>
      <w:pPr>
        <w:spacing w:after="0" w:line="174" w:lineRule="exact"/>
        <w:rPr>
          <w:sz w:val="20"/>
          <w:szCs w:val="20"/>
          <w:color w:val="auto"/>
        </w:rPr>
      </w:pPr>
    </w:p>
    <w:p>
      <w:pPr>
        <w:jc w:val="both"/>
        <w:ind w:firstLine="485"/>
        <w:spacing w:after="0" w:line="279" w:lineRule="auto"/>
        <w:rPr>
          <w:sz w:val="20"/>
          <w:szCs w:val="20"/>
          <w:color w:val="auto"/>
        </w:rPr>
      </w:pPr>
      <w:r>
        <w:rPr>
          <w:rFonts w:ascii="Times New Roman" w:cs="Times New Roman" w:eastAsia="Times New Roman" w:hAnsi="Times New Roman"/>
          <w:sz w:val="13"/>
          <w:szCs w:val="13"/>
          <w:color w:val="auto"/>
        </w:rPr>
        <w:t>(m)         </w:t>
      </w:r>
      <w:r>
        <w:rPr>
          <w:rFonts w:ascii="Times New Roman" w:cs="Times New Roman" w:eastAsia="Times New Roman" w:hAnsi="Times New Roman"/>
          <w:sz w:val="13"/>
          <w:szCs w:val="13"/>
          <w:u w:val="single" w:color="auto"/>
          <w:color w:val="auto"/>
        </w:rPr>
        <w:t>  Due Diligence</w:t>
      </w:r>
      <w:r>
        <w:rPr>
          <w:rFonts w:ascii="Times New Roman" w:cs="Times New Roman" w:eastAsia="Times New Roman" w:hAnsi="Times New Roman"/>
          <w:sz w:val="13"/>
          <w:szCs w:val="13"/>
          <w:color w:val="auto"/>
        </w:rPr>
        <w:t>. During the term of this Agreement, the Company will reasonably cooperate with any reasonable due diligence review conducted by the Agents in connection with the transactions contemplated hereby, including, without limitation, providing information and making available documents and senior corporate officers, during normal business hours and at the Company’s principal offices or virtually, as the Agents may reasonably request from time to time.</w:t>
      </w:r>
    </w:p>
    <w:p>
      <w:pPr>
        <w:spacing w:after="0" w:line="125" w:lineRule="exact"/>
        <w:rPr>
          <w:sz w:val="20"/>
          <w:szCs w:val="20"/>
          <w:color w:val="auto"/>
        </w:rPr>
      </w:pPr>
    </w:p>
    <w:p>
      <w:pPr>
        <w:jc w:val="both"/>
        <w:ind w:firstLine="485"/>
        <w:spacing w:after="0" w:line="267" w:lineRule="auto"/>
        <w:rPr>
          <w:sz w:val="20"/>
          <w:szCs w:val="20"/>
          <w:color w:val="auto"/>
        </w:rPr>
      </w:pPr>
      <w:r>
        <w:rPr>
          <w:rFonts w:ascii="Times New Roman" w:cs="Times New Roman" w:eastAsia="Times New Roman" w:hAnsi="Times New Roman"/>
          <w:sz w:val="13"/>
          <w:szCs w:val="13"/>
          <w:color w:val="auto"/>
        </w:rPr>
        <w:t>(n)           </w:t>
      </w:r>
      <w:r>
        <w:rPr>
          <w:rFonts w:ascii="Times New Roman" w:cs="Times New Roman" w:eastAsia="Times New Roman" w:hAnsi="Times New Roman"/>
          <w:sz w:val="13"/>
          <w:szCs w:val="13"/>
          <w:u w:val="single" w:color="auto"/>
          <w:color w:val="auto"/>
        </w:rPr>
        <w:t>  Representations and Warranties</w:t>
      </w:r>
      <w:r>
        <w:rPr>
          <w:rFonts w:ascii="Times New Roman" w:cs="Times New Roman" w:eastAsia="Times New Roman" w:hAnsi="Times New Roman"/>
          <w:sz w:val="13"/>
          <w:szCs w:val="13"/>
          <w:color w:val="auto"/>
        </w:rPr>
        <w:t>. The Company acknowledges that each delivery of an Issuance Notice and each delivery of Shares on a Settlement Date shall be deemed to be (i) an affirmation to the Designated Agent that the representations and warranties of the Company contained in or made pursuant to this Agreement are true and correct as of the date of such Issuance Notice or of such Settlement Date, as the case may be, as though made at and as of each such date, except as may be disclosed in the Prospectus (including any documents incorporated by reference therein and any supplements thereto); and (ii) an undertaking that the Company will advise the Designated Agent if any of such representations and warranties will not be true and correct as of the Settlement Date for the Shares relating to such Issuance Notice, as though made at and as of each such date (except that such representations and warranties shall be deemed to relate to the Registration Statement and the Prospectus as amended and supplemented relating to such Shares).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3">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3" w:right="319" w:bottom="1440" w:gutter="0" w:footer="0" w:header="0"/>
        </w:sectPr>
      </w:pPr>
    </w:p>
    <w:bookmarkStart w:id="75" w:name="page76"/>
    <w:bookmarkEnd w:id="75"/>
    <w:p>
      <w:pPr>
        <w:ind w:left="480"/>
        <w:spacing w:after="0"/>
        <w:rPr>
          <w:sz w:val="20"/>
          <w:szCs w:val="20"/>
          <w:color w:val="auto"/>
        </w:rPr>
      </w:pPr>
      <w:r>
        <w:rPr>
          <w:rFonts w:ascii="Times New Roman" w:cs="Times New Roman" w:eastAsia="Times New Roman" w:hAnsi="Times New Roman"/>
          <w:sz w:val="13"/>
          <w:szCs w:val="13"/>
          <w:color w:val="auto"/>
        </w:rPr>
        <w:t>(o)          </w:t>
      </w:r>
      <w:r>
        <w:rPr>
          <w:rFonts w:ascii="Times New Roman" w:cs="Times New Roman" w:eastAsia="Times New Roman" w:hAnsi="Times New Roman"/>
          <w:sz w:val="13"/>
          <w:szCs w:val="13"/>
          <w:u w:val="single" w:color="auto"/>
          <w:color w:val="auto"/>
        </w:rPr>
        <w:t>  Deliverables at Triggering Event Dates; Certificates</w:t>
      </w:r>
      <w:r>
        <w:rPr>
          <w:rFonts w:ascii="Times New Roman" w:cs="Times New Roman" w:eastAsia="Times New Roman" w:hAnsi="Times New Roman"/>
          <w:sz w:val="13"/>
          <w:szCs w:val="13"/>
          <w:color w:val="auto"/>
        </w:rPr>
        <w:t>. The Company agrees that on or prior to the date of the first Issuance Notice and, during the term of this Agreement after the date of the first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Issuance Notice, upon:</w:t>
      </w:r>
    </w:p>
    <w:p>
      <w:pPr>
        <w:spacing w:after="0" w:line="162" w:lineRule="exact"/>
        <w:rPr>
          <w:sz w:val="20"/>
          <w:szCs w:val="20"/>
          <w:color w:val="auto"/>
        </w:rPr>
      </w:pPr>
    </w:p>
    <w:p>
      <w:pPr>
        <w:jc w:val="both"/>
        <w:ind w:firstLine="485"/>
        <w:spacing w:after="0" w:line="279" w:lineRule="auto"/>
        <w:rPr>
          <w:sz w:val="20"/>
          <w:szCs w:val="20"/>
          <w:color w:val="auto"/>
        </w:rPr>
      </w:pPr>
      <w:r>
        <w:rPr>
          <w:rFonts w:ascii="Times New Roman" w:cs="Times New Roman" w:eastAsia="Times New Roman" w:hAnsi="Times New Roman"/>
          <w:sz w:val="13"/>
          <w:szCs w:val="13"/>
          <w:color w:val="auto"/>
        </w:rPr>
        <w:t xml:space="preserve">(A)            the filing of the Prospectus or the amendment or supplement of any Registration Statement or Prospectus (other than a prospectus supplement relating solely to an offering of securities other than the Shares or a prospectus filed pursuant to </w:t>
      </w:r>
      <w:r>
        <w:rPr>
          <w:rFonts w:ascii="Times New Roman" w:cs="Times New Roman" w:eastAsia="Times New Roman" w:hAnsi="Times New Roman"/>
          <w:sz w:val="13"/>
          <w:szCs w:val="13"/>
          <w:u w:val="single" w:color="auto"/>
          <w:color w:val="auto"/>
        </w:rPr>
        <w:t>Section 4(a)(ii)(B)</w:t>
      </w:r>
      <w:r>
        <w:rPr>
          <w:rFonts w:ascii="Times New Roman" w:cs="Times New Roman" w:eastAsia="Times New Roman" w:hAnsi="Times New Roman"/>
          <w:sz w:val="13"/>
          <w:szCs w:val="13"/>
          <w:color w:val="auto"/>
        </w:rPr>
        <w:t>), by means of a post-effective amendment, sticker or supplement, but not by means of incorporation of documents by reference into the Registration Statement or Prospectus;</w:t>
      </w:r>
    </w:p>
    <w:p>
      <w:pPr>
        <w:spacing w:after="0" w:line="125" w:lineRule="exact"/>
        <w:rPr>
          <w:sz w:val="20"/>
          <w:szCs w:val="20"/>
          <w:color w:val="auto"/>
        </w:rPr>
      </w:pPr>
    </w:p>
    <w:p>
      <w:pPr>
        <w:jc w:val="both"/>
        <w:ind w:firstLine="485"/>
        <w:spacing w:after="0" w:line="298" w:lineRule="auto"/>
        <w:rPr>
          <w:sz w:val="20"/>
          <w:szCs w:val="20"/>
          <w:color w:val="auto"/>
        </w:rPr>
      </w:pPr>
      <w:r>
        <w:rPr>
          <w:rFonts w:ascii="Times New Roman" w:cs="Times New Roman" w:eastAsia="Times New Roman" w:hAnsi="Times New Roman"/>
          <w:sz w:val="13"/>
          <w:szCs w:val="13"/>
          <w:color w:val="auto"/>
        </w:rPr>
        <w:t>(B)            the filing with the Commission of an annual report on Form 10-K or a quarterly report on Form 10-Q (including any Form 10-K/A or Form 10-Q/A containing amended financial information or a material amendment to the previously filed annual report on Form 10-K or quarterly report on Form 10-Q), in each case, of the Company; or</w:t>
      </w:r>
    </w:p>
    <w:p>
      <w:pPr>
        <w:spacing w:after="0" w:line="114" w:lineRule="exact"/>
        <w:rPr>
          <w:sz w:val="20"/>
          <w:szCs w:val="20"/>
          <w:color w:val="auto"/>
        </w:rPr>
      </w:pPr>
    </w:p>
    <w:p>
      <w:pPr>
        <w:jc w:val="both"/>
        <w:ind w:firstLine="485"/>
        <w:spacing w:after="0" w:line="279" w:lineRule="auto"/>
        <w:rPr>
          <w:sz w:val="20"/>
          <w:szCs w:val="20"/>
          <w:color w:val="auto"/>
        </w:rPr>
      </w:pPr>
      <w:r>
        <w:rPr>
          <w:rFonts w:ascii="Times New Roman" w:cs="Times New Roman" w:eastAsia="Times New Roman" w:hAnsi="Times New Roman"/>
          <w:sz w:val="13"/>
          <w:szCs w:val="13"/>
          <w:color w:val="auto"/>
        </w:rPr>
        <w:t>(C)            the filing with the Commission of a current report on Form 8-K of the Company containing amended financial information (other than information “furnished” pursuant to Item 2.02 or 7.01 of Form 8-K or to provide disclosure pursuant to Item 8.01 of Form 8-K relating to reclassification of certain properties as discontinued operations in accordance with Statement of Financial Accounting Standards No. 144) that is material to the offering of securities of the Company in the Agents’ reasonable discretion;</w:t>
      </w:r>
    </w:p>
    <w:p>
      <w:pPr>
        <w:spacing w:after="0" w:line="121" w:lineRule="exact"/>
        <w:rPr>
          <w:sz w:val="20"/>
          <w:szCs w:val="20"/>
          <w:color w:val="auto"/>
        </w:rPr>
      </w:pPr>
    </w:p>
    <w:p>
      <w:pPr>
        <w:jc w:val="both"/>
        <w:ind w:firstLine="485"/>
        <w:spacing w:after="0" w:line="264" w:lineRule="auto"/>
        <w:rPr>
          <w:sz w:val="20"/>
          <w:szCs w:val="20"/>
          <w:color w:val="auto"/>
        </w:rPr>
      </w:pPr>
      <w:r>
        <w:rPr>
          <w:rFonts w:ascii="Times New Roman" w:cs="Times New Roman" w:eastAsia="Times New Roman" w:hAnsi="Times New Roman"/>
          <w:sz w:val="13"/>
          <w:szCs w:val="13"/>
          <w:color w:val="auto"/>
        </w:rPr>
        <w:t>(any such event, a “</w:t>
      </w:r>
      <w:r>
        <w:rPr>
          <w:rFonts w:ascii="Times New Roman" w:cs="Times New Roman" w:eastAsia="Times New Roman" w:hAnsi="Times New Roman"/>
          <w:sz w:val="13"/>
          <w:szCs w:val="13"/>
          <w:b w:val="1"/>
          <w:bCs w:val="1"/>
          <w:color w:val="auto"/>
        </w:rPr>
        <w:t>Triggering Event Date</w:t>
      </w:r>
      <w:r>
        <w:rPr>
          <w:rFonts w:ascii="Times New Roman" w:cs="Times New Roman" w:eastAsia="Times New Roman" w:hAnsi="Times New Roman"/>
          <w:sz w:val="13"/>
          <w:szCs w:val="13"/>
          <w:color w:val="auto"/>
        </w:rPr>
        <w:t xml:space="preserve">”), the Company shall furnish the Agents (but in the case of clause (C) above only if the Agents reasonably determine that the information contained in such current report on Form 8-K of the Company is material) with a certificate as of the Triggering Event Date, in the form and substance satisfactory to the Agents and their counsel, substantially similar to the form previously provided to the Agents and their counsel, modified, as necessary, to relate to the Registration Statement and the Prospectus as amended or supplemented, (A) confirming that the representations and warranties of the Company contained in this Agreement are true and correct, (B) confirming that the Company has performed all of its obligations hereunder to be performed on or prior to the date of such certificate and as to the matters set forth in </w:t>
      </w:r>
      <w:r>
        <w:rPr>
          <w:rFonts w:ascii="Times New Roman" w:cs="Times New Roman" w:eastAsia="Times New Roman" w:hAnsi="Times New Roman"/>
          <w:sz w:val="13"/>
          <w:szCs w:val="13"/>
          <w:u w:val="single" w:color="auto"/>
          <w:color w:val="auto"/>
        </w:rPr>
        <w:t>Section 5(a)(i)</w:t>
      </w:r>
      <w:r>
        <w:rPr>
          <w:rFonts w:ascii="Times New Roman" w:cs="Times New Roman" w:eastAsia="Times New Roman" w:hAnsi="Times New Roman"/>
          <w:sz w:val="13"/>
          <w:szCs w:val="13"/>
          <w:color w:val="auto"/>
        </w:rPr>
        <w:t xml:space="preserve"> hereof, and (C) containing any other certification that the Agents shall reasonably request. The requirement to provide a certificate under this </w:t>
      </w:r>
      <w:r>
        <w:rPr>
          <w:rFonts w:ascii="Times New Roman" w:cs="Times New Roman" w:eastAsia="Times New Roman" w:hAnsi="Times New Roman"/>
          <w:sz w:val="13"/>
          <w:szCs w:val="13"/>
          <w:u w:val="single" w:color="auto"/>
          <w:color w:val="auto"/>
        </w:rPr>
        <w:t>Section 4(o)</w:t>
      </w:r>
      <w:r>
        <w:rPr>
          <w:rFonts w:ascii="Times New Roman" w:cs="Times New Roman" w:eastAsia="Times New Roman" w:hAnsi="Times New Roman"/>
          <w:sz w:val="13"/>
          <w:szCs w:val="13"/>
          <w:color w:val="auto"/>
        </w:rPr>
        <w:t xml:space="preserve"> shall be automatically waived for any Triggering Event Date occurring at a time when no Issuance Notice is pending or a suspension is in effect, which waiver shall continue until the earlier to occur of the date the Company delivers an Issuance Notice for the sale of Shares hereunder (which for such calendar quarter shall be considered a Triggering Event Date) and the next occurring Triggering Event Date. Notwithstanding the foregoing, if the Company subsequently decides to sell Shares following a Triggering Event Date when a suspension was in effect and did not provide the Agents with a certificate under this </w:t>
      </w:r>
      <w:r>
        <w:rPr>
          <w:rFonts w:ascii="Times New Roman" w:cs="Times New Roman" w:eastAsia="Times New Roman" w:hAnsi="Times New Roman"/>
          <w:sz w:val="13"/>
          <w:szCs w:val="13"/>
          <w:u w:val="single" w:color="auto"/>
          <w:color w:val="auto"/>
        </w:rPr>
        <w:t>Section 4(o)</w:t>
      </w:r>
      <w:r>
        <w:rPr>
          <w:rFonts w:ascii="Times New Roman" w:cs="Times New Roman" w:eastAsia="Times New Roman" w:hAnsi="Times New Roman"/>
          <w:sz w:val="13"/>
          <w:szCs w:val="13"/>
          <w:color w:val="auto"/>
        </w:rPr>
        <w:t xml:space="preserve">, then before the Company delivers the Issuance Notice for such sale of Shares or the Designated Agent sells any Shares pursuant to such Issuance Notice, the Company shall provide the Designated Agent with a certificate in conformity with this </w:t>
      </w:r>
      <w:r>
        <w:rPr>
          <w:rFonts w:ascii="Times New Roman" w:cs="Times New Roman" w:eastAsia="Times New Roman" w:hAnsi="Times New Roman"/>
          <w:sz w:val="13"/>
          <w:szCs w:val="13"/>
          <w:u w:val="single" w:color="auto"/>
          <w:color w:val="auto"/>
        </w:rPr>
        <w:t>Section 4(o)</w:t>
      </w:r>
      <w:r>
        <w:rPr>
          <w:rFonts w:ascii="Times New Roman" w:cs="Times New Roman" w:eastAsia="Times New Roman" w:hAnsi="Times New Roman"/>
          <w:sz w:val="13"/>
          <w:szCs w:val="13"/>
          <w:color w:val="auto"/>
        </w:rPr>
        <w:t xml:space="preserve"> dated as of the Issuance Notice Date.</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4">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3" w:right="319" w:bottom="1440" w:gutter="0" w:footer="0" w:header="0"/>
        </w:sectPr>
      </w:pPr>
    </w:p>
    <w:bookmarkStart w:id="76" w:name="page77"/>
    <w:bookmarkEnd w:id="76"/>
    <w:p>
      <w:pPr>
        <w:jc w:val="both"/>
        <w:ind w:firstLine="485"/>
        <w:spacing w:after="0" w:line="266" w:lineRule="auto"/>
        <w:rPr>
          <w:sz w:val="20"/>
          <w:szCs w:val="20"/>
          <w:color w:val="auto"/>
        </w:rPr>
      </w:pPr>
      <w:r>
        <w:rPr>
          <w:rFonts w:ascii="Times New Roman" w:cs="Times New Roman" w:eastAsia="Times New Roman" w:hAnsi="Times New Roman"/>
          <w:sz w:val="13"/>
          <w:szCs w:val="13"/>
          <w:color w:val="auto"/>
        </w:rPr>
        <w:t>(p)          </w:t>
      </w:r>
      <w:r>
        <w:rPr>
          <w:rFonts w:ascii="Times New Roman" w:cs="Times New Roman" w:eastAsia="Times New Roman" w:hAnsi="Times New Roman"/>
          <w:sz w:val="13"/>
          <w:szCs w:val="13"/>
          <w:u w:val="single" w:color="auto"/>
          <w:color w:val="auto"/>
        </w:rPr>
        <w:t>  Legal Opinions</w:t>
      </w:r>
      <w:r>
        <w:rPr>
          <w:rFonts w:ascii="Times New Roman" w:cs="Times New Roman" w:eastAsia="Times New Roman" w:hAnsi="Times New Roman"/>
          <w:sz w:val="13"/>
          <w:szCs w:val="13"/>
          <w:color w:val="auto"/>
        </w:rPr>
        <w:t xml:space="preserve">. On or prior to the date of the first Issuance Notice and on or prior to each Triggering Event Date with respect to which the Company is obligated to deliver a certificate pursuant to </w:t>
      </w:r>
      <w:r>
        <w:rPr>
          <w:rFonts w:ascii="Times New Roman" w:cs="Times New Roman" w:eastAsia="Times New Roman" w:hAnsi="Times New Roman"/>
          <w:sz w:val="13"/>
          <w:szCs w:val="13"/>
          <w:u w:val="single" w:color="auto"/>
          <w:color w:val="auto"/>
        </w:rPr>
        <w:t>Section 4(o)</w:t>
      </w:r>
      <w:r>
        <w:rPr>
          <w:rFonts w:ascii="Times New Roman" w:cs="Times New Roman" w:eastAsia="Times New Roman" w:hAnsi="Times New Roman"/>
          <w:sz w:val="13"/>
          <w:szCs w:val="13"/>
          <w:color w:val="auto"/>
        </w:rPr>
        <w:t xml:space="preserve"> for which no waiver is applicable and excluding the date of this Agreement, the Company shall cause to be furnished to the Agents a negative assurance letter and the written legal opinion of Cozen O’Connor, counsel to the Company, dated the date of delivery, in form and substance reasonably satisfactory to Agents and their counsel, substantially similar to the form previously provided to the Agents and their counsel, modified, as necessary, to relate to the Registration Statement and the Prospectus as then amended or supplemented. In lieu of such opinions for subsequent periodic filings, in the discretion of the Agents, the Company may furnish a reliance letter from such counsel to the Agents, permitting the Agents to rely on a previously delivered opinion letter, modified as appropriate for any passage of time or Triggering Event Date (except that statements in such prior opinion shall be deemed to relate to the Registration Statement and the Prospectus as amended or supplemented as of such Triggering Event Date). The Company shall be required to furnish no more than one negative assurance letter and one written legal opinion hereunder per calendar quarter.</w:t>
      </w:r>
    </w:p>
    <w:p>
      <w:pPr>
        <w:spacing w:after="0" w:line="134" w:lineRule="exact"/>
        <w:rPr>
          <w:sz w:val="20"/>
          <w:szCs w:val="20"/>
          <w:color w:val="auto"/>
        </w:rPr>
      </w:pPr>
    </w:p>
    <w:p>
      <w:pPr>
        <w:jc w:val="both"/>
        <w:ind w:firstLine="485"/>
        <w:spacing w:after="0" w:line="264" w:lineRule="auto"/>
        <w:rPr>
          <w:sz w:val="20"/>
          <w:szCs w:val="20"/>
          <w:color w:val="auto"/>
        </w:rPr>
      </w:pPr>
      <w:r>
        <w:rPr>
          <w:rFonts w:ascii="Times New Roman" w:cs="Times New Roman" w:eastAsia="Times New Roman" w:hAnsi="Times New Roman"/>
          <w:sz w:val="13"/>
          <w:szCs w:val="13"/>
          <w:color w:val="auto"/>
        </w:rPr>
        <w:t>(q)          </w:t>
      </w:r>
      <w:r>
        <w:rPr>
          <w:rFonts w:ascii="Times New Roman" w:cs="Times New Roman" w:eastAsia="Times New Roman" w:hAnsi="Times New Roman"/>
          <w:sz w:val="13"/>
          <w:szCs w:val="13"/>
          <w:u w:val="single" w:color="auto"/>
          <w:color w:val="auto"/>
        </w:rPr>
        <w:t>  Comfort Letter</w:t>
      </w:r>
      <w:r>
        <w:rPr>
          <w:rFonts w:ascii="Times New Roman" w:cs="Times New Roman" w:eastAsia="Times New Roman" w:hAnsi="Times New Roman"/>
          <w:sz w:val="13"/>
          <w:szCs w:val="13"/>
          <w:color w:val="auto"/>
        </w:rPr>
        <w:t xml:space="preserve">. On or prior to the date of the first Issuance Notice and on or prior to each Triggering Event Date with respect to which the Company is obligated to deliver a certificate pursuant to </w:t>
      </w:r>
      <w:r>
        <w:rPr>
          <w:rFonts w:ascii="Times New Roman" w:cs="Times New Roman" w:eastAsia="Times New Roman" w:hAnsi="Times New Roman"/>
          <w:sz w:val="13"/>
          <w:szCs w:val="13"/>
          <w:u w:val="single" w:color="auto"/>
          <w:color w:val="auto"/>
        </w:rPr>
        <w:t>Section 4(o)</w:t>
      </w:r>
      <w:r>
        <w:rPr>
          <w:rFonts w:ascii="Times New Roman" w:cs="Times New Roman" w:eastAsia="Times New Roman" w:hAnsi="Times New Roman"/>
          <w:sz w:val="13"/>
          <w:szCs w:val="13"/>
          <w:color w:val="auto"/>
        </w:rPr>
        <w:t xml:space="preserve"> for which no waiver is applicable and excluding the date of this Agreement, the Company shall cause Baker Tilly US, LLP and KPMG LLP, the independent registered public accounting firms who have audited the financial statements included or incorporated by reference in the Registration Statement, or such other accountants who have audited the financial statements included or incorporated by reference in the Registration Statement, to furnish the Agents a comfort letter, dated the date of delivery, in form and substance reasonably satisfactory to the Agents and their counsel, substantially similar to the form previously provided to the Agents and their counsel; provided, however, that any such comfort letter will only be required on the Triggering Event Date specified to the extent that it contains financial statements filed with the Commission under the Exchange Act and incorporated or deemed to be incorporated by reference into a Prospectus. If requested by the Agents, the Company shall also cause a comfort letter to be furnished to the Agents on the date of occurrence of any material transaction or event requiring the filing of a current report on Form 8-K containing material amended financial information of the Company, including the restatement of the Company’s financial statements. The Company shall be required to furnish no more than one comfort letter hereunder per each filing of an annual report on Form 10-K or a quarterly report on Form 10-Q.</w:t>
      </w:r>
    </w:p>
    <w:p>
      <w:pPr>
        <w:spacing w:after="0" w:line="301" w:lineRule="exact"/>
        <w:rPr>
          <w:sz w:val="20"/>
          <w:szCs w:val="20"/>
          <w:color w:val="auto"/>
        </w:rPr>
      </w:pPr>
    </w:p>
    <w:p>
      <w:pPr>
        <w:jc w:val="both"/>
        <w:ind w:firstLine="485"/>
        <w:spacing w:after="0" w:line="269" w:lineRule="auto"/>
        <w:rPr>
          <w:sz w:val="20"/>
          <w:szCs w:val="20"/>
          <w:color w:val="auto"/>
        </w:rPr>
      </w:pPr>
      <w:r>
        <w:rPr>
          <w:rFonts w:ascii="Times New Roman" w:cs="Times New Roman" w:eastAsia="Times New Roman" w:hAnsi="Times New Roman"/>
          <w:sz w:val="13"/>
          <w:szCs w:val="13"/>
          <w:color w:val="auto"/>
        </w:rPr>
        <w:t>(r)          </w:t>
      </w:r>
      <w:r>
        <w:rPr>
          <w:rFonts w:ascii="Times New Roman" w:cs="Times New Roman" w:eastAsia="Times New Roman" w:hAnsi="Times New Roman"/>
          <w:sz w:val="13"/>
          <w:szCs w:val="13"/>
          <w:u w:val="single" w:color="auto"/>
          <w:color w:val="auto"/>
        </w:rPr>
        <w:t>  Secretary’s Certificate</w:t>
      </w:r>
      <w:r>
        <w:rPr>
          <w:rFonts w:ascii="Times New Roman" w:cs="Times New Roman" w:eastAsia="Times New Roman" w:hAnsi="Times New Roman"/>
          <w:sz w:val="13"/>
          <w:szCs w:val="13"/>
          <w:color w:val="auto"/>
        </w:rPr>
        <w:t xml:space="preserve">. On or prior to the date of the first Issuance Notice and on or prior to each Triggering Event Date with respect to which the Company is obligated to deliver a certificate pursuant to </w:t>
      </w:r>
      <w:r>
        <w:rPr>
          <w:rFonts w:ascii="Times New Roman" w:cs="Times New Roman" w:eastAsia="Times New Roman" w:hAnsi="Times New Roman"/>
          <w:sz w:val="13"/>
          <w:szCs w:val="13"/>
          <w:u w:val="single" w:color="auto"/>
          <w:color w:val="auto"/>
        </w:rPr>
        <w:t>Section 4(o)</w:t>
      </w:r>
      <w:r>
        <w:rPr>
          <w:rFonts w:ascii="Times New Roman" w:cs="Times New Roman" w:eastAsia="Times New Roman" w:hAnsi="Times New Roman"/>
          <w:sz w:val="13"/>
          <w:szCs w:val="13"/>
          <w:color w:val="auto"/>
        </w:rPr>
        <w:t xml:space="preserve"> for which no waiver is applicable, the Company shall furnish the Agents a certificate executed by the Secretary of the Company, signing in such capacity, dated the date of delivery</w:t>
      </w:r>
    </w:p>
    <w:p>
      <w:pPr>
        <w:spacing w:after="0" w:line="1" w:lineRule="exact"/>
        <w:rPr>
          <w:sz w:val="20"/>
          <w:szCs w:val="20"/>
          <w:color w:val="auto"/>
        </w:rPr>
      </w:pPr>
    </w:p>
    <w:p>
      <w:pPr>
        <w:jc w:val="both"/>
        <w:ind w:firstLine="1"/>
        <w:spacing w:after="0" w:line="259" w:lineRule="auto"/>
        <w:tabs>
          <w:tab w:leader="none" w:pos="172"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certifying that attached thereto are true and complete copies of the resolutions duly adopted by the Board of Directors of the Company authorizing the execution and delivery of this Agreement and the consummation of the transactions contemplated hereby (including, without limitation, the issuance of the Shares pursuant to this Agreement), which authorization shall be in full force and effect on and as of the date of such certificate, (ii) certifying and attesting to the office, incumbency, due authority and specimen signatures of each person who executed this Agreement for or on behalf of the Company, and</w:t>
      </w:r>
    </w:p>
    <w:p>
      <w:pPr>
        <w:spacing w:after="0" w:line="1" w:lineRule="exact"/>
        <w:rPr>
          <w:rFonts w:ascii="Times New Roman" w:cs="Times New Roman" w:eastAsia="Times New Roman" w:hAnsi="Times New Roman"/>
          <w:sz w:val="13"/>
          <w:szCs w:val="13"/>
          <w:color w:val="auto"/>
        </w:rPr>
      </w:pPr>
    </w:p>
    <w:p>
      <w:pPr>
        <w:ind w:left="240" w:hanging="239"/>
        <w:spacing w:after="0"/>
        <w:tabs>
          <w:tab w:leader="none" w:pos="24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containing any other certification that the Agents shall reasonably request.</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5">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3" w:right="319" w:bottom="1440" w:gutter="0" w:footer="0" w:header="0"/>
        </w:sectPr>
      </w:pPr>
    </w:p>
    <w:bookmarkStart w:id="77" w:name="page78"/>
    <w:bookmarkEnd w:id="77"/>
    <w:p>
      <w:pPr>
        <w:jc w:val="both"/>
        <w:ind w:firstLine="485"/>
        <w:spacing w:after="0" w:line="298" w:lineRule="auto"/>
        <w:rPr>
          <w:sz w:val="20"/>
          <w:szCs w:val="20"/>
          <w:color w:val="auto"/>
        </w:rPr>
      </w:pPr>
      <w:r>
        <w:rPr>
          <w:rFonts w:ascii="Times New Roman" w:cs="Times New Roman" w:eastAsia="Times New Roman" w:hAnsi="Times New Roman"/>
          <w:sz w:val="13"/>
          <w:szCs w:val="13"/>
          <w:color w:val="auto"/>
        </w:rPr>
        <w:t>(s)           </w:t>
      </w:r>
      <w:r>
        <w:rPr>
          <w:rFonts w:ascii="Times New Roman" w:cs="Times New Roman" w:eastAsia="Times New Roman" w:hAnsi="Times New Roman"/>
          <w:sz w:val="13"/>
          <w:szCs w:val="13"/>
          <w:u w:val="single" w:color="auto"/>
          <w:color w:val="auto"/>
        </w:rPr>
        <w:t>  Agents’ Own Account; Clients’ Account</w:t>
      </w:r>
      <w:r>
        <w:rPr>
          <w:rFonts w:ascii="Times New Roman" w:cs="Times New Roman" w:eastAsia="Times New Roman" w:hAnsi="Times New Roman"/>
          <w:sz w:val="13"/>
          <w:szCs w:val="13"/>
          <w:color w:val="auto"/>
        </w:rPr>
        <w:t>. The Company consents to the Agents trading, in compliance with applicable law, in the Common Shares for the Agents’ own accounts and for the accounts of their clients at the same time as sales of the Shares occur pursuant to this Agreement.</w:t>
      </w:r>
    </w:p>
    <w:p>
      <w:pPr>
        <w:spacing w:after="0" w:line="114" w:lineRule="exact"/>
        <w:rPr>
          <w:sz w:val="20"/>
          <w:szCs w:val="20"/>
          <w:color w:val="auto"/>
        </w:rPr>
      </w:pPr>
    </w:p>
    <w:p>
      <w:pPr>
        <w:jc w:val="both"/>
        <w:ind w:firstLine="485"/>
        <w:spacing w:after="0" w:line="298" w:lineRule="auto"/>
        <w:rPr>
          <w:sz w:val="20"/>
          <w:szCs w:val="20"/>
          <w:color w:val="auto"/>
        </w:rPr>
      </w:pPr>
      <w:r>
        <w:rPr>
          <w:rFonts w:ascii="Times New Roman" w:cs="Times New Roman" w:eastAsia="Times New Roman" w:hAnsi="Times New Roman"/>
          <w:sz w:val="13"/>
          <w:szCs w:val="13"/>
          <w:color w:val="auto"/>
        </w:rPr>
        <w:t>(t)           </w:t>
      </w:r>
      <w:r>
        <w:rPr>
          <w:rFonts w:ascii="Times New Roman" w:cs="Times New Roman" w:eastAsia="Times New Roman" w:hAnsi="Times New Roman"/>
          <w:sz w:val="13"/>
          <w:szCs w:val="13"/>
          <w:u w:val="single" w:color="auto"/>
          <w:color w:val="auto"/>
        </w:rPr>
        <w:t>  Investment Limitation</w:t>
      </w:r>
      <w:r>
        <w:rPr>
          <w:rFonts w:ascii="Times New Roman" w:cs="Times New Roman" w:eastAsia="Times New Roman" w:hAnsi="Times New Roman"/>
          <w:sz w:val="13"/>
          <w:szCs w:val="13"/>
          <w:color w:val="auto"/>
        </w:rPr>
        <w:t>. The Company shall not invest, or otherwise use the proceeds received by the Company from its sale of the Shares in such a manner as would require the Company or any of its subsidiaries to register as an investment company under the Investment Company Act.</w:t>
      </w:r>
    </w:p>
    <w:p>
      <w:pPr>
        <w:spacing w:after="0" w:line="114" w:lineRule="exact"/>
        <w:rPr>
          <w:sz w:val="20"/>
          <w:szCs w:val="20"/>
          <w:color w:val="auto"/>
        </w:rPr>
      </w:pPr>
    </w:p>
    <w:p>
      <w:pPr>
        <w:jc w:val="both"/>
        <w:ind w:firstLine="485"/>
        <w:spacing w:after="0" w:line="267" w:lineRule="auto"/>
        <w:rPr>
          <w:sz w:val="20"/>
          <w:szCs w:val="20"/>
          <w:color w:val="auto"/>
        </w:rPr>
      </w:pPr>
      <w:r>
        <w:rPr>
          <w:rFonts w:ascii="Times New Roman" w:cs="Times New Roman" w:eastAsia="Times New Roman" w:hAnsi="Times New Roman"/>
          <w:sz w:val="13"/>
          <w:szCs w:val="13"/>
          <w:color w:val="auto"/>
        </w:rPr>
        <w:t>(u)          </w:t>
      </w:r>
      <w:r>
        <w:rPr>
          <w:rFonts w:ascii="Times New Roman" w:cs="Times New Roman" w:eastAsia="Times New Roman" w:hAnsi="Times New Roman"/>
          <w:sz w:val="13"/>
          <w:szCs w:val="13"/>
          <w:u w:val="single" w:color="auto"/>
          <w:color w:val="auto"/>
        </w:rPr>
        <w:t>  Market Activities</w:t>
      </w:r>
      <w:r>
        <w:rPr>
          <w:rFonts w:ascii="Times New Roman" w:cs="Times New Roman" w:eastAsia="Times New Roman" w:hAnsi="Times New Roman"/>
          <w:sz w:val="13"/>
          <w:szCs w:val="13"/>
          <w:color w:val="auto"/>
        </w:rPr>
        <w:t>. The Company will not take, directly or indirectly, any action designed to or that might be reasonably expected to cause or result in stabilization or manipulation of the price of the Shares or any other reference security, whether to facilitate the sale or resale of the Shares or otherwise, and the Company will, and shall use commercially reasonable efforts to cause each of its Affiliates to, comply with all applicable provisions of Regulation M. If the limitations of Rule 102 of Regulation M (“</w:t>
      </w:r>
      <w:r>
        <w:rPr>
          <w:rFonts w:ascii="Times New Roman" w:cs="Times New Roman" w:eastAsia="Times New Roman" w:hAnsi="Times New Roman"/>
          <w:sz w:val="13"/>
          <w:szCs w:val="13"/>
          <w:b w:val="1"/>
          <w:bCs w:val="1"/>
          <w:color w:val="auto"/>
        </w:rPr>
        <w:t>Rule 102</w:t>
      </w:r>
      <w:r>
        <w:rPr>
          <w:rFonts w:ascii="Times New Roman" w:cs="Times New Roman" w:eastAsia="Times New Roman" w:hAnsi="Times New Roman"/>
          <w:sz w:val="13"/>
          <w:szCs w:val="13"/>
          <w:color w:val="auto"/>
        </w:rPr>
        <w:t>”) do not apply with respect to the Shares or any other reference security pursuant to any exception set forth in Section (d) of Rule 102, then promptly upon notice from the Agents (or, if later, at the time stated in the notice), the Company will, and shall use commercially reasonable efforts to cause each of its Affiliates to, comply with Rule 102 as though such exception were not available but the other provisions of Rule 102 (as interpreted by the Commission) did apply. The Company shall promptly notify the Agents if it no longer meets the requirements set forth in Section (d) of Rule 102.</w:t>
      </w:r>
    </w:p>
    <w:p>
      <w:pPr>
        <w:spacing w:after="0" w:line="134" w:lineRule="exact"/>
        <w:rPr>
          <w:sz w:val="20"/>
          <w:szCs w:val="20"/>
          <w:color w:val="auto"/>
        </w:rPr>
      </w:pPr>
    </w:p>
    <w:p>
      <w:pPr>
        <w:jc w:val="both"/>
        <w:ind w:firstLine="485"/>
        <w:spacing w:after="0" w:line="263" w:lineRule="auto"/>
        <w:rPr>
          <w:sz w:val="20"/>
          <w:szCs w:val="20"/>
          <w:color w:val="auto"/>
        </w:rPr>
      </w:pPr>
      <w:r>
        <w:rPr>
          <w:rFonts w:ascii="Times New Roman" w:cs="Times New Roman" w:eastAsia="Times New Roman" w:hAnsi="Times New Roman"/>
          <w:sz w:val="13"/>
          <w:szCs w:val="13"/>
          <w:color w:val="auto"/>
        </w:rPr>
        <w:t>(v)          </w:t>
      </w:r>
      <w:r>
        <w:rPr>
          <w:rFonts w:ascii="Times New Roman" w:cs="Times New Roman" w:eastAsia="Times New Roman" w:hAnsi="Times New Roman"/>
          <w:sz w:val="13"/>
          <w:szCs w:val="13"/>
          <w:u w:val="single" w:color="auto"/>
          <w:color w:val="auto"/>
        </w:rPr>
        <w:t>  Notice of Other Sale</w:t>
      </w:r>
      <w:r>
        <w:rPr>
          <w:rFonts w:ascii="Times New Roman" w:cs="Times New Roman" w:eastAsia="Times New Roman" w:hAnsi="Times New Roman"/>
          <w:sz w:val="13"/>
          <w:szCs w:val="13"/>
          <w:color w:val="auto"/>
        </w:rPr>
        <w:t xml:space="preserve">. Without the written consent of the Agents, the Company will not, directly or indirectly, offer to sell, sell, contract to sell, grant any option to sell or otherwise dispose of any Common Shares or securities convertible into or exchangeable for Common Shares (other than Shares hereunder), warrants or any rights to purchase or acquire Common Shares, or effect a reverse stock split, recapitalization, share consolidation, reclassification or similar transaction affecting the outstanding Common Shares, during the period beginning on the third Trading Day immediately prior to the date on which any Issuance Notice is delivered to the Agents hereunder and ending on the third Trading Day immediately following the Settlement Date with respect to Shares sold pursuant to such Issuance Notice; and will not directly or indirectly enter into any other “at the market” or continuous equity offering transaction (other than the Shares offered pursuant to this Agreement); provided, however, that such restrictions will not be required in connection with the Company’s (i) issuance or sale of Common Shares, options to purchase Common Shares or Common Shares issuable upon the exercise of options or other equity awards pursuant to any employee or director share option, incentive or benefit plan, share purchase or ownership plan, long-term incentive plan, dividend reinvestment plan, inducement award under the Principal Market rules or other compensation plan of the Company or its subsidiaries, as in effect on the date of this Agreement, (ii) issuance or sale of Common Shares issuable upon exchange, conversion or redemption of securities or the exercise or vesting of warrants, options or other equity awards outstanding at the date of this Agreement, or issued after the date of this Agreement in compliance with this </w:t>
      </w:r>
      <w:r>
        <w:rPr>
          <w:rFonts w:ascii="Times New Roman" w:cs="Times New Roman" w:eastAsia="Times New Roman" w:hAnsi="Times New Roman"/>
          <w:sz w:val="13"/>
          <w:szCs w:val="13"/>
          <w:u w:val="single" w:color="auto"/>
          <w:color w:val="auto"/>
        </w:rPr>
        <w:t>Section 4(v)</w:t>
      </w:r>
      <w:r>
        <w:rPr>
          <w:rFonts w:ascii="Times New Roman" w:cs="Times New Roman" w:eastAsia="Times New Roman" w:hAnsi="Times New Roman"/>
          <w:sz w:val="13"/>
          <w:szCs w:val="13"/>
          <w:color w:val="auto"/>
        </w:rPr>
        <w:t>, and (iii) modification of any outstanding options, warrants of any rights to purchase or acquire Common Shares.</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6">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3" w:right="319" w:bottom="1440" w:gutter="0" w:footer="0" w:header="0"/>
        </w:sectPr>
      </w:pPr>
    </w:p>
    <w:bookmarkStart w:id="78" w:name="page79"/>
    <w:bookmarkEnd w:id="78"/>
    <w:p>
      <w:pPr>
        <w:ind w:left="480"/>
        <w:spacing w:after="0"/>
        <w:rPr>
          <w:sz w:val="20"/>
          <w:szCs w:val="20"/>
          <w:color w:val="auto"/>
        </w:rPr>
      </w:pPr>
      <w:r>
        <w:rPr>
          <w:rFonts w:ascii="Times New Roman" w:cs="Times New Roman" w:eastAsia="Times New Roman" w:hAnsi="Times New Roman"/>
          <w:sz w:val="13"/>
          <w:szCs w:val="13"/>
          <w:b w:val="1"/>
          <w:bCs w:val="1"/>
          <w:color w:val="auto"/>
        </w:rPr>
        <w:t>Section 5.        CONDITIONS TO DELIVERY OF ISSUANCE NOTICES AND TO SETTLEMENT</w:t>
      </w:r>
    </w:p>
    <w:p>
      <w:pPr>
        <w:spacing w:after="0" w:line="178" w:lineRule="exact"/>
        <w:rPr>
          <w:sz w:val="20"/>
          <w:szCs w:val="20"/>
          <w:color w:val="auto"/>
        </w:rPr>
      </w:pPr>
    </w:p>
    <w:p>
      <w:pPr>
        <w:jc w:val="both"/>
        <w:ind w:firstLine="485"/>
        <w:spacing w:after="0" w:line="279" w:lineRule="auto"/>
        <w:rPr>
          <w:sz w:val="20"/>
          <w:szCs w:val="20"/>
          <w:color w:val="auto"/>
        </w:rPr>
      </w:pPr>
      <w:r>
        <w:rPr>
          <w:rFonts w:ascii="Times New Roman" w:cs="Times New Roman" w:eastAsia="Times New Roman" w:hAnsi="Times New Roman"/>
          <w:sz w:val="13"/>
          <w:szCs w:val="13"/>
          <w:color w:val="auto"/>
        </w:rPr>
        <w:t>(a)         </w:t>
      </w:r>
      <w:r>
        <w:rPr>
          <w:rFonts w:ascii="Times New Roman" w:cs="Times New Roman" w:eastAsia="Times New Roman" w:hAnsi="Times New Roman"/>
          <w:sz w:val="13"/>
          <w:szCs w:val="13"/>
          <w:u w:val="single" w:color="auto"/>
          <w:color w:val="auto"/>
        </w:rPr>
        <w:t>  Conditions Precedent to the Right of the Company to Deliver an Issuance Notice and the Obligation of the Designated Agent to Sell Shares</w:t>
      </w:r>
      <w:r>
        <w:rPr>
          <w:rFonts w:ascii="Times New Roman" w:cs="Times New Roman" w:eastAsia="Times New Roman" w:hAnsi="Times New Roman"/>
          <w:sz w:val="13"/>
          <w:szCs w:val="13"/>
          <w:color w:val="auto"/>
        </w:rPr>
        <w:t>. The right of the Company to deliver an Issuance Notice hereunder is subject to the satisfaction, on the date of delivery of such Issuance Notice, and the obligation of the Designated Agent to use its commercially reasonable efforts to place Shares during the applicable period set forth in the Issuance Notice is subject to the satisfaction, on each Trading Day during the applicable period set forth in the Issuance Notice, of each of the following conditions:</w:t>
      </w:r>
    </w:p>
    <w:p>
      <w:pPr>
        <w:spacing w:after="0" w:line="125" w:lineRule="exact"/>
        <w:rPr>
          <w:sz w:val="20"/>
          <w:szCs w:val="20"/>
          <w:color w:val="auto"/>
        </w:rPr>
      </w:pPr>
    </w:p>
    <w:p>
      <w:pPr>
        <w:jc w:val="both"/>
        <w:ind w:firstLine="485"/>
        <w:spacing w:after="0" w:line="279" w:lineRule="auto"/>
        <w:rPr>
          <w:sz w:val="20"/>
          <w:szCs w:val="20"/>
          <w:color w:val="auto"/>
        </w:rPr>
      </w:pPr>
      <w:r>
        <w:rPr>
          <w:rFonts w:ascii="Times New Roman" w:cs="Times New Roman" w:eastAsia="Times New Roman" w:hAnsi="Times New Roman"/>
          <w:sz w:val="13"/>
          <w:szCs w:val="13"/>
          <w:color w:val="auto"/>
        </w:rPr>
        <w:t>(i)          </w:t>
      </w:r>
      <w:r>
        <w:rPr>
          <w:rFonts w:ascii="Times New Roman" w:cs="Times New Roman" w:eastAsia="Times New Roman" w:hAnsi="Times New Roman"/>
          <w:sz w:val="13"/>
          <w:szCs w:val="13"/>
          <w:u w:val="single" w:color="auto"/>
          <w:color w:val="auto"/>
        </w:rPr>
        <w:t>  Accuracy of the Company’s Representations and Warranties; Performance by the Company</w:t>
      </w:r>
      <w:r>
        <w:rPr>
          <w:rFonts w:ascii="Times New Roman" w:cs="Times New Roman" w:eastAsia="Times New Roman" w:hAnsi="Times New Roman"/>
          <w:sz w:val="13"/>
          <w:szCs w:val="13"/>
          <w:color w:val="auto"/>
        </w:rPr>
        <w:t xml:space="preserve">. The Company shall have delivered the certificate required to be delivered pursuant to </w:t>
      </w:r>
      <w:r>
        <w:rPr>
          <w:rFonts w:ascii="Times New Roman" w:cs="Times New Roman" w:eastAsia="Times New Roman" w:hAnsi="Times New Roman"/>
          <w:sz w:val="13"/>
          <w:szCs w:val="13"/>
          <w:u w:val="single" w:color="auto"/>
          <w:color w:val="auto"/>
        </w:rPr>
        <w:t>Section 4(o)</w:t>
      </w:r>
      <w:r>
        <w:rPr>
          <w:rFonts w:ascii="Times New Roman" w:cs="Times New Roman" w:eastAsia="Times New Roman" w:hAnsi="Times New Roman"/>
          <w:sz w:val="13"/>
          <w:szCs w:val="13"/>
          <w:color w:val="auto"/>
        </w:rPr>
        <w:t xml:space="preserve"> on or before the date on which delivery of such certificate is required pursuant to </w:t>
      </w:r>
      <w:r>
        <w:rPr>
          <w:rFonts w:ascii="Times New Roman" w:cs="Times New Roman" w:eastAsia="Times New Roman" w:hAnsi="Times New Roman"/>
          <w:sz w:val="13"/>
          <w:szCs w:val="13"/>
          <w:u w:val="single" w:color="auto"/>
          <w:color w:val="auto"/>
        </w:rPr>
        <w:t>Section 4(o)</w:t>
      </w:r>
      <w:r>
        <w:rPr>
          <w:rFonts w:ascii="Times New Roman" w:cs="Times New Roman" w:eastAsia="Times New Roman" w:hAnsi="Times New Roman"/>
          <w:sz w:val="13"/>
          <w:szCs w:val="13"/>
          <w:color w:val="auto"/>
        </w:rPr>
        <w:t xml:space="preserve">. The Company shall have performed, satisfied and complied with all covenants, agreements and conditions required by this Agreement to be performed, satisfied or complied with by the Company at or prior to such date, including, but not limited to, the covenants contained in ‎Section 4(p), </w:t>
      </w:r>
      <w:r>
        <w:rPr>
          <w:rFonts w:ascii="Times New Roman" w:cs="Times New Roman" w:eastAsia="Times New Roman" w:hAnsi="Times New Roman"/>
          <w:sz w:val="13"/>
          <w:szCs w:val="13"/>
          <w:u w:val="single" w:color="auto"/>
          <w:color w:val="auto"/>
        </w:rPr>
        <w:t>Section 4(q)</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4(r)</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5486400</wp:posOffset>
            </wp:positionH>
            <wp:positionV relativeFrom="paragraph">
              <wp:posOffset>-33655</wp:posOffset>
            </wp:positionV>
            <wp:extent cx="420370"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7">
                      <a:extLst>
                        <a:ext uri="{28A0092B-C50C-407E-A947-70E740481C1C}"/>
                      </a:extLst>
                    </a:blip>
                    <a:srcRect/>
                    <a:stretch>
                      <a:fillRect/>
                    </a:stretch>
                  </pic:blipFill>
                  <pic:spPr bwMode="auto">
                    <a:xfrm>
                      <a:off x="0" y="0"/>
                      <a:ext cx="420370" cy="6350"/>
                    </a:xfrm>
                    <a:prstGeom prst="rect">
                      <a:avLst/>
                    </a:prstGeom>
                    <a:noFill/>
                  </pic:spPr>
                </pic:pic>
              </a:graphicData>
            </a:graphic>
          </wp:anchor>
        </w:drawing>
      </w:r>
    </w:p>
    <w:p>
      <w:pPr>
        <w:spacing w:after="0" w:line="105" w:lineRule="exact"/>
        <w:rPr>
          <w:sz w:val="20"/>
          <w:szCs w:val="20"/>
          <w:color w:val="auto"/>
        </w:rPr>
      </w:pPr>
    </w:p>
    <w:p>
      <w:pPr>
        <w:jc w:val="both"/>
        <w:ind w:firstLine="485"/>
        <w:spacing w:after="0" w:line="279" w:lineRule="auto"/>
        <w:rPr>
          <w:sz w:val="20"/>
          <w:szCs w:val="20"/>
          <w:color w:val="auto"/>
        </w:rPr>
      </w:pPr>
      <w:r>
        <w:rPr>
          <w:rFonts w:ascii="Times New Roman" w:cs="Times New Roman" w:eastAsia="Times New Roman" w:hAnsi="Times New Roman"/>
          <w:sz w:val="13"/>
          <w:szCs w:val="13"/>
          <w:color w:val="auto"/>
        </w:rPr>
        <w:t>(ii)         </w:t>
      </w:r>
      <w:r>
        <w:rPr>
          <w:rFonts w:ascii="Times New Roman" w:cs="Times New Roman" w:eastAsia="Times New Roman" w:hAnsi="Times New Roman"/>
          <w:sz w:val="13"/>
          <w:szCs w:val="13"/>
          <w:u w:val="single" w:color="auto"/>
          <w:color w:val="auto"/>
        </w:rPr>
        <w:t>  No Injunction</w:t>
      </w:r>
      <w:r>
        <w:rPr>
          <w:rFonts w:ascii="Times New Roman" w:cs="Times New Roman" w:eastAsia="Times New Roman" w:hAnsi="Times New Roman"/>
          <w:sz w:val="13"/>
          <w:szCs w:val="13"/>
          <w:color w:val="auto"/>
        </w:rPr>
        <w:t>. No statute, rule, regulation, executive order, decree, ruling or injunction shall have been enacted, entered, promulgated or endorsed by any court or governmental authority of competent jurisdiction or any self-regulatory organization having authority over the matters contemplated hereby that prohibits or directly and materially adversely affects any of the transactions contemplated by this Agreement, and no proceeding shall have been commenced that may have the effect of prohibiting or materially adversely affecting any of the transactions contemplated by this Agreement.</w:t>
      </w:r>
    </w:p>
    <w:p>
      <w:pPr>
        <w:spacing w:after="0" w:line="125" w:lineRule="exact"/>
        <w:rPr>
          <w:sz w:val="20"/>
          <w:szCs w:val="20"/>
          <w:color w:val="auto"/>
        </w:rPr>
      </w:pPr>
    </w:p>
    <w:p>
      <w:pPr>
        <w:jc w:val="both"/>
        <w:ind w:firstLine="485"/>
        <w:spacing w:after="0" w:line="272" w:lineRule="auto"/>
        <w:rPr>
          <w:sz w:val="20"/>
          <w:szCs w:val="20"/>
          <w:color w:val="auto"/>
        </w:rPr>
      </w:pPr>
      <w:r>
        <w:rPr>
          <w:rFonts w:ascii="Times New Roman" w:cs="Times New Roman" w:eastAsia="Times New Roman" w:hAnsi="Times New Roman"/>
          <w:sz w:val="13"/>
          <w:szCs w:val="13"/>
          <w:color w:val="auto"/>
        </w:rPr>
        <w:t>(iii)        </w:t>
      </w:r>
      <w:r>
        <w:rPr>
          <w:rFonts w:ascii="Times New Roman" w:cs="Times New Roman" w:eastAsia="Times New Roman" w:hAnsi="Times New Roman"/>
          <w:sz w:val="13"/>
          <w:szCs w:val="13"/>
          <w:u w:val="single" w:color="auto"/>
          <w:color w:val="auto"/>
        </w:rPr>
        <w:t>  Material Adverse Changes</w:t>
      </w:r>
      <w:r>
        <w:rPr>
          <w:rFonts w:ascii="Times New Roman" w:cs="Times New Roman" w:eastAsia="Times New Roman" w:hAnsi="Times New Roman"/>
          <w:sz w:val="13"/>
          <w:szCs w:val="13"/>
          <w:color w:val="auto"/>
        </w:rPr>
        <w:t>. Except as disclosed in the Prospectus and the Time of Sale Information, (a) in the judgment of the Agents there shall not have occurred any Material Adverse Change; and (b) 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such term is defined for purposes of Section 3(a)(62) of the Exchange Act.</w:t>
      </w:r>
    </w:p>
    <w:p>
      <w:pPr>
        <w:spacing w:after="0" w:line="131" w:lineRule="exact"/>
        <w:rPr>
          <w:sz w:val="20"/>
          <w:szCs w:val="20"/>
          <w:color w:val="auto"/>
        </w:rPr>
      </w:pPr>
    </w:p>
    <w:p>
      <w:pPr>
        <w:jc w:val="both"/>
        <w:ind w:firstLine="485"/>
        <w:spacing w:after="0" w:line="264" w:lineRule="auto"/>
        <w:rPr>
          <w:sz w:val="20"/>
          <w:szCs w:val="20"/>
          <w:color w:val="auto"/>
        </w:rPr>
      </w:pPr>
      <w:r>
        <w:rPr>
          <w:rFonts w:ascii="Times New Roman" w:cs="Times New Roman" w:eastAsia="Times New Roman" w:hAnsi="Times New Roman"/>
          <w:sz w:val="13"/>
          <w:szCs w:val="13"/>
          <w:color w:val="auto"/>
        </w:rPr>
        <w:t>(iv)        </w:t>
      </w:r>
      <w:r>
        <w:rPr>
          <w:rFonts w:ascii="Times New Roman" w:cs="Times New Roman" w:eastAsia="Times New Roman" w:hAnsi="Times New Roman"/>
          <w:sz w:val="13"/>
          <w:szCs w:val="13"/>
          <w:u w:val="single" w:color="auto"/>
          <w:color w:val="auto"/>
        </w:rPr>
        <w:t>  No Suspension of Trading in or Delisting of Common Shares; Other Events</w:t>
      </w:r>
      <w:r>
        <w:rPr>
          <w:rFonts w:ascii="Times New Roman" w:cs="Times New Roman" w:eastAsia="Times New Roman" w:hAnsi="Times New Roman"/>
          <w:sz w:val="13"/>
          <w:szCs w:val="13"/>
          <w:color w:val="auto"/>
        </w:rPr>
        <w:t>. The trading of the Common Shares (including without limitation the Shares) shall not have been suspended by the Commission, the Principal Market or FINRA and the Common Shares (including without limitation the Shares) shall have been approved for listing or quotation on and shall not have been delisted from the Nasdaq Stock Market, the New York Stock Exchange or any of their constituent markets. There shall not have occurred (and be continuing in the case of occurrences under clauses (i) and (ii) below) any of the following: (i) trading or quotation in any of the Company’s securities shall have been suspended or limited by the Commission or by the Principal Market or trading in securities generally on the Principal Market shall have been suspended or limited, or minimum or maximum prices shall have been generally established on any of such stock exchanges by the Commission or the FINRA; (ii) a general banking moratorium shall have been declared by any of federal or New York authorities; or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Agents is material and adverse and makes it impracticable to market the Shares in the manner and on the terms described in the Prospectus or to enforce contracts for the sale of securities.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8">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79" w:name="page80"/>
    <w:bookmarkEnd w:id="79"/>
    <w:p>
      <w:pPr>
        <w:jc w:val="both"/>
        <w:ind w:firstLine="485"/>
        <w:spacing w:after="0" w:line="272" w:lineRule="auto"/>
        <w:rPr>
          <w:sz w:val="20"/>
          <w:szCs w:val="20"/>
          <w:color w:val="auto"/>
        </w:rPr>
      </w:pPr>
      <w:r>
        <w:rPr>
          <w:rFonts w:ascii="Times New Roman" w:cs="Times New Roman" w:eastAsia="Times New Roman" w:hAnsi="Times New Roman"/>
          <w:sz w:val="13"/>
          <w:szCs w:val="13"/>
          <w:color w:val="auto"/>
        </w:rPr>
        <w:t>(b)          </w:t>
      </w:r>
      <w:r>
        <w:rPr>
          <w:rFonts w:ascii="Times New Roman" w:cs="Times New Roman" w:eastAsia="Times New Roman" w:hAnsi="Times New Roman"/>
          <w:sz w:val="13"/>
          <w:szCs w:val="13"/>
          <w:u w:val="single" w:color="auto"/>
          <w:color w:val="auto"/>
        </w:rPr>
        <w:t>  Documents Required to be Delivered on each Issuance Notice Date</w:t>
      </w:r>
      <w:r>
        <w:rPr>
          <w:rFonts w:ascii="Times New Roman" w:cs="Times New Roman" w:eastAsia="Times New Roman" w:hAnsi="Times New Roman"/>
          <w:sz w:val="13"/>
          <w:szCs w:val="13"/>
          <w:color w:val="auto"/>
        </w:rPr>
        <w:t>. The Agents’ obligation to use their commercially reasonable efforts to place Shares hereunder shall additionally be conditioned upon the delivery to the Agents on or before the Issuance Notice Date of a certificate in form and substance reasonably satisfactory to the Agents, executed by the Chief Executive Officer, President or Chief Financial Officer of the Company, to the effect that all conditions to the delivery of such Issuance Notice shall have been satisfied as at the date of such certificate (which certificate shall not be required if the foregoing representations shall be set forth in the Issuance Notice).</w:t>
      </w:r>
    </w:p>
    <w:p>
      <w:pPr>
        <w:spacing w:after="0" w:line="131" w:lineRule="exact"/>
        <w:rPr>
          <w:sz w:val="20"/>
          <w:szCs w:val="20"/>
          <w:color w:val="auto"/>
        </w:rPr>
      </w:pPr>
    </w:p>
    <w:p>
      <w:pPr>
        <w:jc w:val="both"/>
        <w:ind w:firstLine="485"/>
        <w:spacing w:after="0" w:line="279" w:lineRule="auto"/>
        <w:rPr>
          <w:sz w:val="20"/>
          <w:szCs w:val="20"/>
          <w:color w:val="auto"/>
        </w:rPr>
      </w:pPr>
      <w:r>
        <w:rPr>
          <w:rFonts w:ascii="Times New Roman" w:cs="Times New Roman" w:eastAsia="Times New Roman" w:hAnsi="Times New Roman"/>
          <w:sz w:val="13"/>
          <w:szCs w:val="13"/>
          <w:color w:val="auto"/>
        </w:rPr>
        <w:t>(c)          </w:t>
      </w:r>
      <w:r>
        <w:rPr>
          <w:rFonts w:ascii="Times New Roman" w:cs="Times New Roman" w:eastAsia="Times New Roman" w:hAnsi="Times New Roman"/>
          <w:sz w:val="13"/>
          <w:szCs w:val="13"/>
          <w:u w:val="single" w:color="auto"/>
          <w:color w:val="auto"/>
        </w:rPr>
        <w:t>  No Misstatement or Material Omission</w:t>
      </w:r>
      <w:r>
        <w:rPr>
          <w:rFonts w:ascii="Times New Roman" w:cs="Times New Roman" w:eastAsia="Times New Roman" w:hAnsi="Times New Roman"/>
          <w:sz w:val="13"/>
          <w:szCs w:val="13"/>
          <w:color w:val="auto"/>
        </w:rPr>
        <w:t>. Agents shall not have advised the Company that the Registration Statement, the Prospectus or the Time of Sale Information,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spacing w:after="0" w:line="125" w:lineRule="exact"/>
        <w:rPr>
          <w:sz w:val="20"/>
          <w:szCs w:val="20"/>
          <w:color w:val="auto"/>
        </w:rPr>
      </w:pPr>
    </w:p>
    <w:p>
      <w:pPr>
        <w:jc w:val="both"/>
        <w:ind w:firstLine="485"/>
        <w:spacing w:after="0" w:line="279" w:lineRule="auto"/>
        <w:rPr>
          <w:sz w:val="20"/>
          <w:szCs w:val="20"/>
          <w:color w:val="auto"/>
        </w:rPr>
      </w:pPr>
      <w:r>
        <w:rPr>
          <w:rFonts w:ascii="Times New Roman" w:cs="Times New Roman" w:eastAsia="Times New Roman" w:hAnsi="Times New Roman"/>
          <w:sz w:val="13"/>
          <w:szCs w:val="13"/>
          <w:color w:val="auto"/>
        </w:rPr>
        <w:t>(d)          </w:t>
      </w:r>
      <w:r>
        <w:rPr>
          <w:rFonts w:ascii="Times New Roman" w:cs="Times New Roman" w:eastAsia="Times New Roman" w:hAnsi="Times New Roman"/>
          <w:sz w:val="13"/>
          <w:szCs w:val="13"/>
          <w:u w:val="single" w:color="auto"/>
          <w:color w:val="auto"/>
        </w:rPr>
        <w:t>  Agents Counsel Legal Opinion</w:t>
      </w:r>
      <w:r>
        <w:rPr>
          <w:rFonts w:ascii="Times New Roman" w:cs="Times New Roman" w:eastAsia="Times New Roman" w:hAnsi="Times New Roman"/>
          <w:sz w:val="13"/>
          <w:szCs w:val="13"/>
          <w:color w:val="auto"/>
        </w:rPr>
        <w:t xml:space="preserve">. The Agents shall have received from Cooley LLP, counsel for Agents, such opinion or opinions, on or before the date on which the delivery of the Company counsel legal opinion is required pursuant to </w:t>
      </w:r>
      <w:r>
        <w:rPr>
          <w:rFonts w:ascii="Times New Roman" w:cs="Times New Roman" w:eastAsia="Times New Roman" w:hAnsi="Times New Roman"/>
          <w:sz w:val="13"/>
          <w:szCs w:val="13"/>
          <w:u w:val="single" w:color="auto"/>
          <w:color w:val="auto"/>
        </w:rPr>
        <w:t>Section 4(p)</w:t>
      </w:r>
      <w:r>
        <w:rPr>
          <w:rFonts w:ascii="Times New Roman" w:cs="Times New Roman" w:eastAsia="Times New Roman" w:hAnsi="Times New Roman"/>
          <w:sz w:val="13"/>
          <w:szCs w:val="13"/>
          <w:color w:val="auto"/>
        </w:rPr>
        <w:t>, with respect to such matters as Agents may reasonably require, and the Company shall have furnished to such counsel such documents as they request for enabling them to pass upon such matters.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Section 6.        INDEMNIFICATION AND CONTRIBUTION</w:t>
      </w:r>
    </w:p>
    <w:p>
      <w:pPr>
        <w:spacing w:after="0" w:line="178" w:lineRule="exact"/>
        <w:rPr>
          <w:sz w:val="20"/>
          <w:szCs w:val="20"/>
          <w:color w:val="auto"/>
        </w:rPr>
      </w:pPr>
    </w:p>
    <w:p>
      <w:pPr>
        <w:jc w:val="both"/>
        <w:ind w:firstLine="485"/>
        <w:spacing w:after="0" w:line="262" w:lineRule="auto"/>
        <w:rPr>
          <w:sz w:val="20"/>
          <w:szCs w:val="20"/>
          <w:color w:val="auto"/>
        </w:rPr>
      </w:pPr>
      <w:r>
        <w:rPr>
          <w:rFonts w:ascii="Times New Roman" w:cs="Times New Roman" w:eastAsia="Times New Roman" w:hAnsi="Times New Roman"/>
          <w:sz w:val="13"/>
          <w:szCs w:val="13"/>
          <w:color w:val="auto"/>
        </w:rPr>
        <w:t>(a)          </w:t>
      </w:r>
      <w:r>
        <w:rPr>
          <w:rFonts w:ascii="Times New Roman" w:cs="Times New Roman" w:eastAsia="Times New Roman" w:hAnsi="Times New Roman"/>
          <w:sz w:val="13"/>
          <w:szCs w:val="13"/>
          <w:u w:val="single" w:color="auto"/>
          <w:color w:val="auto"/>
        </w:rPr>
        <w:t>  Indemnification of the Agents</w:t>
      </w:r>
      <w:r>
        <w:rPr>
          <w:rFonts w:ascii="Times New Roman" w:cs="Times New Roman" w:eastAsia="Times New Roman" w:hAnsi="Times New Roman"/>
          <w:sz w:val="13"/>
          <w:szCs w:val="13"/>
          <w:color w:val="auto"/>
        </w:rPr>
        <w:t xml:space="preserve">. The Company agrees to indemnify and hold harmless the Agents, their officers and employees, and each person, if any, who controls the Agents within the meaning of the Securities Act or the Exchange Act against any loss, claim, damage, liability or expense, as incurred, to which the Agents or such officer, employee or controlling person may become subject, under the Securities Act, the Exchange Act, other federal or state statutory law or regulation, or the laws or regulations of foreign jurisdictions where Shares have been offered or sold or at common law or otherwise (including in settlement of any litigation), insofar as such loss, claim, damage, liability or expense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and to reimburse the Agents and each such officer, employee and controlling person for any and all documented expenses (including the reasonable and documented fees and disbursements of counsel chosen by the Agents) as such expenses are reasonably incurred by the Agents or such officer, employee or controlling person in connection with investigating, defending, settling, compromising or paying any such loss, claim, damage, liability, expense or action; provided, however,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written information furnished to the Company by the Agents expressly for use in the Registration Statement, any such Free Writing Prospectus or the Prospectus (or any amendment or supplement thereto), it being understood and agreed that the only such information furnished by the Agents to the Company consists of the information described in </w:t>
      </w:r>
      <w:r>
        <w:rPr>
          <w:rFonts w:ascii="Times New Roman" w:cs="Times New Roman" w:eastAsia="Times New Roman" w:hAnsi="Times New Roman"/>
          <w:sz w:val="13"/>
          <w:szCs w:val="13"/>
          <w:u w:val="single" w:color="auto"/>
          <w:color w:val="auto"/>
        </w:rPr>
        <w:t>Section 6(b)</w:t>
      </w:r>
      <w:r>
        <w:rPr>
          <w:rFonts w:ascii="Times New Roman" w:cs="Times New Roman" w:eastAsia="Times New Roman" w:hAnsi="Times New Roman"/>
          <w:sz w:val="13"/>
          <w:szCs w:val="13"/>
          <w:color w:val="auto"/>
        </w:rPr>
        <w:t xml:space="preserve"> below. The indemnity agreement set forth in this </w:t>
      </w:r>
      <w:r>
        <w:rPr>
          <w:rFonts w:ascii="Times New Roman" w:cs="Times New Roman" w:eastAsia="Times New Roman" w:hAnsi="Times New Roman"/>
          <w:sz w:val="13"/>
          <w:szCs w:val="13"/>
          <w:u w:val="single" w:color="auto"/>
          <w:color w:val="auto"/>
        </w:rPr>
        <w:t>Section 6(a)</w:t>
      </w:r>
      <w:r>
        <w:rPr>
          <w:rFonts w:ascii="Times New Roman" w:cs="Times New Roman" w:eastAsia="Times New Roman" w:hAnsi="Times New Roman"/>
          <w:sz w:val="13"/>
          <w:szCs w:val="13"/>
          <w:color w:val="auto"/>
        </w:rPr>
        <w:t xml:space="preserve"> shall be in addition to any liabilities that the Company may otherwise have.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9">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3" w:right="319" w:bottom="1440" w:gutter="0" w:footer="0" w:header="0"/>
        </w:sectPr>
      </w:pPr>
    </w:p>
    <w:bookmarkStart w:id="80" w:name="page81"/>
    <w:bookmarkEnd w:id="80"/>
    <w:p>
      <w:pPr>
        <w:jc w:val="both"/>
        <w:ind w:firstLine="485"/>
        <w:spacing w:after="0" w:line="262" w:lineRule="auto"/>
        <w:rPr>
          <w:sz w:val="20"/>
          <w:szCs w:val="20"/>
          <w:color w:val="auto"/>
        </w:rPr>
      </w:pPr>
      <w:r>
        <w:rPr>
          <w:rFonts w:ascii="Times New Roman" w:cs="Times New Roman" w:eastAsia="Times New Roman" w:hAnsi="Times New Roman"/>
          <w:sz w:val="13"/>
          <w:szCs w:val="13"/>
          <w:color w:val="auto"/>
        </w:rPr>
        <w:t>(b)          </w:t>
      </w:r>
      <w:r>
        <w:rPr>
          <w:rFonts w:ascii="Times New Roman" w:cs="Times New Roman" w:eastAsia="Times New Roman" w:hAnsi="Times New Roman"/>
          <w:sz w:val="13"/>
          <w:szCs w:val="13"/>
          <w:u w:val="single" w:color="auto"/>
          <w:color w:val="auto"/>
        </w:rPr>
        <w:t>  Indemnification of the Company, its Directors and Officers</w:t>
      </w:r>
      <w:r>
        <w:rPr>
          <w:rFonts w:ascii="Times New Roman" w:cs="Times New Roman" w:eastAsia="Times New Roman" w:hAnsi="Times New Roman"/>
          <w:sz w:val="13"/>
          <w:szCs w:val="13"/>
          <w:color w:val="auto"/>
        </w:rPr>
        <w:t xml:space="preserve">. Each Agent, severally but not jointly, agrees to indemnify and hold 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the laws or regulations of foreign jurisdictions where Shares have been offered or sold or at common law or otherwise (including in settlement of any litigation), that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but, for each of (i) and (ii) above, only to the extent arising out of or based upon any untrue statement or alleged untrue statement or omission or alleged omission made in reliance upon and in conformity with written information furnished to the Company by the Agents expressly for use in the Registration Statement, any such Free Writing Prospectus or the Prospectus (or any amendment or supplement thereto), it being understood and agreed that the only such information furnished by the Agents to the Company consists of the information set forth in the first sentence of the ninth paragraph under the caption “Plan of Distribution” in the Prospectus, and to reimburse the Company and each such director, officer and controlling person for any and all expenses (including the fees and disbursements of one counsel chosen by the Company) as such expenses are reasonably incurred by the Company or such officer, director or controlling person in connection with investigating, defending, settling, compromising or paying any such loss, claim, damage, liability, expense or action. The indemnity agreement set forth in this </w:t>
      </w:r>
      <w:r>
        <w:rPr>
          <w:rFonts w:ascii="Times New Roman" w:cs="Times New Roman" w:eastAsia="Times New Roman" w:hAnsi="Times New Roman"/>
          <w:sz w:val="13"/>
          <w:szCs w:val="13"/>
          <w:u w:val="single" w:color="auto"/>
          <w:color w:val="auto"/>
        </w:rPr>
        <w:t>Section 6(b)</w:t>
      </w:r>
      <w:r>
        <w:rPr>
          <w:rFonts w:ascii="Times New Roman" w:cs="Times New Roman" w:eastAsia="Times New Roman" w:hAnsi="Times New Roman"/>
          <w:sz w:val="13"/>
          <w:szCs w:val="13"/>
          <w:color w:val="auto"/>
        </w:rPr>
        <w:t xml:space="preserve"> shall be in addition to any liabilities that the Agents or the Company may otherwise have.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0">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3" w:right="319" w:bottom="1440" w:gutter="0" w:footer="0" w:header="0"/>
        </w:sectPr>
      </w:pPr>
    </w:p>
    <w:bookmarkStart w:id="81" w:name="page82"/>
    <w:bookmarkEnd w:id="81"/>
    <w:p>
      <w:pPr>
        <w:ind w:left="480"/>
        <w:spacing w:after="0"/>
        <w:rPr>
          <w:sz w:val="20"/>
          <w:szCs w:val="20"/>
          <w:color w:val="auto"/>
        </w:rPr>
      </w:pPr>
      <w:r>
        <w:rPr>
          <w:rFonts w:ascii="Times New Roman" w:cs="Times New Roman" w:eastAsia="Times New Roman" w:hAnsi="Times New Roman"/>
          <w:sz w:val="13"/>
          <w:szCs w:val="13"/>
          <w:color w:val="auto"/>
        </w:rPr>
        <w:t>(c)          </w:t>
      </w:r>
      <w:r>
        <w:rPr>
          <w:rFonts w:ascii="Times New Roman" w:cs="Times New Roman" w:eastAsia="Times New Roman" w:hAnsi="Times New Roman"/>
          <w:sz w:val="13"/>
          <w:szCs w:val="13"/>
          <w:u w:val="single" w:color="auto"/>
          <w:color w:val="auto"/>
        </w:rPr>
        <w:t>  Notifications and Other Indemnification Procedures</w:t>
      </w:r>
      <w:r>
        <w:rPr>
          <w:rFonts w:ascii="Times New Roman" w:cs="Times New Roman" w:eastAsia="Times New Roman" w:hAnsi="Times New Roman"/>
          <w:sz w:val="13"/>
          <w:szCs w:val="13"/>
          <w:color w:val="auto"/>
        </w:rPr>
        <w:t>. Promptly after receipt by an indemnified party under this Section‎ 6 of notice of the commencement of any action, such indemnified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4381500</wp:posOffset>
            </wp:positionH>
            <wp:positionV relativeFrom="paragraph">
              <wp:posOffset>-2540</wp:posOffset>
            </wp:positionV>
            <wp:extent cx="320675"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1">
                      <a:extLst>
                        <a:ext uri="{28A0092B-C50C-407E-A947-70E740481C1C}"/>
                      </a:extLst>
                    </a:blip>
                    <a:srcRect/>
                    <a:stretch>
                      <a:fillRect/>
                    </a:stretch>
                  </pic:blipFill>
                  <pic:spPr bwMode="auto">
                    <a:xfrm>
                      <a:off x="0" y="0"/>
                      <a:ext cx="320675" cy="635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will, if a claim in respect thereof is to be made against an indemnifying party under this Section‎ 6, notify the indemnifying party in writing of the commencement thereof, but the omission to so notify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-10795</wp:posOffset>
            </wp:positionV>
            <wp:extent cx="327025"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2">
                      <a:extLst>
                        <a:ext uri="{28A0092B-C50C-407E-A947-70E740481C1C}"/>
                      </a:extLst>
                    </a:blip>
                    <a:srcRect/>
                    <a:stretch>
                      <a:fillRect/>
                    </a:stretch>
                  </pic:blipFill>
                  <pic:spPr bwMode="auto">
                    <a:xfrm>
                      <a:off x="0" y="0"/>
                      <a:ext cx="327025" cy="6350"/>
                    </a:xfrm>
                    <a:prstGeom prst="rect">
                      <a:avLst/>
                    </a:prstGeom>
                    <a:noFill/>
                  </pic:spPr>
                </pic:pic>
              </a:graphicData>
            </a:graphic>
          </wp:anchor>
        </w:drawing>
      </w:r>
    </w:p>
    <w:p>
      <w:pPr>
        <w:jc w:val="both"/>
        <w:spacing w:after="0" w:line="260" w:lineRule="auto"/>
        <w:rPr>
          <w:sz w:val="20"/>
          <w:szCs w:val="20"/>
          <w:color w:val="auto"/>
        </w:rPr>
      </w:pPr>
      <w:r>
        <w:rPr>
          <w:rFonts w:ascii="Times New Roman" w:cs="Times New Roman" w:eastAsia="Times New Roman" w:hAnsi="Times New Roman"/>
          <w:sz w:val="13"/>
          <w:szCs w:val="13"/>
          <w:color w:val="auto"/>
        </w:rPr>
        <w:t xml:space="preserve">indemnifying party will not relieve it from any liability which it may have to any indemnified party for contribution or otherwise than under the indemnity agreement contained in this ‎Section 6 or to the extent it is not prejudiced as a proximate result of such failure.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provided, however, if the defendants in any such action include both the indemnified party and the indemnifying party and the indemnified party shall have reasonably concluded, based on the advice of counsel,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 xml:space="preserve">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indemnified party (in the case of counsel for the indemnified parties referred to in ‎Section 6(a) and </w:t>
      </w:r>
      <w:r>
        <w:rPr>
          <w:rFonts w:ascii="Times New Roman" w:cs="Times New Roman" w:eastAsia="Times New Roman" w:hAnsi="Times New Roman"/>
          <w:sz w:val="13"/>
          <w:szCs w:val="13"/>
          <w:u w:val="single" w:color="auto"/>
          <w:color w:val="auto"/>
        </w:rPr>
        <w:t>Section 6(b)</w:t>
      </w:r>
      <w:r>
        <w:rPr>
          <w:rFonts w:ascii="Times New Roman" w:cs="Times New Roman" w:eastAsia="Times New Roman" w:hAnsi="Times New Roman"/>
          <w:sz w:val="13"/>
          <w:szCs w:val="13"/>
          <w:color w:val="auto"/>
        </w:rPr>
        <w:t xml:space="preserve"> above),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6304280</wp:posOffset>
            </wp:positionH>
            <wp:positionV relativeFrom="paragraph">
              <wp:posOffset>-1457960</wp:posOffset>
            </wp:positionV>
            <wp:extent cx="320675"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3">
                      <a:extLst>
                        <a:ext uri="{28A0092B-C50C-407E-A947-70E740481C1C}"/>
                      </a:extLst>
                    </a:blip>
                    <a:srcRect/>
                    <a:stretch>
                      <a:fillRect/>
                    </a:stretch>
                  </pic:blipFill>
                  <pic:spPr bwMode="auto">
                    <a:xfrm>
                      <a:off x="0" y="0"/>
                      <a:ext cx="320675" cy="635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-226060</wp:posOffset>
            </wp:positionV>
            <wp:extent cx="415290"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4">
                      <a:extLst>
                        <a:ext uri="{28A0092B-C50C-407E-A947-70E740481C1C}"/>
                      </a:extLst>
                    </a:blip>
                    <a:srcRect/>
                    <a:stretch>
                      <a:fillRect/>
                    </a:stretch>
                  </pic:blipFill>
                  <pic:spPr bwMode="auto">
                    <a:xfrm>
                      <a:off x="0" y="0"/>
                      <a:ext cx="415290" cy="6350"/>
                    </a:xfrm>
                    <a:prstGeom prst="rect">
                      <a:avLst/>
                    </a:prstGeom>
                    <a:noFill/>
                  </pic:spPr>
                </pic:pic>
              </a:graphicData>
            </a:graphic>
          </wp:anchor>
        </w:drawing>
      </w:r>
    </w:p>
    <w:p>
      <w:pPr>
        <w:spacing w:after="0" w:line="125" w:lineRule="exact"/>
        <w:rPr>
          <w:sz w:val="20"/>
          <w:szCs w:val="20"/>
          <w:color w:val="auto"/>
        </w:rPr>
      </w:pPr>
    </w:p>
    <w:p>
      <w:pPr>
        <w:jc w:val="both"/>
        <w:ind w:firstLine="485"/>
        <w:spacing w:after="0" w:line="265" w:lineRule="auto"/>
        <w:rPr>
          <w:sz w:val="20"/>
          <w:szCs w:val="20"/>
          <w:color w:val="auto"/>
        </w:rPr>
      </w:pPr>
      <w:r>
        <w:rPr>
          <w:rFonts w:ascii="Times New Roman" w:cs="Times New Roman" w:eastAsia="Times New Roman" w:hAnsi="Times New Roman"/>
          <w:sz w:val="13"/>
          <w:szCs w:val="13"/>
          <w:color w:val="auto"/>
        </w:rPr>
        <w:t>(d)          </w:t>
      </w:r>
      <w:r>
        <w:rPr>
          <w:rFonts w:ascii="Times New Roman" w:cs="Times New Roman" w:eastAsia="Times New Roman" w:hAnsi="Times New Roman"/>
          <w:sz w:val="13"/>
          <w:szCs w:val="13"/>
          <w:u w:val="single" w:color="auto"/>
          <w:color w:val="auto"/>
        </w:rPr>
        <w:t>  Settlements</w:t>
      </w:r>
      <w:r>
        <w:rPr>
          <w:rFonts w:ascii="Times New Roman" w:cs="Times New Roman" w:eastAsia="Times New Roman" w:hAnsi="Times New Roman"/>
          <w:sz w:val="13"/>
          <w:szCs w:val="13"/>
          <w:color w:val="auto"/>
        </w:rPr>
        <w:t xml:space="preserve">. The indemnifying party under this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 xml:space="preserve">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w:t>
      </w:r>
      <w:r>
        <w:rPr>
          <w:rFonts w:ascii="Times New Roman" w:cs="Times New Roman" w:eastAsia="Times New Roman" w:hAnsi="Times New Roman"/>
          <w:sz w:val="13"/>
          <w:szCs w:val="13"/>
          <w:u w:val="single" w:color="auto"/>
          <w:color w:val="auto"/>
        </w:rPr>
        <w:t>Section 6(c)</w:t>
      </w:r>
      <w:r>
        <w:rPr>
          <w:rFonts w:ascii="Times New Roman" w:cs="Times New Roman" w:eastAsia="Times New Roman" w:hAnsi="Times New Roman"/>
          <w:sz w:val="13"/>
          <w:szCs w:val="13"/>
          <w:color w:val="auto"/>
        </w:rPr>
        <w:t xml:space="preserve"> hereof,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5">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3" w:right="319" w:bottom="1440" w:gutter="0" w:footer="0" w:header="0"/>
        </w:sectPr>
      </w:pPr>
    </w:p>
    <w:bookmarkStart w:id="82" w:name="page83"/>
    <w:bookmarkEnd w:id="82"/>
    <w:p>
      <w:pPr>
        <w:jc w:val="both"/>
        <w:ind w:firstLine="485"/>
        <w:spacing w:after="0" w:line="263" w:lineRule="auto"/>
        <w:rPr>
          <w:sz w:val="20"/>
          <w:szCs w:val="20"/>
          <w:color w:val="auto"/>
        </w:rPr>
      </w:pPr>
      <w:r>
        <w:rPr>
          <w:rFonts w:ascii="Times New Roman" w:cs="Times New Roman" w:eastAsia="Times New Roman" w:hAnsi="Times New Roman"/>
          <w:sz w:val="13"/>
          <w:szCs w:val="13"/>
          <w:color w:val="auto"/>
        </w:rPr>
        <w:t>(e)          </w:t>
      </w:r>
      <w:r>
        <w:rPr>
          <w:rFonts w:ascii="Times New Roman" w:cs="Times New Roman" w:eastAsia="Times New Roman" w:hAnsi="Times New Roman"/>
          <w:sz w:val="13"/>
          <w:szCs w:val="13"/>
          <w:u w:val="single" w:color="auto"/>
          <w:color w:val="auto"/>
        </w:rPr>
        <w:t>  Contribution</w:t>
      </w:r>
      <w:r>
        <w:rPr>
          <w:rFonts w:ascii="Times New Roman" w:cs="Times New Roman" w:eastAsia="Times New Roman" w:hAnsi="Times New Roman"/>
          <w:sz w:val="13"/>
          <w:szCs w:val="13"/>
          <w:color w:val="auto"/>
        </w:rPr>
        <w:t>. If the indemnification provided for in this Section‎ 6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Agents, on the other hand, from the offering of the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Agents, on the other hand, in connection with the statements or omissions which resulted in such losses, claims, damages, liabilities or expenses, as well as any other relevant equitable considerations. The relative benefits received by the Company, on the one hand, and the Agents, on the other hand, in connection with the offering of the Shares pursuant to this Agreement shall be deemed to be in the same respective proportions as the total gross proceeds from the offering of the Shares (before deducting expenses) received by the Company bear to the total Selling Commission received by the Agents. The relative fault of the Company, on the one hand, and the Agent, on the other hand, shall be determined by reference to, among other things, whether any such untrue or alleged untrue statement of a material fact or omission or alleged omission to state a material fact relates to information supplied by the Company, on the one hand, or the Agents, on the other hand, and the parties’ relative intent, knowledge, access to information and opportunity to correct or prevent such statement or omission.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-948055</wp:posOffset>
            </wp:positionV>
            <wp:extent cx="320675"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6">
                      <a:extLst>
                        <a:ext uri="{28A0092B-C50C-407E-A947-70E740481C1C}"/>
                      </a:extLst>
                    </a:blip>
                    <a:srcRect/>
                    <a:stretch>
                      <a:fillRect/>
                    </a:stretch>
                  </pic:blipFill>
                  <pic:spPr bwMode="auto">
                    <a:xfrm>
                      <a:off x="0" y="0"/>
                      <a:ext cx="320675" cy="6350"/>
                    </a:xfrm>
                    <a:prstGeom prst="rect">
                      <a:avLst/>
                    </a:prstGeom>
                    <a:noFill/>
                  </pic:spPr>
                </pic:pic>
              </a:graphicData>
            </a:graphic>
          </wp:anchor>
        </w:drawing>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The amount paid or payable by a party as a result of the losses, claims, damages, liabilities and expenses referred to above shall be deemed to include, subject to the limitations set forth in Section‎ 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6726555</wp:posOffset>
            </wp:positionH>
            <wp:positionV relativeFrom="paragraph">
              <wp:posOffset>-2540</wp:posOffset>
            </wp:positionV>
            <wp:extent cx="415290"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7">
                      <a:extLst>
                        <a:ext uri="{28A0092B-C50C-407E-A947-70E740481C1C}"/>
                      </a:extLst>
                    </a:blip>
                    <a:srcRect/>
                    <a:stretch>
                      <a:fillRect/>
                    </a:stretch>
                  </pic:blipFill>
                  <pic:spPr bwMode="auto">
                    <a:xfrm>
                      <a:off x="0" y="0"/>
                      <a:ext cx="415290" cy="635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any reasonable and documented legal or other fees or expenses reasonably incurred by such party in connection with investigating or defending any action or claim. The provisions set forth in Section‎ 6(c)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6576060</wp:posOffset>
            </wp:positionH>
            <wp:positionV relativeFrom="paragraph">
              <wp:posOffset>-10795</wp:posOffset>
            </wp:positionV>
            <wp:extent cx="415290"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8">
                      <a:extLst>
                        <a:ext uri="{28A0092B-C50C-407E-A947-70E740481C1C}"/>
                      </a:extLst>
                    </a:blip>
                    <a:srcRect/>
                    <a:stretch>
                      <a:fillRect/>
                    </a:stretch>
                  </pic:blipFill>
                  <pic:spPr bwMode="auto">
                    <a:xfrm>
                      <a:off x="0" y="0"/>
                      <a:ext cx="415290" cy="63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3"/>
          <w:szCs w:val="13"/>
          <w:color w:val="auto"/>
        </w:rPr>
        <w:t>respect to notice of commencement of any action shall apply if a claim for contribution is to be made under this Section‎ 6(e); provided, however, that no additional notice shall be required with respect to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3891915</wp:posOffset>
            </wp:positionH>
            <wp:positionV relativeFrom="paragraph">
              <wp:posOffset>-10795</wp:posOffset>
            </wp:positionV>
            <wp:extent cx="415290"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9">
                      <a:extLst>
                        <a:ext uri="{28A0092B-C50C-407E-A947-70E740481C1C}"/>
                      </a:extLst>
                    </a:blip>
                    <a:srcRect/>
                    <a:stretch>
                      <a:fillRect/>
                    </a:stretch>
                  </pic:blipFill>
                  <pic:spPr bwMode="auto">
                    <a:xfrm>
                      <a:off x="0" y="0"/>
                      <a:ext cx="415290" cy="63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3"/>
          <w:szCs w:val="13"/>
          <w:color w:val="auto"/>
        </w:rPr>
        <w:t>action for which notice has been given under Section‎ 6(c) for purposes of indemnification.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1558290</wp:posOffset>
            </wp:positionH>
            <wp:positionV relativeFrom="paragraph">
              <wp:posOffset>-10795</wp:posOffset>
            </wp:positionV>
            <wp:extent cx="415290"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0">
                      <a:extLst>
                        <a:ext uri="{28A0092B-C50C-407E-A947-70E740481C1C}"/>
                      </a:extLst>
                    </a:blip>
                    <a:srcRect/>
                    <a:stretch>
                      <a:fillRect/>
                    </a:stretch>
                  </pic:blipFill>
                  <pic:spPr bwMode="auto">
                    <a:xfrm>
                      <a:off x="0" y="0"/>
                      <a:ext cx="415290" cy="6350"/>
                    </a:xfrm>
                    <a:prstGeom prst="rect">
                      <a:avLst/>
                    </a:prstGeom>
                    <a:noFill/>
                  </pic:spPr>
                </pic:pic>
              </a:graphicData>
            </a:graphic>
          </wp:anchor>
        </w:drawing>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1">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3" w:right="319" w:bottom="1440" w:gutter="0" w:footer="0" w:header="0"/>
        </w:sectPr>
      </w:pPr>
    </w:p>
    <w:bookmarkStart w:id="83" w:name="page84"/>
    <w:bookmarkEnd w:id="83"/>
    <w:p>
      <w:pPr>
        <w:ind w:left="480"/>
        <w:spacing w:after="0"/>
        <w:rPr>
          <w:sz w:val="20"/>
          <w:szCs w:val="20"/>
          <w:color w:val="auto"/>
        </w:rPr>
      </w:pPr>
      <w:r>
        <w:rPr>
          <w:rFonts w:ascii="Times New Roman" w:cs="Times New Roman" w:eastAsia="Times New Roman" w:hAnsi="Times New Roman"/>
          <w:sz w:val="13"/>
          <w:szCs w:val="13"/>
          <w:color w:val="auto"/>
        </w:rPr>
        <w:t>The Company and the Agents agree that it would not be just and equitable if contribution pursuant to this Section‎ 6(e) were determined by pro rata allocation or by any other method of 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4045585</wp:posOffset>
            </wp:positionH>
            <wp:positionV relativeFrom="paragraph">
              <wp:posOffset>-2540</wp:posOffset>
            </wp:positionV>
            <wp:extent cx="422275"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2">
                      <a:extLst>
                        <a:ext uri="{28A0092B-C50C-407E-A947-70E740481C1C}"/>
                      </a:extLst>
                    </a:blip>
                    <a:srcRect/>
                    <a:stretch>
                      <a:fillRect/>
                    </a:stretch>
                  </pic:blipFill>
                  <pic:spPr bwMode="auto">
                    <a:xfrm>
                      <a:off x="0" y="0"/>
                      <a:ext cx="422275" cy="635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which does not take account of the equitable considerations referred to in this Section</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 6(e).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-10795</wp:posOffset>
            </wp:positionV>
            <wp:extent cx="415290"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3">
                      <a:extLst>
                        <a:ext uri="{28A0092B-C50C-407E-A947-70E740481C1C}"/>
                      </a:extLst>
                    </a:blip>
                    <a:srcRect/>
                    <a:stretch>
                      <a:fillRect/>
                    </a:stretch>
                  </pic:blipFill>
                  <pic:spPr bwMode="auto">
                    <a:xfrm>
                      <a:off x="0" y="0"/>
                      <a:ext cx="415290" cy="6350"/>
                    </a:xfrm>
                    <a:prstGeom prst="rect">
                      <a:avLst/>
                    </a:prstGeom>
                    <a:noFill/>
                  </pic:spPr>
                </pic:pic>
              </a:graphicData>
            </a:graphic>
          </wp:anchor>
        </w:drawing>
      </w:r>
    </w:p>
    <w:p>
      <w:pPr>
        <w:spacing w:after="0" w:line="142" w:lineRule="exact"/>
        <w:rPr>
          <w:sz w:val="20"/>
          <w:szCs w:val="20"/>
          <w:color w:val="auto"/>
        </w:rPr>
      </w:pPr>
    </w:p>
    <w:p>
      <w:pPr>
        <w:jc w:val="both"/>
        <w:ind w:firstLine="485"/>
        <w:spacing w:after="0" w:line="267" w:lineRule="auto"/>
        <w:rPr>
          <w:sz w:val="20"/>
          <w:szCs w:val="20"/>
          <w:color w:val="auto"/>
        </w:rPr>
      </w:pPr>
      <w:r>
        <w:rPr>
          <w:rFonts w:ascii="Times New Roman" w:cs="Times New Roman" w:eastAsia="Times New Roman" w:hAnsi="Times New Roman"/>
          <w:sz w:val="13"/>
          <w:szCs w:val="13"/>
          <w:color w:val="auto"/>
        </w:rPr>
        <w:t xml:space="preserve">Notwithstanding the provisions of this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Section 6(e), the Agents shall not be required to contribute any amount in excess of the Selling Commission received by the Agents in connection with the offering contemplated hereby. No person guilty of fraudulent misrepresentation (within the meaning of Section 11(f) of the Securities Act) shall be entitled to contribution from any person who was not guilty of such fraudulent misrepresentation. For purposes of this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Section 6(e), each officer and employee of the Agents and each person, if any, who controls the Agents within the meaning of the Securities Act or the Exchange Act shall have the same rights to contribution as the Agents, and each director of the Company, each officer of the Company who signed the Registration Statement, and each person, if any, who controls the Company within the meaning of the Securities Act and the Exchange Act shall have the same rights to contribution as the Company. The Agents’ respective obligations to contribute pursuant to this </w:t>
      </w:r>
      <w:r>
        <w:rPr>
          <w:rFonts w:ascii="Times New Roman" w:cs="Times New Roman" w:eastAsia="Times New Roman" w:hAnsi="Times New Roman"/>
          <w:sz w:val="13"/>
          <w:szCs w:val="13"/>
          <w:u w:val="single" w:color="auto"/>
          <w:color w:val="auto"/>
        </w:rPr>
        <w:t>Section 6(e)</w:t>
      </w:r>
      <w:r>
        <w:rPr>
          <w:rFonts w:ascii="Times New Roman" w:cs="Times New Roman" w:eastAsia="Times New Roman" w:hAnsi="Times New Roman"/>
          <w:sz w:val="13"/>
          <w:szCs w:val="13"/>
          <w:color w:val="auto"/>
        </w:rPr>
        <w:t xml:space="preserve"> are several in proportion to the respective number of Shares they have sold hereunder, and not joint.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1679575</wp:posOffset>
            </wp:positionH>
            <wp:positionV relativeFrom="paragraph">
              <wp:posOffset>-541655</wp:posOffset>
            </wp:positionV>
            <wp:extent cx="422275"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4">
                      <a:extLst>
                        <a:ext uri="{28A0092B-C50C-407E-A947-70E740481C1C}"/>
                      </a:extLst>
                    </a:blip>
                    <a:srcRect/>
                    <a:stretch>
                      <a:fillRect/>
                    </a:stretch>
                  </pic:blipFill>
                  <pic:spPr bwMode="auto">
                    <a:xfrm>
                      <a:off x="0" y="0"/>
                      <a:ext cx="422275" cy="6350"/>
                    </a:xfrm>
                    <a:prstGeom prst="rect">
                      <a:avLst/>
                    </a:prstGeom>
                    <a:noFill/>
                  </pic:spPr>
                </pic:pic>
              </a:graphicData>
            </a:graphic>
          </wp:anchor>
        </w:drawing>
        <w:drawing>
          <wp:anchor simplePos="0" relativeHeight="251657728" behindDoc="1" locked="0" layoutInCell="0" allowOverlap="1">
            <wp:simplePos x="0" y="0"/>
            <wp:positionH relativeFrom="column">
              <wp:posOffset>1997710</wp:posOffset>
            </wp:positionH>
            <wp:positionV relativeFrom="paragraph">
              <wp:posOffset>-335915</wp:posOffset>
            </wp:positionV>
            <wp:extent cx="415290"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5">
                      <a:extLst>
                        <a:ext uri="{28A0092B-C50C-407E-A947-70E740481C1C}"/>
                      </a:extLst>
                    </a:blip>
                    <a:srcRect/>
                    <a:stretch>
                      <a:fillRect/>
                    </a:stretch>
                  </pic:blipFill>
                  <pic:spPr bwMode="auto">
                    <a:xfrm>
                      <a:off x="0" y="0"/>
                      <a:ext cx="415290" cy="6350"/>
                    </a:xfrm>
                    <a:prstGeom prst="rect">
                      <a:avLst/>
                    </a:prstGeom>
                    <a:noFill/>
                  </pic:spPr>
                </pic:pic>
              </a:graphicData>
            </a:graphic>
          </wp:anchor>
        </w:drawing>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Section 7.        TERMINATION &amp; SURVIVAL</w:t>
      </w:r>
    </w:p>
    <w:p>
      <w:pPr>
        <w:spacing w:after="0" w:line="1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(a)          </w:t>
      </w:r>
      <w:r>
        <w:rPr>
          <w:rFonts w:ascii="Times New Roman" w:cs="Times New Roman" w:eastAsia="Times New Roman" w:hAnsi="Times New Roman"/>
          <w:sz w:val="13"/>
          <w:szCs w:val="13"/>
          <w:u w:val="single" w:color="auto"/>
          <w:color w:val="auto"/>
        </w:rPr>
        <w:t>  Term</w:t>
      </w:r>
      <w:r>
        <w:rPr>
          <w:rFonts w:ascii="Times New Roman" w:cs="Times New Roman" w:eastAsia="Times New Roman" w:hAnsi="Times New Roman"/>
          <w:sz w:val="13"/>
          <w:szCs w:val="13"/>
          <w:color w:val="auto"/>
        </w:rPr>
        <w:t>. Subject to the provisions of this Section‎ 7, the term of this Agreement shall continue from the date of this Agreement until the end of the Agency Period, unless earlier terminated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1879600</wp:posOffset>
            </wp:positionH>
            <wp:positionV relativeFrom="paragraph">
              <wp:posOffset>-2540</wp:posOffset>
            </wp:positionV>
            <wp:extent cx="320675"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6">
                      <a:extLst>
                        <a:ext uri="{28A0092B-C50C-407E-A947-70E740481C1C}"/>
                      </a:extLst>
                    </a:blip>
                    <a:srcRect/>
                    <a:stretch>
                      <a:fillRect/>
                    </a:stretch>
                  </pic:blipFill>
                  <pic:spPr bwMode="auto">
                    <a:xfrm>
                      <a:off x="0" y="0"/>
                      <a:ext cx="320675" cy="635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parties to this Agreement pursuant to this Section‎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1432560</wp:posOffset>
            </wp:positionH>
            <wp:positionV relativeFrom="paragraph">
              <wp:posOffset>-10795</wp:posOffset>
            </wp:positionV>
            <wp:extent cx="320675"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7">
                      <a:extLst>
                        <a:ext uri="{28A0092B-C50C-407E-A947-70E740481C1C}"/>
                      </a:extLst>
                    </a:blip>
                    <a:srcRect/>
                    <a:stretch>
                      <a:fillRect/>
                    </a:stretch>
                  </pic:blipFill>
                  <pic:spPr bwMode="auto">
                    <a:xfrm>
                      <a:off x="0" y="0"/>
                      <a:ext cx="320675" cy="6350"/>
                    </a:xfrm>
                    <a:prstGeom prst="rect">
                      <a:avLst/>
                    </a:prstGeom>
                    <a:noFill/>
                  </pic:spPr>
                </pic:pic>
              </a:graphicData>
            </a:graphic>
          </wp:anchor>
        </w:drawing>
      </w:r>
    </w:p>
    <w:p>
      <w:pPr>
        <w:spacing w:after="0" w:line="14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(b)          </w:t>
      </w:r>
      <w:r>
        <w:rPr>
          <w:rFonts w:ascii="Times New Roman" w:cs="Times New Roman" w:eastAsia="Times New Roman" w:hAnsi="Times New Roman"/>
          <w:sz w:val="13"/>
          <w:szCs w:val="13"/>
          <w:u w:val="single" w:color="auto"/>
          <w:color w:val="auto"/>
        </w:rPr>
        <w:t>  Termination; Survival Following Termination</w:t>
      </w:r>
      <w:r>
        <w:rPr>
          <w:rFonts w:ascii="Times New Roman" w:cs="Times New Roman" w:eastAsia="Times New Roman" w:hAnsi="Times New Roman"/>
          <w:sz w:val="13"/>
          <w:szCs w:val="13"/>
          <w:color w:val="auto"/>
        </w:rPr>
        <w:t>.</w:t>
      </w:r>
    </w:p>
    <w:p>
      <w:pPr>
        <w:spacing w:after="0" w:line="174" w:lineRule="exact"/>
        <w:rPr>
          <w:sz w:val="20"/>
          <w:szCs w:val="20"/>
          <w:color w:val="auto"/>
        </w:rPr>
      </w:pPr>
    </w:p>
    <w:p>
      <w:pPr>
        <w:jc w:val="both"/>
        <w:ind w:firstLine="485"/>
        <w:spacing w:after="0" w:line="269" w:lineRule="auto"/>
        <w:rPr>
          <w:sz w:val="20"/>
          <w:szCs w:val="20"/>
          <w:color w:val="auto"/>
        </w:rPr>
      </w:pPr>
      <w:r>
        <w:rPr>
          <w:rFonts w:ascii="Times New Roman" w:cs="Times New Roman" w:eastAsia="Times New Roman" w:hAnsi="Times New Roman"/>
          <w:sz w:val="13"/>
          <w:szCs w:val="13"/>
          <w:color w:val="auto"/>
        </w:rPr>
        <w:t>(i)            Either party may terminate this Agreement prior to the end of the Agency Period, by giving written notice as required by this Agreement, upon ten (10) Trading Days’ notice to the other party; provided that, (A) if the Company terminates this Agreement after the Agents confirm to the Company any sale of Shares, the Company shall remain obligated to comply with Section‎ 3(b)(v) with respect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6101715</wp:posOffset>
            </wp:positionH>
            <wp:positionV relativeFrom="paragraph">
              <wp:posOffset>-17780</wp:posOffset>
            </wp:positionV>
            <wp:extent cx="520065"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8">
                      <a:extLst>
                        <a:ext uri="{28A0092B-C50C-407E-A947-70E740481C1C}"/>
                      </a:extLst>
                    </a:blip>
                    <a:srcRect/>
                    <a:stretch>
                      <a:fillRect/>
                    </a:stretch>
                  </pic:blipFill>
                  <pic:spPr bwMode="auto">
                    <a:xfrm>
                      <a:off x="0" y="0"/>
                      <a:ext cx="520065" cy="6350"/>
                    </a:xfrm>
                    <a:prstGeom prst="rect">
                      <a:avLst/>
                    </a:prstGeom>
                    <a:noFill/>
                  </pic:spPr>
                </pic:pic>
              </a:graphicData>
            </a:graphic>
          </wp:anchor>
        </w:drawing>
      </w:r>
    </w:p>
    <w:p>
      <w:pPr>
        <w:jc w:val="both"/>
        <w:spacing w:after="0" w:line="279" w:lineRule="auto"/>
        <w:rPr>
          <w:sz w:val="20"/>
          <w:szCs w:val="20"/>
          <w:color w:val="auto"/>
        </w:rPr>
      </w:pPr>
      <w:r>
        <w:rPr>
          <w:rFonts w:ascii="Times New Roman" w:cs="Times New Roman" w:eastAsia="Times New Roman" w:hAnsi="Times New Roman"/>
          <w:sz w:val="13"/>
          <w:szCs w:val="13"/>
          <w:color w:val="auto"/>
        </w:rPr>
        <w:t xml:space="preserve">such Shares and (B) Section‎ 2, Section‎ 3(d),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7</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8</w:t>
      </w:r>
      <w:r>
        <w:rPr>
          <w:rFonts w:ascii="Times New Roman" w:cs="Times New Roman" w:eastAsia="Times New Roman" w:hAnsi="Times New Roman"/>
          <w:sz w:val="13"/>
          <w:szCs w:val="13"/>
          <w:color w:val="auto"/>
        </w:rPr>
        <w:t xml:space="preserve"> shall survive termination of this Agreement. If termination shall occur prior to the Settlement Date for any sale of Shares, such sale shall nevertheless settle in accordance with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-136525</wp:posOffset>
            </wp:positionV>
            <wp:extent cx="783590"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9">
                      <a:extLst>
                        <a:ext uri="{28A0092B-C50C-407E-A947-70E740481C1C}"/>
                      </a:extLst>
                    </a:blip>
                    <a:srcRect/>
                    <a:stretch>
                      <a:fillRect/>
                    </a:stretch>
                  </pic:blipFill>
                  <pic:spPr bwMode="auto">
                    <a:xfrm>
                      <a:off x="0" y="0"/>
                      <a:ext cx="783590" cy="6350"/>
                    </a:xfrm>
                    <a:prstGeom prst="rect">
                      <a:avLst/>
                    </a:prstGeom>
                    <a:noFill/>
                  </pic:spPr>
                </pic:pic>
              </a:graphicData>
            </a:graphic>
          </wp:anchor>
        </w:drawing>
      </w:r>
    </w:p>
    <w:p>
      <w:pPr>
        <w:spacing w:after="0" w:line="105" w:lineRule="exact"/>
        <w:rPr>
          <w:sz w:val="20"/>
          <w:szCs w:val="20"/>
          <w:color w:val="auto"/>
        </w:rPr>
      </w:pPr>
    </w:p>
    <w:p>
      <w:pPr>
        <w:jc w:val="both"/>
        <w:ind w:firstLine="485"/>
        <w:spacing w:after="0" w:line="276" w:lineRule="auto"/>
        <w:rPr>
          <w:sz w:val="20"/>
          <w:szCs w:val="20"/>
          <w:color w:val="auto"/>
        </w:rPr>
      </w:pPr>
      <w:r>
        <w:rPr>
          <w:rFonts w:ascii="Times New Roman" w:cs="Times New Roman" w:eastAsia="Times New Roman" w:hAnsi="Times New Roman"/>
          <w:sz w:val="13"/>
          <w:szCs w:val="13"/>
          <w:color w:val="auto"/>
        </w:rPr>
        <w:t>(ii)            In addition to the survival provision of Section‎ 7(b)(i), the respective indemnities, agreements, representations, warranties and other statements of the Company, of its officers and of the Agents set forth in or made pursuant to this Agreement will remain in full force and effect, regardless of any investigation made by or on behalf of the Agents or the Company or any of its or their partners, officers or directors or any controlling person, as the case may be, and, anything herein to the contrary notwithstanding, will survive delivery of and payment for the Shares sold hereunder and any termination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1889760</wp:posOffset>
            </wp:positionH>
            <wp:positionV relativeFrom="paragraph">
              <wp:posOffset>-235585</wp:posOffset>
            </wp:positionV>
            <wp:extent cx="501015"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0">
                      <a:extLst>
                        <a:ext uri="{28A0092B-C50C-407E-A947-70E740481C1C}"/>
                      </a:extLst>
                    </a:blip>
                    <a:srcRect/>
                    <a:stretch>
                      <a:fillRect/>
                    </a:stretch>
                  </pic:blipFill>
                  <pic:spPr bwMode="auto">
                    <a:xfrm>
                      <a:off x="0" y="0"/>
                      <a:ext cx="501015" cy="6350"/>
                    </a:xfrm>
                    <a:prstGeom prst="rect">
                      <a:avLst/>
                    </a:prstGeom>
                    <a:noFill/>
                  </pic:spPr>
                </pic:pic>
              </a:graphicData>
            </a:graphic>
          </wp:anchor>
        </w:drawing>
      </w:r>
    </w:p>
    <w:p>
      <w:pPr>
        <w:spacing w:after="0" w:line="2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Section 8.        MISCELLANEOUS</w:t>
      </w:r>
    </w:p>
    <w:p>
      <w:pPr>
        <w:spacing w:after="0" w:line="178" w:lineRule="exact"/>
        <w:rPr>
          <w:sz w:val="20"/>
          <w:szCs w:val="20"/>
          <w:color w:val="auto"/>
        </w:rPr>
      </w:pPr>
    </w:p>
    <w:p>
      <w:pPr>
        <w:jc w:val="both"/>
        <w:ind w:firstLine="485"/>
        <w:spacing w:after="0" w:line="264" w:lineRule="auto"/>
        <w:rPr>
          <w:sz w:val="20"/>
          <w:szCs w:val="20"/>
          <w:color w:val="auto"/>
        </w:rPr>
      </w:pPr>
      <w:r>
        <w:rPr>
          <w:rFonts w:ascii="Times New Roman" w:cs="Times New Roman" w:eastAsia="Times New Roman" w:hAnsi="Times New Roman"/>
          <w:sz w:val="13"/>
          <w:szCs w:val="13"/>
          <w:color w:val="auto"/>
        </w:rPr>
        <w:t>(a)          </w:t>
      </w:r>
      <w:r>
        <w:rPr>
          <w:rFonts w:ascii="Times New Roman" w:cs="Times New Roman" w:eastAsia="Times New Roman" w:hAnsi="Times New Roman"/>
          <w:sz w:val="13"/>
          <w:szCs w:val="13"/>
          <w:u w:val="single" w:color="auto"/>
          <w:color w:val="auto"/>
        </w:rPr>
        <w:t>  Press Releases and Disclosure</w:t>
      </w:r>
      <w:r>
        <w:rPr>
          <w:rFonts w:ascii="Times New Roman" w:cs="Times New Roman" w:eastAsia="Times New Roman" w:hAnsi="Times New Roman"/>
          <w:sz w:val="13"/>
          <w:szCs w:val="13"/>
          <w:color w:val="auto"/>
        </w:rPr>
        <w:t xml:space="preserve">. The Company may issue a press release describing the material terms of the transactions contemplated hereby as soon as practicable following the date of this Agreement, and may file with the Commission a current report on Form 8-K, with this Agreement attached as an exhibit thereto, describing the material terms of the transactions contemplated hereby, and the Company shall consult with the Agents prior to making such disclosures, and the parties hereto shall use all commercially reasonable efforts, acting in good faith, to agree upon a text for such disclosures that is reasonably satisfactory to all parties hereto. No party hereto shall issue thereafter any press release or like public statement (including, without limitation, any disclosure required in reports filed with the Commission pursuant to the Exchange Act) related to this Agreement or any of the transactions contemplated hereby without the prior written approval of the other party hereto, except as may be necessary or appropriate in the reasonable opinion of the party seeking to make disclosure to comply with the requirements of applicable law or stock exchange rules and except for the disclosure required pursuant to </w:t>
      </w:r>
      <w:r>
        <w:rPr>
          <w:rFonts w:ascii="Times New Roman" w:cs="Times New Roman" w:eastAsia="Times New Roman" w:hAnsi="Times New Roman"/>
          <w:sz w:val="13"/>
          <w:szCs w:val="13"/>
          <w:u w:val="single" w:color="auto"/>
          <w:color w:val="auto"/>
        </w:rPr>
        <w:t>Section 4(a)</w:t>
      </w:r>
      <w:r>
        <w:rPr>
          <w:rFonts w:ascii="Times New Roman" w:cs="Times New Roman" w:eastAsia="Times New Roman" w:hAnsi="Times New Roman"/>
          <w:sz w:val="13"/>
          <w:szCs w:val="13"/>
          <w:color w:val="auto"/>
        </w:rPr>
        <w:t xml:space="preserve"> of this Agreement in the Company’s quarterly reports on Form 10-Q or annual reports on Form 10-K. If any such press release or like public statement is so required, the party making such disclosure shall consult with the other party prior to making such disclosure, and the parties shall use all commercially reasonable efforts, acting in good faith, to agree upon a text for such disclosure that is reasonably satisfactory to all parties hereto.</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1">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3" w:right="319" w:bottom="1440" w:gutter="0" w:footer="0" w:header="0"/>
        </w:sectPr>
      </w:pPr>
    </w:p>
    <w:bookmarkStart w:id="84" w:name="page85"/>
    <w:bookmarkEnd w:id="84"/>
    <w:p>
      <w:pPr>
        <w:jc w:val="both"/>
        <w:ind w:firstLine="485"/>
        <w:spacing w:after="0" w:line="266" w:lineRule="auto"/>
        <w:rPr>
          <w:sz w:val="20"/>
          <w:szCs w:val="20"/>
          <w:color w:val="auto"/>
        </w:rPr>
      </w:pPr>
      <w:r>
        <w:rPr>
          <w:rFonts w:ascii="Times New Roman" w:cs="Times New Roman" w:eastAsia="Times New Roman" w:hAnsi="Times New Roman"/>
          <w:sz w:val="13"/>
          <w:szCs w:val="13"/>
          <w:color w:val="auto"/>
        </w:rPr>
        <w:t>(b)          </w:t>
      </w:r>
      <w:r>
        <w:rPr>
          <w:rFonts w:ascii="Times New Roman" w:cs="Times New Roman" w:eastAsia="Times New Roman" w:hAnsi="Times New Roman"/>
          <w:sz w:val="13"/>
          <w:szCs w:val="13"/>
          <w:u w:val="single" w:color="auto"/>
          <w:color w:val="auto"/>
        </w:rPr>
        <w:t>  No Advisory or Fiduciary Relationship</w:t>
      </w:r>
      <w:r>
        <w:rPr>
          <w:rFonts w:ascii="Times New Roman" w:cs="Times New Roman" w:eastAsia="Times New Roman" w:hAnsi="Times New Roman"/>
          <w:sz w:val="13"/>
          <w:szCs w:val="13"/>
          <w:color w:val="auto"/>
        </w:rPr>
        <w:t>. The Company acknowledges and agrees that (i) the transactions contemplated by this Agreement, including the determination of any fees, are arm’s-length commercial transactions between the Company and the Agents, (ii) when acting as principals under this Agreement, the Agents are and have been acting solely as principals and are not agents or fiduciaries of the Company, or its stockholders, creditors, employees or any other party, (iii) the Agents have not assumed nor will assume an advisory or fiduciary responsibility in favor of the Company with respect to the transactions contemplated hereby or the process leading thereto (irrespective of whether the Agents have advised or are currently advising the Company on other matters) and the Agents do not have any obligation to the Company with respect to the transactions contemplated hereby except the obligations expressly set forth in this Agreement, (iv) the Agents and their Affiliates may be engaged in a broad range of transactions that involve interests that differ from those of the Company, and (v) the Agents have not provided any legal, accounting, regulatory or tax advice with respect to the transactions contemplated hereby and the Company has consulted its own legal, accounting, regulatory and tax advisors to the extent it deemed appropriate.</w:t>
      </w:r>
    </w:p>
    <w:p>
      <w:pPr>
        <w:spacing w:after="0" w:line="134" w:lineRule="exact"/>
        <w:rPr>
          <w:sz w:val="20"/>
          <w:szCs w:val="20"/>
          <w:color w:val="auto"/>
        </w:rPr>
      </w:pPr>
    </w:p>
    <w:p>
      <w:pPr>
        <w:jc w:val="both"/>
        <w:ind w:firstLine="485"/>
        <w:spacing w:after="0" w:line="269" w:lineRule="auto"/>
        <w:rPr>
          <w:sz w:val="20"/>
          <w:szCs w:val="20"/>
          <w:color w:val="auto"/>
        </w:rPr>
      </w:pPr>
      <w:r>
        <w:rPr>
          <w:rFonts w:ascii="Times New Roman" w:cs="Times New Roman" w:eastAsia="Times New Roman" w:hAnsi="Times New Roman"/>
          <w:sz w:val="13"/>
          <w:szCs w:val="13"/>
          <w:color w:val="auto"/>
        </w:rPr>
        <w:t>(c)          </w:t>
      </w:r>
      <w:r>
        <w:rPr>
          <w:rFonts w:ascii="Times New Roman" w:cs="Times New Roman" w:eastAsia="Times New Roman" w:hAnsi="Times New Roman"/>
          <w:sz w:val="13"/>
          <w:szCs w:val="13"/>
          <w:u w:val="single" w:color="auto"/>
          <w:color w:val="auto"/>
        </w:rPr>
        <w:t>  Research Analyst Independence</w:t>
      </w:r>
      <w:r>
        <w:rPr>
          <w:rFonts w:ascii="Times New Roman" w:cs="Times New Roman" w:eastAsia="Times New Roman" w:hAnsi="Times New Roman"/>
          <w:sz w:val="13"/>
          <w:szCs w:val="13"/>
          <w:color w:val="auto"/>
        </w:rPr>
        <w:t>. The Company acknowledges that the Agents’ research analysts and research departments are required to and should be independent from their respective investment banking divisions and are subject to certain regulations and internal policies, and as such the Agents’ research analysts may hold views and make statements or investment recommendations and/or publish research reports with respect to the Company or the offering that differ from the views of their respective investment banking divisions. The Company understands that the Agents are full service securities firms and as such from time to time, subject to applicable securities laws, may effect transactions for their own accounts or the accounts of their customers and hold long or short positions in debt or equity securities of the companies that may be the subject of the transactions contemplated by this Agreement.</w:t>
      </w:r>
    </w:p>
    <w:p>
      <w:pPr>
        <w:spacing w:after="0" w:line="1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(d)          </w:t>
      </w:r>
      <w:r>
        <w:rPr>
          <w:rFonts w:ascii="Times New Roman" w:cs="Times New Roman" w:eastAsia="Times New Roman" w:hAnsi="Times New Roman"/>
          <w:sz w:val="13"/>
          <w:szCs w:val="13"/>
          <w:u w:val="single" w:color="auto"/>
          <w:color w:val="auto"/>
        </w:rPr>
        <w:t>  Notices</w:t>
      </w:r>
      <w:r>
        <w:rPr>
          <w:rFonts w:ascii="Times New Roman" w:cs="Times New Roman" w:eastAsia="Times New Roman" w:hAnsi="Times New Roman"/>
          <w:sz w:val="13"/>
          <w:szCs w:val="13"/>
          <w:color w:val="auto"/>
        </w:rPr>
        <w:t>. All communications hereunder shall be in writing and shall be mailed, hand delivered, sent via electronic mail (if applicable) or telecopied and confirmed to the parties hereto as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follows:</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2">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3" w:right="319" w:bottom="1440" w:gutter="0" w:footer="0" w:header="0"/>
        </w:sectPr>
      </w:pPr>
    </w:p>
    <w:bookmarkStart w:id="85" w:name="page86"/>
    <w:bookmarkEnd w:id="85"/>
    <w:p>
      <w:pPr>
        <w:ind w:left="240"/>
        <w:spacing w:after="0"/>
        <w:rPr>
          <w:sz w:val="20"/>
          <w:szCs w:val="20"/>
          <w:color w:val="auto"/>
        </w:rPr>
      </w:pPr>
      <w:r>
        <w:rPr>
          <w:rFonts w:ascii="Times New Roman" w:cs="Times New Roman" w:eastAsia="Times New Roman" w:hAnsi="Times New Roman"/>
          <w:sz w:val="13"/>
          <w:szCs w:val="13"/>
          <w:color w:val="auto"/>
        </w:rPr>
        <w:t>If to the Agents:</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UBS Securities LLC</w:t>
      </w:r>
    </w:p>
    <w:p>
      <w:pPr>
        <w:spacing w:after="0" w:line="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11 Madison Avenue</w:t>
      </w:r>
    </w:p>
    <w:p>
      <w:pPr>
        <w:spacing w:after="0" w:line="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New York, NY 10010</w:t>
      </w:r>
    </w:p>
    <w:p>
      <w:pPr>
        <w:spacing w:after="0" w:line="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Attention: Syndicate</w:t>
      </w:r>
    </w:p>
    <w:p>
      <w:pPr>
        <w:spacing w:after="0" w:line="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 xml:space="preserve">Email: </w:t>
      </w:r>
      <w:r>
        <w:rPr>
          <w:rFonts w:ascii="Times New Roman" w:cs="Times New Roman" w:eastAsia="Times New Roman" w:hAnsi="Times New Roman"/>
          <w:sz w:val="13"/>
          <w:szCs w:val="13"/>
          <w:u w:val="single" w:color="auto"/>
          <w:color w:val="auto"/>
        </w:rPr>
        <w:t>OL-SEG@ubs.com</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Morgan Stanley &amp; Co. LLC</w:t>
      </w:r>
    </w:p>
    <w:p>
      <w:pPr>
        <w:spacing w:after="0" w:line="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1585 Broadway</w:t>
      </w:r>
    </w:p>
    <w:p>
      <w:pPr>
        <w:spacing w:after="0" w:line="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New York, NY 10036</w:t>
      </w:r>
    </w:p>
    <w:p>
      <w:pPr>
        <w:spacing w:after="0" w:line="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Attention: Equity Syndicate Desk, with a copy to the Legal Department</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Needham &amp; Company, LLC</w:t>
      </w:r>
    </w:p>
    <w:p>
      <w:pPr>
        <w:spacing w:after="0" w:line="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250 Park Avenue</w:t>
      </w:r>
    </w:p>
    <w:p>
      <w:pPr>
        <w:spacing w:after="0" w:line="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New York, NY 10177</w:t>
      </w:r>
    </w:p>
    <w:p>
      <w:pPr>
        <w:spacing w:after="0" w:line="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Attention: Capital Markets</w:t>
      </w:r>
    </w:p>
    <w:p>
      <w:pPr>
        <w:spacing w:after="0" w:line="1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with a copy (which shall not constitute notice) to:</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Cooley LLP</w:t>
      </w:r>
    </w:p>
    <w:p>
      <w:pPr>
        <w:spacing w:after="0" w:line="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55 Hudson Yards</w:t>
      </w:r>
    </w:p>
    <w:p>
      <w:pPr>
        <w:spacing w:after="0" w:line="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New York, NY 10001</w:t>
      </w:r>
    </w:p>
    <w:p>
      <w:pPr>
        <w:spacing w:after="0" w:line="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Attention: Daniel I. Goldberg, Esq.</w:t>
      </w:r>
    </w:p>
    <w:p>
      <w:pPr>
        <w:spacing w:after="0" w:line="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E-mail: dgoldberg@cooley.com</w:t>
      </w:r>
    </w:p>
    <w:p>
      <w:pPr>
        <w:spacing w:after="0" w:line="1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If to the Company:</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Navitas Semiconductor Corporation</w:t>
      </w:r>
    </w:p>
    <w:p>
      <w:pPr>
        <w:spacing w:after="0" w:line="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3520 Challenger Street</w:t>
      </w:r>
    </w:p>
    <w:p>
      <w:pPr>
        <w:spacing w:after="0" w:line="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Torrance, California 90503</w:t>
      </w:r>
    </w:p>
    <w:p>
      <w:pPr>
        <w:spacing w:after="0" w:line="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Attention: General Counsel</w:t>
      </w:r>
    </w:p>
    <w:p>
      <w:pPr>
        <w:spacing w:after="0" w:line="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E-mail: legalnotices@navitassemi.com</w:t>
      </w:r>
    </w:p>
    <w:p>
      <w:pPr>
        <w:spacing w:after="0" w:line="1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with a copy (which shall not constitute notice) to:</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Cozen O’Connor</w:t>
      </w:r>
    </w:p>
    <w:p>
      <w:pPr>
        <w:spacing w:after="0" w:line="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Three World Trade Center</w:t>
      </w:r>
    </w:p>
    <w:p>
      <w:pPr>
        <w:spacing w:after="0" w:line="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175 Greenwich Street, 56th Floor</w:t>
      </w:r>
    </w:p>
    <w:p>
      <w:pPr>
        <w:spacing w:after="0" w:line="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New York, New York 10007</w:t>
      </w:r>
    </w:p>
    <w:p>
      <w:pPr>
        <w:spacing w:after="0" w:line="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Attention: Katheryn A. Gettman, Esq. and Kevin J. Roggow, Esq.</w:t>
      </w:r>
    </w:p>
    <w:p>
      <w:pPr>
        <w:spacing w:after="0" w:line="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E-mail: kgettman@cozen.com and kroggow@cozen.com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Any party hereto may change the address for receipt of communications by giving written notice to the others in accordance with this </w:t>
      </w:r>
      <w:r>
        <w:rPr>
          <w:rFonts w:ascii="Times New Roman" w:cs="Times New Roman" w:eastAsia="Times New Roman" w:hAnsi="Times New Roman"/>
          <w:sz w:val="13"/>
          <w:szCs w:val="13"/>
          <w:u w:val="single" w:color="auto"/>
          <w:color w:val="auto"/>
        </w:rPr>
        <w:t>Section 8(d)</w:t>
      </w:r>
      <w:r>
        <w:rPr>
          <w:rFonts w:ascii="Times New Roman" w:cs="Times New Roman" w:eastAsia="Times New Roman" w:hAnsi="Times New Roman"/>
          <w:sz w:val="13"/>
          <w:szCs w:val="13"/>
          <w:color w:val="auto"/>
        </w:rPr>
        <w:t>.</w:t>
      </w:r>
    </w:p>
    <w:p>
      <w:pPr>
        <w:spacing w:after="0" w:line="3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3">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0159"/>
          </w:cols>
          <w:pgMar w:left="300" w:top="713" w:right="1440" w:bottom="1440" w:gutter="0" w:footer="0" w:header="0"/>
        </w:sectPr>
      </w:pPr>
    </w:p>
    <w:bookmarkStart w:id="86" w:name="page87"/>
    <w:bookmarkEnd w:id="86"/>
    <w:p>
      <w:pPr>
        <w:jc w:val="both"/>
        <w:ind w:firstLine="485"/>
        <w:spacing w:after="0" w:line="279" w:lineRule="auto"/>
        <w:rPr>
          <w:sz w:val="20"/>
          <w:szCs w:val="20"/>
          <w:color w:val="auto"/>
        </w:rPr>
      </w:pPr>
      <w:r>
        <w:rPr>
          <w:rFonts w:ascii="Times New Roman" w:cs="Times New Roman" w:eastAsia="Times New Roman" w:hAnsi="Times New Roman"/>
          <w:sz w:val="13"/>
          <w:szCs w:val="13"/>
          <w:color w:val="auto"/>
        </w:rPr>
        <w:t>(e)          </w:t>
      </w:r>
      <w:r>
        <w:rPr>
          <w:rFonts w:ascii="Times New Roman" w:cs="Times New Roman" w:eastAsia="Times New Roman" w:hAnsi="Times New Roman"/>
          <w:sz w:val="13"/>
          <w:szCs w:val="13"/>
          <w:u w:val="single" w:color="auto"/>
          <w:color w:val="auto"/>
        </w:rPr>
        <w:t>  Successors</w:t>
      </w:r>
      <w:r>
        <w:rPr>
          <w:rFonts w:ascii="Times New Roman" w:cs="Times New Roman" w:eastAsia="Times New Roman" w:hAnsi="Times New Roman"/>
          <w:sz w:val="13"/>
          <w:szCs w:val="13"/>
          <w:color w:val="auto"/>
        </w:rPr>
        <w:t xml:space="preserve">. This Agreement will inure to the benefit of and be binding upon the parties hereto, and to the benefit of the employees, officers and directors and controlling persons referred to in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 and in each case their respective successors, and no other Person will have any right or obligation hereunder. The term “successors” shall not include any purchaser of the Shares as such from the Agents merely by reason of such purchase.</w:t>
      </w:r>
    </w:p>
    <w:p>
      <w:pPr>
        <w:spacing w:after="0" w:line="125" w:lineRule="exact"/>
        <w:rPr>
          <w:sz w:val="20"/>
          <w:szCs w:val="20"/>
          <w:color w:val="auto"/>
        </w:rPr>
      </w:pPr>
    </w:p>
    <w:p>
      <w:pPr>
        <w:jc w:val="both"/>
        <w:ind w:firstLine="485"/>
        <w:spacing w:after="0" w:line="279" w:lineRule="auto"/>
        <w:rPr>
          <w:sz w:val="20"/>
          <w:szCs w:val="20"/>
          <w:color w:val="auto"/>
        </w:rPr>
      </w:pPr>
      <w:r>
        <w:rPr>
          <w:rFonts w:ascii="Times New Roman" w:cs="Times New Roman" w:eastAsia="Times New Roman" w:hAnsi="Times New Roman"/>
          <w:sz w:val="13"/>
          <w:szCs w:val="13"/>
          <w:color w:val="auto"/>
        </w:rPr>
        <w:t>(f)          </w:t>
      </w:r>
      <w:r>
        <w:rPr>
          <w:rFonts w:ascii="Times New Roman" w:cs="Times New Roman" w:eastAsia="Times New Roman" w:hAnsi="Times New Roman"/>
          <w:sz w:val="13"/>
          <w:szCs w:val="13"/>
          <w:u w:val="single" w:color="auto"/>
          <w:color w:val="auto"/>
        </w:rPr>
        <w:t>  Partial Unenforceability</w:t>
      </w:r>
      <w:r>
        <w:rPr>
          <w:rFonts w:ascii="Times New Roman" w:cs="Times New Roman" w:eastAsia="Times New Roman" w:hAnsi="Times New Roman"/>
          <w:sz w:val="13"/>
          <w:szCs w:val="13"/>
          <w:color w:val="auto"/>
        </w:rPr>
        <w:t>. The invalidity or unenforceability of any Article, Section, paragraph or provision of this Agreement shall not affect the validity or enforceability of any other Article, Section, paragraph or provision hereof. If any Article, Section, paragraph or provision of this Agreement is for any reason determined to be invalid or unenforceable, there shall be deemed to be made such minor changes (and only such minor changes) as are necessary to make it valid and enforceable.</w:t>
      </w:r>
    </w:p>
    <w:p>
      <w:pPr>
        <w:spacing w:after="0" w:line="125" w:lineRule="exact"/>
        <w:rPr>
          <w:sz w:val="20"/>
          <w:szCs w:val="20"/>
          <w:color w:val="auto"/>
        </w:rPr>
      </w:pPr>
    </w:p>
    <w:p>
      <w:pPr>
        <w:jc w:val="both"/>
        <w:ind w:firstLine="485"/>
        <w:spacing w:after="0" w:line="265" w:lineRule="auto"/>
        <w:rPr>
          <w:sz w:val="20"/>
          <w:szCs w:val="20"/>
          <w:color w:val="auto"/>
        </w:rPr>
      </w:pPr>
      <w:r>
        <w:rPr>
          <w:rFonts w:ascii="Times New Roman" w:cs="Times New Roman" w:eastAsia="Times New Roman" w:hAnsi="Times New Roman"/>
          <w:sz w:val="13"/>
          <w:szCs w:val="13"/>
          <w:color w:val="auto"/>
        </w:rPr>
        <w:t>(g)          </w:t>
      </w:r>
      <w:r>
        <w:rPr>
          <w:rFonts w:ascii="Times New Roman" w:cs="Times New Roman" w:eastAsia="Times New Roman" w:hAnsi="Times New Roman"/>
          <w:sz w:val="13"/>
          <w:szCs w:val="13"/>
          <w:u w:val="single" w:color="auto"/>
          <w:color w:val="auto"/>
        </w:rPr>
        <w:t>  Governing Law Provisions</w:t>
      </w:r>
      <w:r>
        <w:rPr>
          <w:rFonts w:ascii="Times New Roman" w:cs="Times New Roman" w:eastAsia="Times New Roman" w:hAnsi="Times New Roman"/>
          <w:sz w:val="13"/>
          <w:szCs w:val="13"/>
          <w:color w:val="auto"/>
        </w:rPr>
        <w:t>. 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Times New Roman" w:cs="Times New Roman" w:eastAsia="Times New Roman" w:hAnsi="Times New Roman"/>
          <w:sz w:val="13"/>
          <w:szCs w:val="13"/>
          <w:b w:val="1"/>
          <w:bCs w:val="1"/>
          <w:color w:val="auto"/>
        </w:rPr>
        <w:t>Specified Courts</w:t>
      </w:r>
      <w:r>
        <w:rPr>
          <w:rFonts w:ascii="Times New Roman" w:cs="Times New Roman" w:eastAsia="Times New Roman" w:hAnsi="Times New Roman"/>
          <w:sz w:val="13"/>
          <w:szCs w:val="13"/>
          <w:color w:val="auto"/>
        </w:rPr>
        <w:t>”),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300" w:lineRule="exact"/>
        <w:rPr>
          <w:sz w:val="20"/>
          <w:szCs w:val="20"/>
          <w:color w:val="auto"/>
        </w:rPr>
      </w:pPr>
    </w:p>
    <w:p>
      <w:pPr>
        <w:jc w:val="both"/>
        <w:ind w:firstLine="485"/>
        <w:spacing w:after="0" w:line="267" w:lineRule="auto"/>
        <w:rPr>
          <w:sz w:val="20"/>
          <w:szCs w:val="20"/>
          <w:color w:val="auto"/>
        </w:rPr>
      </w:pPr>
      <w:r>
        <w:rPr>
          <w:rFonts w:ascii="Times New Roman" w:cs="Times New Roman" w:eastAsia="Times New Roman" w:hAnsi="Times New Roman"/>
          <w:sz w:val="13"/>
          <w:szCs w:val="13"/>
          <w:color w:val="auto"/>
        </w:rPr>
        <w:t>(h)          </w:t>
      </w:r>
      <w:r>
        <w:rPr>
          <w:rFonts w:ascii="Times New Roman" w:cs="Times New Roman" w:eastAsia="Times New Roman" w:hAnsi="Times New Roman"/>
          <w:sz w:val="13"/>
          <w:szCs w:val="13"/>
          <w:u w:val="single" w:color="auto"/>
          <w:color w:val="auto"/>
        </w:rPr>
        <w:t>  General Provisions</w:t>
      </w:r>
      <w:r>
        <w:rPr>
          <w:rFonts w:ascii="Times New Roman" w:cs="Times New Roman" w:eastAsia="Times New Roman" w:hAnsi="Times New Roman"/>
          <w:sz w:val="13"/>
          <w:szCs w:val="13"/>
          <w:color w:val="auto"/>
        </w:rPr>
        <w:t>.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and may be delivered by facsimile transmission or by electronic delivery of a portable document format (PDF) file (including any electronic signature covered by the U.S. federal ESIGN Act of 2000, Uniform Electronic Transactions Act, the Electronic Signatures and Records Act or other applicable law, e.g., www.docusign.com). This Agreement may not be amended or modified unless in writing by all of the parties hereto, and no condition herein (express or implied) may be waived unless waived in writing by each party whom the condition is meant to benefit. The Article and Section headings herein are for the convenience of the parties only and shall not affect the construction or interpretation of this Agreement.</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 Page Immediately Follows</w:t>
      </w:r>
      <w:r>
        <w:rPr>
          <w:rFonts w:ascii="Times New Roman" w:cs="Times New Roman" w:eastAsia="Times New Roman" w:hAnsi="Times New Roman"/>
          <w:sz w:val="13"/>
          <w:szCs w:val="13"/>
          <w:color w:val="auto"/>
        </w:rPr>
        <w:t>]</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4">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3" w:right="319" w:bottom="1440" w:gutter="0" w:footer="0" w:header="0"/>
        </w:sectPr>
      </w:pPr>
    </w:p>
    <w:bookmarkStart w:id="87" w:name="page88"/>
    <w:bookmarkEnd w:id="87"/>
    <w:p>
      <w:pPr>
        <w:ind w:firstLine="485"/>
        <w:spacing w:after="0" w:line="298" w:lineRule="auto"/>
        <w:rPr>
          <w:sz w:val="20"/>
          <w:szCs w:val="20"/>
          <w:color w:val="auto"/>
        </w:rPr>
      </w:pPr>
      <w:r>
        <w:rPr>
          <w:rFonts w:ascii="Times New Roman" w:cs="Times New Roman" w:eastAsia="Times New Roman" w:hAnsi="Times New Roman"/>
          <w:sz w:val="13"/>
          <w:szCs w:val="13"/>
          <w:color w:val="auto"/>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1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color w:val="auto"/>
        </w:rPr>
        <w:t>Very truly yours,</w:t>
      </w:r>
    </w:p>
    <w:p>
      <w:pPr>
        <w:spacing w:after="0" w:line="17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b w:val="1"/>
          <w:bCs w:val="1"/>
          <w:color w:val="auto"/>
        </w:rPr>
        <w:t>NAVITAS SEMICONDUCTOR CORPORATION</w:t>
      </w:r>
    </w:p>
    <w:p>
      <w:pPr>
        <w:spacing w:after="0" w:line="178" w:lineRule="exact"/>
        <w:rPr>
          <w:sz w:val="20"/>
          <w:szCs w:val="20"/>
          <w:color w:val="auto"/>
        </w:rPr>
      </w:pPr>
    </w:p>
    <w:p>
      <w:pPr>
        <w:ind w:left="5640"/>
        <w:spacing w:after="0"/>
        <w:tabs>
          <w:tab w:leader="none" w:pos="5980" w:val="left"/>
        </w:tabs>
        <w:rPr>
          <w:sz w:val="20"/>
          <w:szCs w:val="20"/>
          <w:color w:val="auto"/>
        </w:rPr>
      </w:pPr>
      <w:r>
        <w:rPr>
          <w:rFonts w:ascii="Times New Roman" w:cs="Times New Roman" w:eastAsia="Times New Roman" w:hAnsi="Times New Roman"/>
          <w:sz w:val="13"/>
          <w:szCs w:val="13"/>
          <w:color w:val="auto"/>
        </w:rPr>
        <w:t>By:</w:t>
        <w:tab/>
        <w:t>/s/ Chris Allexandre</w:t>
      </w:r>
    </w:p>
    <w:p>
      <w:pPr>
        <w:spacing w:after="0" w:line="2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3"/>
          <w:szCs w:val="13"/>
          <w:color w:val="auto"/>
        </w:rPr>
        <w:t>Name: Chris Allexandre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-93980</wp:posOffset>
            </wp:positionV>
            <wp:extent cx="3362325"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5">
                      <a:extLst>
                        <a:ext uri="{28A0092B-C50C-407E-A947-70E740481C1C}"/>
                      </a:extLst>
                    </a:blip>
                    <a:srcRect/>
                    <a:stretch>
                      <a:fillRect/>
                    </a:stretch>
                  </pic:blipFill>
                  <pic:spPr bwMode="auto">
                    <a:xfrm>
                      <a:off x="0" y="0"/>
                      <a:ext cx="3362325" cy="6350"/>
                    </a:xfrm>
                    <a:prstGeom prst="rect">
                      <a:avLst/>
                    </a:prstGeom>
                    <a:noFill/>
                  </pic:spPr>
                </pic:pic>
              </a:graphicData>
            </a:graphic>
          </wp:anchor>
        </w:drawing>
      </w:r>
    </w:p>
    <w:p>
      <w:pPr>
        <w:spacing w:after="0" w:line="2"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3"/>
          <w:szCs w:val="13"/>
          <w:color w:val="auto"/>
        </w:rPr>
        <w:t>Title: President and Chief Executive Officer</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The foregoing Agreement is hereby confirmed and accepted by the Agents in New York, New York as of the date first above written.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UBS SECURITIES LLC</w:t>
      </w:r>
    </w:p>
    <w:p>
      <w:pPr>
        <w:spacing w:after="0" w:line="17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3"/>
          <w:szCs w:val="13"/>
          <w:color w:val="auto"/>
        </w:rPr>
        <w:t>By:</w:t>
        <w:tab/>
        <w:t>/s/ Jesse O’Neill</w:t>
      </w:r>
    </w:p>
    <w:p>
      <w:pPr>
        <w:spacing w:after="0" w:line="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color w:val="auto"/>
        </w:rPr>
        <w:t>Name: Jesse O’Neill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-93980</wp:posOffset>
            </wp:positionV>
            <wp:extent cx="3368675"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6">
                      <a:extLst>
                        <a:ext uri="{28A0092B-C50C-407E-A947-70E740481C1C}"/>
                      </a:extLst>
                    </a:blip>
                    <a:srcRect/>
                    <a:stretch>
                      <a:fillRect/>
                    </a:stretch>
                  </pic:blipFill>
                  <pic:spPr bwMode="auto">
                    <a:xfrm>
                      <a:off x="0" y="0"/>
                      <a:ext cx="3368675" cy="6350"/>
                    </a:xfrm>
                    <a:prstGeom prst="rect">
                      <a:avLst/>
                    </a:prstGeom>
                    <a:noFill/>
                  </pic:spPr>
                </pic:pic>
              </a:graphicData>
            </a:graphic>
          </wp:anchor>
        </w:drawing>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color w:val="auto"/>
        </w:rPr>
        <w:t>Title: Executive Director</w:t>
      </w:r>
    </w:p>
    <w:p>
      <w:pPr>
        <w:spacing w:after="0" w:line="16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3"/>
          <w:szCs w:val="13"/>
          <w:color w:val="auto"/>
        </w:rPr>
        <w:t>By:</w:t>
        <w:tab/>
        <w:t>/s/ Charles Heaney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15875</wp:posOffset>
            </wp:positionV>
            <wp:extent cx="3368675"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7">
                      <a:extLst>
                        <a:ext uri="{28A0092B-C50C-407E-A947-70E740481C1C}"/>
                      </a:extLst>
                    </a:blip>
                    <a:srcRect/>
                    <a:stretch>
                      <a:fillRect/>
                    </a:stretch>
                  </pic:blipFill>
                  <pic:spPr bwMode="auto">
                    <a:xfrm>
                      <a:off x="0" y="0"/>
                      <a:ext cx="3368675" cy="6350"/>
                    </a:xfrm>
                    <a:prstGeom prst="rect">
                      <a:avLst/>
                    </a:prstGeom>
                    <a:noFill/>
                  </pic:spPr>
                </pic:pic>
              </a:graphicData>
            </a:graphic>
          </wp:anchor>
        </w:drawing>
      </w:r>
    </w:p>
    <w:p>
      <w:pPr>
        <w:spacing w:after="0" w:line="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color w:val="auto"/>
        </w:rPr>
        <w:t>Name: Charles Heaney</w:t>
      </w:r>
    </w:p>
    <w:p>
      <w:pPr>
        <w:spacing w:after="0" w:line="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color w:val="auto"/>
        </w:rPr>
        <w:t>Title: Director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MORGAN STANLEY &amp; CO. LLC</w:t>
      </w:r>
    </w:p>
    <w:p>
      <w:pPr>
        <w:spacing w:after="0" w:line="17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3"/>
          <w:szCs w:val="13"/>
          <w:color w:val="auto"/>
        </w:rPr>
        <w:t>By:</w:t>
        <w:tab/>
        <w:t>/s/ Diana Boyle</w:t>
      </w:r>
    </w:p>
    <w:p>
      <w:pPr>
        <w:spacing w:after="0" w:line="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color w:val="auto"/>
        </w:rPr>
        <w:t>Name: Diana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-93980</wp:posOffset>
            </wp:positionV>
            <wp:extent cx="3368675"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8">
                      <a:extLst>
                        <a:ext uri="{28A0092B-C50C-407E-A947-70E740481C1C}"/>
                      </a:extLst>
                    </a:blip>
                    <a:srcRect/>
                    <a:stretch>
                      <a:fillRect/>
                    </a:stretch>
                  </pic:blipFill>
                  <pic:spPr bwMode="auto">
                    <a:xfrm>
                      <a:off x="0" y="0"/>
                      <a:ext cx="3368675" cy="6350"/>
                    </a:xfrm>
                    <a:prstGeom prst="rect">
                      <a:avLst/>
                    </a:prstGeom>
                    <a:noFill/>
                  </pic:spPr>
                </pic:pic>
              </a:graphicData>
            </a:graphic>
          </wp:anchor>
        </w:drawing>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color w:val="auto"/>
        </w:rPr>
        <w:t>Title: Managing Director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NEEDHAM &amp; COMPANY, LLC</w:t>
      </w:r>
    </w:p>
    <w:p>
      <w:pPr>
        <w:spacing w:after="0" w:line="17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3"/>
          <w:szCs w:val="13"/>
          <w:color w:val="auto"/>
        </w:rPr>
        <w:t>By:</w:t>
        <w:tab/>
        <w:t>/s/ Matthew Castrovince</w:t>
      </w:r>
    </w:p>
    <w:p>
      <w:pPr>
        <w:spacing w:after="0" w:line="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color w:val="auto"/>
        </w:rPr>
        <w:t>Name: Matthew Castrovince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-93980</wp:posOffset>
            </wp:positionV>
            <wp:extent cx="3368675"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9">
                      <a:extLst>
                        <a:ext uri="{28A0092B-C50C-407E-A947-70E740481C1C}"/>
                      </a:extLst>
                    </a:blip>
                    <a:srcRect/>
                    <a:stretch>
                      <a:fillRect/>
                    </a:stretch>
                  </pic:blipFill>
                  <pic:spPr bwMode="auto">
                    <a:xfrm>
                      <a:off x="0" y="0"/>
                      <a:ext cx="3368675" cy="6350"/>
                    </a:xfrm>
                    <a:prstGeom prst="rect">
                      <a:avLst/>
                    </a:prstGeom>
                    <a:noFill/>
                  </pic:spPr>
                </pic:pic>
              </a:graphicData>
            </a:graphic>
          </wp:anchor>
        </w:drawing>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328930</wp:posOffset>
            </wp:positionV>
            <wp:extent cx="7166610"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0">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3" w:right="31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3"/>
          <w:szCs w:val="13"/>
          <w:b w:val="1"/>
          <w:bCs w:val="1"/>
          <w:color w:val="auto"/>
        </w:rPr>
        <w:t>EXHIBIT A</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ISSUANCE NOTICE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UBS Securities LLC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11 Madison Avenue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New York, NY 10010</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Attention: Jesse O’Neill, Charles Heaney, John Day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Morgan Stanley &amp; Co. LLC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1585 Broadway</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New York, NY 10036</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Attention: Diana Doyle, John Boyce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Needham &amp; Company, LLC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250 Park Avenue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New York, NY 10177</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Attention: Jack Higgins, Matthew Castrovince, Brandon Lebow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w:t>
      </w:r>
      <w:r>
        <w:rPr>
          <w:rFonts w:ascii="Times New Roman" w:cs="Times New Roman" w:eastAsia="Times New Roman" w:hAnsi="Times New Roman"/>
          <w:sz w:val="13"/>
          <w:szCs w:val="13"/>
          <w:b w:val="1"/>
          <w:bCs w:val="1"/>
          <w:color w:val="auto"/>
        </w:rPr>
        <w:t>Designated Agent</w:t>
      </w:r>
      <w:r>
        <w:rPr>
          <w:rFonts w:ascii="Times New Roman" w:cs="Times New Roman" w:eastAsia="Times New Roman" w:hAnsi="Times New Roman"/>
          <w:sz w:val="13"/>
          <w:szCs w:val="13"/>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[Each Issuance Notice may only be issued to one Designated Agent.]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Attn: [•]</w:t>
      </w:r>
    </w:p>
    <w:p>
      <w:pPr>
        <w:spacing w:after="0" w:line="170" w:lineRule="exact"/>
        <w:rPr>
          <w:sz w:val="20"/>
          <w:szCs w:val="20"/>
          <w:color w:val="auto"/>
        </w:rPr>
      </w:pPr>
    </w:p>
    <w:p>
      <w:pPr>
        <w:spacing w:after="0" w:line="305" w:lineRule="auto"/>
        <w:rPr>
          <w:sz w:val="20"/>
          <w:szCs w:val="20"/>
          <w:color w:val="auto"/>
        </w:rPr>
      </w:pPr>
      <w:r>
        <w:rPr>
          <w:rFonts w:ascii="Times New Roman" w:cs="Times New Roman" w:eastAsia="Times New Roman" w:hAnsi="Times New Roman"/>
          <w:sz w:val="13"/>
          <w:szCs w:val="13"/>
          <w:color w:val="auto"/>
        </w:rPr>
        <w:t>Reference is made to the Sales Agreement by and among Navitas Semiconductor Corporation (the “</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UBS Securities LLC, Morgan Stanley &amp; Co. LLC and Needham &amp; Company, LLC (collectively, the “</w:t>
      </w:r>
      <w:r>
        <w:rPr>
          <w:rFonts w:ascii="Times New Roman" w:cs="Times New Roman" w:eastAsia="Times New Roman" w:hAnsi="Times New Roman"/>
          <w:sz w:val="13"/>
          <w:szCs w:val="13"/>
          <w:b w:val="1"/>
          <w:bCs w:val="1"/>
          <w:color w:val="auto"/>
        </w:rPr>
        <w:t>Agents</w:t>
      </w:r>
      <w:r>
        <w:rPr>
          <w:rFonts w:ascii="Times New Roman" w:cs="Times New Roman" w:eastAsia="Times New Roman" w:hAnsi="Times New Roman"/>
          <w:sz w:val="13"/>
          <w:szCs w:val="13"/>
          <w:color w:val="auto"/>
        </w:rPr>
        <w:t>,” and each individually, an “</w:t>
      </w:r>
      <w:r>
        <w:rPr>
          <w:rFonts w:ascii="Times New Roman" w:cs="Times New Roman" w:eastAsia="Times New Roman" w:hAnsi="Times New Roman"/>
          <w:sz w:val="13"/>
          <w:szCs w:val="13"/>
          <w:b w:val="1"/>
          <w:bCs w:val="1"/>
          <w:color w:val="auto"/>
        </w:rPr>
        <w:t>Agent</w:t>
      </w:r>
      <w:r>
        <w:rPr>
          <w:rFonts w:ascii="Times New Roman" w:cs="Times New Roman" w:eastAsia="Times New Roman" w:hAnsi="Times New Roman"/>
          <w:sz w:val="13"/>
          <w:szCs w:val="13"/>
          <w:color w:val="auto"/>
        </w:rPr>
        <w:t>”) dated as of June 8, 2026. The Company confirms that all conditions to the delivery of this Issuance Notice are satisfied as of the date hereof.</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Issuance Notice Date (determined pursuant to </w:t>
      </w:r>
      <w:r>
        <w:rPr>
          <w:rFonts w:ascii="Times New Roman" w:cs="Times New Roman" w:eastAsia="Times New Roman" w:hAnsi="Times New Roman"/>
          <w:sz w:val="13"/>
          <w:szCs w:val="13"/>
          <w:u w:val="single" w:color="auto"/>
          <w:color w:val="auto"/>
        </w:rPr>
        <w:t>Section 3(b)(i)</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220980</wp:posOffset>
            </wp:positionV>
            <wp:extent cx="1796415"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1">
                      <a:extLst>
                        <a:ext uri="{28A0092B-C50C-407E-A947-70E740481C1C}"/>
                      </a:extLst>
                    </a:blip>
                    <a:srcRect/>
                    <a:stretch>
                      <a:fillRect/>
                    </a:stretch>
                  </pic:blipFill>
                  <pic:spPr bwMode="auto">
                    <a:xfrm>
                      <a:off x="0" y="0"/>
                      <a:ext cx="1796415" cy="635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Issuance Amount (equal to the total Sales Price for such Shares):</w:t>
      </w:r>
    </w:p>
    <w:p>
      <w:pPr>
        <w:spacing w:after="0" w:line="1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3657600</wp:posOffset>
            </wp:positionH>
            <wp:positionV relativeFrom="paragraph">
              <wp:posOffset>15875</wp:posOffset>
            </wp:positionV>
            <wp:extent cx="3509645"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2">
                      <a:extLst>
                        <a:ext uri="{28A0092B-C50C-407E-A947-70E740481C1C}"/>
                      </a:extLst>
                    </a:blip>
                    <a:srcRect/>
                    <a:stretch>
                      <a:fillRect/>
                    </a:stretch>
                  </pic:blipFill>
                  <pic:spPr bwMode="auto">
                    <a:xfrm>
                      <a:off x="0" y="0"/>
                      <a:ext cx="3509645" cy="635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Number of days in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15875</wp:posOffset>
            </wp:positionV>
            <wp:extent cx="3580130"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3">
                      <a:extLst>
                        <a:ext uri="{28A0092B-C50C-407E-A947-70E740481C1C}"/>
                      </a:extLst>
                    </a:blip>
                    <a:srcRect/>
                    <a:stretch>
                      <a:fillRect/>
                    </a:stretch>
                  </pic:blipFill>
                  <pic:spPr bwMode="auto">
                    <a:xfrm>
                      <a:off x="0" y="0"/>
                      <a:ext cx="3580130" cy="635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First date of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15875</wp:posOffset>
            </wp:positionV>
            <wp:extent cx="3580130"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4">
                      <a:extLst>
                        <a:ext uri="{28A0092B-C50C-407E-A947-70E740481C1C}"/>
                      </a:extLst>
                    </a:blip>
                    <a:srcRect/>
                    <a:stretch>
                      <a:fillRect/>
                    </a:stretch>
                  </pic:blipFill>
                  <pic:spPr bwMode="auto">
                    <a:xfrm>
                      <a:off x="0" y="0"/>
                      <a:ext cx="3580130"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342900</wp:posOffset>
            </wp:positionV>
            <wp:extent cx="7166610" cy="6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5">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3"/>
          <w:szCs w:val="13"/>
          <w:color w:val="auto"/>
        </w:rPr>
        <w:t>Last date of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15875</wp:posOffset>
            </wp:positionV>
            <wp:extent cx="3580130" cy="6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6">
                      <a:extLst>
                        <a:ext uri="{28A0092B-C50C-407E-A947-70E740481C1C}"/>
                      </a:extLst>
                    </a:blip>
                    <a:srcRect/>
                    <a:stretch>
                      <a:fillRect/>
                    </a:stretch>
                  </pic:blipFill>
                  <pic:spPr bwMode="auto">
                    <a:xfrm>
                      <a:off x="0" y="0"/>
                      <a:ext cx="3580130" cy="635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Settlement Date(s) if other than standard Settlement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15875</wp:posOffset>
            </wp:positionV>
            <wp:extent cx="3580130"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7">
                      <a:extLst>
                        <a:ext uri="{28A0092B-C50C-407E-A947-70E740481C1C}"/>
                      </a:extLst>
                    </a:blip>
                    <a:srcRect/>
                    <a:stretch>
                      <a:fillRect/>
                    </a:stretch>
                  </pic:blipFill>
                  <pic:spPr bwMode="auto">
                    <a:xfrm>
                      <a:off x="0" y="0"/>
                      <a:ext cx="3580130" cy="635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Floor Price (in no event less than $1.00 without the prior written consent of the Designated Agent, which consent may be withheld in the Designated Agent’s sole discretion): $ ____ per share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15875</wp:posOffset>
            </wp:positionV>
            <wp:extent cx="6750050"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8">
                      <a:extLst>
                        <a:ext uri="{28A0092B-C50C-407E-A947-70E740481C1C}"/>
                      </a:extLst>
                    </a:blip>
                    <a:srcRect/>
                    <a:stretch>
                      <a:fillRect/>
                    </a:stretch>
                  </pic:blipFill>
                  <pic:spPr bwMode="auto">
                    <a:xfrm>
                      <a:off x="0" y="0"/>
                      <a:ext cx="6750050" cy="6350"/>
                    </a:xfrm>
                    <a:prstGeom prst="rect">
                      <a:avLst/>
                    </a:prstGeom>
                    <a:noFill/>
                  </pic:spPr>
                </pic:pic>
              </a:graphicData>
            </a:graphic>
          </wp:anchor>
        </w:drawing>
      </w:r>
    </w:p>
    <w:p>
      <w:pPr>
        <w:spacing w:after="0" w:line="16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b w:val="1"/>
          <w:bCs w:val="1"/>
          <w:color w:val="auto"/>
        </w:rPr>
        <w:t>NAVITAS SEMICONDUCTOR CORPORATION</w:t>
      </w:r>
    </w:p>
    <w:p>
      <w:pPr>
        <w:spacing w:after="0" w:line="17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color w:val="auto"/>
        </w:rPr>
        <w:t>By:</w:t>
      </w:r>
    </w:p>
    <w:p>
      <w:pPr>
        <w:spacing w:after="0" w:line="2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-93980</wp:posOffset>
            </wp:positionV>
            <wp:extent cx="3362325"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9">
                      <a:extLst>
                        <a:ext uri="{28A0092B-C50C-407E-A947-70E740481C1C}"/>
                      </a:extLst>
                    </a:blip>
                    <a:srcRect/>
                    <a:stretch>
                      <a:fillRect/>
                    </a:stretch>
                  </pic:blipFill>
                  <pic:spPr bwMode="auto">
                    <a:xfrm>
                      <a:off x="0" y="0"/>
                      <a:ext cx="3362325" cy="6350"/>
                    </a:xfrm>
                    <a:prstGeom prst="rect">
                      <a:avLst/>
                    </a:prstGeom>
                    <a:noFill/>
                  </pic:spPr>
                </pic:pic>
              </a:graphicData>
            </a:graphic>
          </wp:anchor>
        </w:drawing>
      </w:r>
    </w:p>
    <w:p>
      <w:pPr>
        <w:spacing w:after="0" w:line="2"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328930</wp:posOffset>
            </wp:positionV>
            <wp:extent cx="7166610"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0">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0280"/>
          </w:cols>
          <w:pgMar w:left="300" w:top="713" w:right="131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3"/>
          <w:szCs w:val="13"/>
          <w:b w:val="1"/>
          <w:bCs w:val="1"/>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121285</wp:posOffset>
            </wp:positionV>
            <wp:extent cx="7166610"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1">
                      <a:extLst>
                        <a:ext uri="{28A0092B-C50C-407E-A947-70E740481C1C}"/>
                      </a:extLst>
                    </a:blip>
                    <a:srcRect/>
                    <a:stretch>
                      <a:fillRect/>
                    </a:stretch>
                  </pic:blipFill>
                  <pic:spPr bwMode="auto">
                    <a:xfrm>
                      <a:off x="0" y="0"/>
                      <a:ext cx="7166610" cy="6350"/>
                    </a:xfrm>
                    <a:prstGeom prst="rect">
                      <a:avLst/>
                    </a:prstGeom>
                    <a:noFill/>
                  </pic:spPr>
                </pic:pic>
              </a:graphicData>
            </a:graphic>
          </wp:anchor>
        </w:drawing>
        <w:drawing>
          <wp:anchor simplePos="0" relativeHeight="251657728" behindDoc="1" locked="0" layoutInCell="0" allowOverlap="1">
            <wp:simplePos x="0" y="0"/>
            <wp:positionH relativeFrom="column">
              <wp:posOffset>-722630</wp:posOffset>
            </wp:positionH>
            <wp:positionV relativeFrom="paragraph">
              <wp:posOffset>133985</wp:posOffset>
            </wp:positionV>
            <wp:extent cx="7166610"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2">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pacing w:after="0" w:line="35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color w:val="auto"/>
        </w:rPr>
        <w:t>NAVITAS SEMICONDUCTOR CORPORATION</w:t>
      </w:r>
    </w:p>
    <w:p>
      <w:pPr>
        <w:spacing w:after="0" w:line="17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color w:val="auto"/>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1964690</wp:posOffset>
            </wp:positionH>
            <wp:positionV relativeFrom="paragraph">
              <wp:posOffset>118745</wp:posOffset>
            </wp:positionV>
            <wp:extent cx="1790065"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3">
                      <a:extLst>
                        <a:ext uri="{28A0092B-C50C-407E-A947-70E740481C1C}"/>
                      </a:extLst>
                    </a:blip>
                    <a:srcRect/>
                    <a:stretch>
                      <a:fillRect/>
                    </a:stretch>
                  </pic:blipFill>
                  <pic:spPr bwMode="auto">
                    <a:xfrm>
                      <a:off x="0" y="0"/>
                      <a:ext cx="1790065" cy="6350"/>
                    </a:xfrm>
                    <a:prstGeom prst="rect">
                      <a:avLst/>
                    </a:prstGeom>
                    <a:noFill/>
                  </pic:spPr>
                </pic:pic>
              </a:graphicData>
            </a:graphic>
          </wp:anchor>
        </w:drawing>
      </w:r>
    </w:p>
    <w:p>
      <w:pPr>
        <w:spacing w:after="0" w:line="18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color w:val="auto"/>
        </w:rPr>
        <w:t>TRUSTEE</w:t>
      </w:r>
    </w:p>
    <w:p>
      <w:pPr>
        <w:spacing w:after="0" w:line="17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color w:val="auto"/>
        </w:rPr>
        <w:t>INDENTURE DATED AS OF</w:t>
      </w:r>
    </w:p>
    <w:p>
      <w:pPr>
        <w:spacing w:after="0" w:line="17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3"/>
          <w:szCs w:val="13"/>
          <w:color w:val="auto"/>
        </w:rPr>
        <w:t>________, 20__</w:t>
      </w:r>
    </w:p>
    <w:p>
      <w:pPr>
        <w:spacing w:after="0" w:line="17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3"/>
          <w:szCs w:val="13"/>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118745</wp:posOffset>
            </wp:positionV>
            <wp:extent cx="7166610"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4">
                      <a:extLst>
                        <a:ext uri="{28A0092B-C50C-407E-A947-70E740481C1C}"/>
                      </a:extLst>
                    </a:blip>
                    <a:srcRect/>
                    <a:stretch>
                      <a:fillRect/>
                    </a:stretch>
                  </pic:blipFill>
                  <pic:spPr bwMode="auto">
                    <a:xfrm>
                      <a:off x="0" y="0"/>
                      <a:ext cx="7166610" cy="6350"/>
                    </a:xfrm>
                    <a:prstGeom prst="rect">
                      <a:avLst/>
                    </a:prstGeom>
                    <a:noFill/>
                  </pic:spPr>
                </pic:pic>
              </a:graphicData>
            </a:graphic>
          </wp:anchor>
        </w:drawing>
        <w:drawing>
          <wp:anchor simplePos="0" relativeHeight="251657728" behindDoc="1" locked="0" layoutInCell="0" allowOverlap="1">
            <wp:simplePos x="0" y="0"/>
            <wp:positionH relativeFrom="column">
              <wp:posOffset>-722630</wp:posOffset>
            </wp:positionH>
            <wp:positionV relativeFrom="paragraph">
              <wp:posOffset>131445</wp:posOffset>
            </wp:positionV>
            <wp:extent cx="7166610"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5">
                      <a:extLst>
                        <a:ext uri="{28A0092B-C50C-407E-A947-70E740481C1C}"/>
                      </a:extLst>
                    </a:blip>
                    <a:srcRect/>
                    <a:stretch>
                      <a:fillRect/>
                    </a:stretch>
                  </pic:blipFill>
                  <pic:spPr bwMode="auto">
                    <a:xfrm>
                      <a:off x="0" y="0"/>
                      <a:ext cx="7166610" cy="6350"/>
                    </a:xfrm>
                    <a:prstGeom prst="rect">
                      <a:avLst/>
                    </a:prstGeom>
                    <a:noFill/>
                  </pic:spPr>
                </pic:pic>
              </a:graphicData>
            </a:graphic>
          </wp:anchor>
        </w:drawing>
        <w:drawing>
          <wp:anchor simplePos="0" relativeHeight="251657728" behindDoc="1" locked="0" layoutInCell="0" allowOverlap="1">
            <wp:simplePos x="0" y="0"/>
            <wp:positionH relativeFrom="column">
              <wp:posOffset>-722630</wp:posOffset>
            </wp:positionH>
            <wp:positionV relativeFrom="paragraph">
              <wp:posOffset>458470</wp:posOffset>
            </wp:positionV>
            <wp:extent cx="7166610"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6">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0140"/>
          </w:cols>
          <w:pgMar w:left="1440" w:top="305" w:right="31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62"/>
        </w:trPr>
        <w:tc>
          <w:tcPr>
            <w:tcW w:w="2740" w:type="dxa"/>
            <w:vAlign w:val="bottom"/>
          </w:tcPr>
          <w:p>
            <w:pPr>
              <w:spacing w:after="0"/>
              <w:rPr>
                <w:sz w:val="14"/>
                <w:szCs w:val="14"/>
                <w:color w:val="auto"/>
              </w:rPr>
            </w:pPr>
          </w:p>
        </w:tc>
        <w:tc>
          <w:tcPr>
            <w:tcW w:w="854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RECONCILIATION AND TIE BETWEEN TRUST INDENTURE ACT OF 1939 AND</w:t>
            </w:r>
          </w:p>
        </w:tc>
      </w:tr>
      <w:tr>
        <w:trPr>
          <w:trHeight w:val="174"/>
        </w:trPr>
        <w:tc>
          <w:tcPr>
            <w:tcW w:w="2740" w:type="dxa"/>
            <w:vAlign w:val="bottom"/>
          </w:tcPr>
          <w:p>
            <w:pPr>
              <w:spacing w:after="0"/>
              <w:rPr>
                <w:sz w:val="15"/>
                <w:szCs w:val="15"/>
                <w:color w:val="auto"/>
              </w:rPr>
            </w:pPr>
          </w:p>
        </w:tc>
        <w:tc>
          <w:tcPr>
            <w:tcW w:w="4580" w:type="dxa"/>
            <w:vAlign w:val="bottom"/>
          </w:tcPr>
          <w:p>
            <w:pPr>
              <w:ind w:left="1520"/>
              <w:spacing w:after="0"/>
              <w:rPr>
                <w:sz w:val="20"/>
                <w:szCs w:val="20"/>
                <w:color w:val="auto"/>
              </w:rPr>
            </w:pPr>
            <w:r>
              <w:rPr>
                <w:rFonts w:ascii="Times New Roman" w:cs="Times New Roman" w:eastAsia="Times New Roman" w:hAnsi="Times New Roman"/>
                <w:sz w:val="13"/>
                <w:szCs w:val="13"/>
                <w:color w:val="auto"/>
              </w:rPr>
              <w:t>INDENTURE, DATED AS OF___________, 20__</w:t>
            </w:r>
          </w:p>
        </w:tc>
        <w:tc>
          <w:tcPr>
            <w:tcW w:w="3960" w:type="dxa"/>
            <w:vAlign w:val="bottom"/>
          </w:tcPr>
          <w:p>
            <w:pPr>
              <w:spacing w:after="0"/>
              <w:rPr>
                <w:sz w:val="15"/>
                <w:szCs w:val="15"/>
                <w:color w:val="auto"/>
              </w:rPr>
            </w:pPr>
          </w:p>
        </w:tc>
      </w:tr>
      <w:tr>
        <w:trPr>
          <w:trHeight w:val="324"/>
        </w:trPr>
        <w:tc>
          <w:tcPr>
            <w:tcW w:w="27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Section of Trust Indenture Act of 1939</w:t>
            </w:r>
          </w:p>
        </w:tc>
        <w:tc>
          <w:tcPr>
            <w:tcW w:w="8540" w:type="dxa"/>
            <w:vAlign w:val="bottom"/>
            <w:gridSpan w:val="2"/>
          </w:tcPr>
          <w:p>
            <w:pPr>
              <w:ind w:left="4340"/>
              <w:spacing w:after="0"/>
              <w:rPr>
                <w:sz w:val="20"/>
                <w:szCs w:val="20"/>
                <w:color w:val="auto"/>
              </w:rPr>
            </w:pPr>
            <w:r>
              <w:rPr>
                <w:rFonts w:ascii="Times New Roman" w:cs="Times New Roman" w:eastAsia="Times New Roman" w:hAnsi="Times New Roman"/>
                <w:sz w:val="13"/>
                <w:szCs w:val="13"/>
                <w:b w:val="1"/>
                <w:bCs w:val="1"/>
                <w:color w:val="auto"/>
              </w:rPr>
              <w:t>Section(s) of Indenture</w:t>
            </w:r>
          </w:p>
        </w:tc>
      </w:tr>
      <w:tr>
        <w:trPr>
          <w:trHeight w:val="162"/>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§310(a)(1)</w:t>
            </w:r>
          </w:p>
        </w:tc>
        <w:tc>
          <w:tcPr>
            <w:tcW w:w="4580" w:type="dxa"/>
            <w:vAlign w:val="bottom"/>
            <w:shd w:val="clear" w:color="auto" w:fill="CCEEFF"/>
          </w:tcPr>
          <w:p>
            <w:pPr>
              <w:ind w:left="4360"/>
              <w:spacing w:after="0"/>
              <w:rPr>
                <w:sz w:val="20"/>
                <w:szCs w:val="20"/>
                <w:color w:val="auto"/>
              </w:rPr>
            </w:pPr>
            <w:r>
              <w:rPr>
                <w:rFonts w:ascii="Times New Roman" w:cs="Times New Roman" w:eastAsia="Times New Roman" w:hAnsi="Times New Roman"/>
                <w:sz w:val="13"/>
                <w:szCs w:val="13"/>
                <w:color w:val="auto"/>
              </w:rPr>
              <w:t>609</w:t>
            </w:r>
          </w:p>
        </w:tc>
        <w:tc>
          <w:tcPr>
            <w:tcW w:w="3960" w:type="dxa"/>
            <w:vAlign w:val="bottom"/>
            <w:shd w:val="clear" w:color="auto" w:fill="CCEEFF"/>
          </w:tcPr>
          <w:p>
            <w:pPr>
              <w:spacing w:after="0"/>
              <w:rPr>
                <w:sz w:val="14"/>
                <w:szCs w:val="14"/>
                <w:color w:val="auto"/>
              </w:rPr>
            </w:pPr>
          </w:p>
        </w:tc>
      </w:tr>
      <w:tr>
        <w:trPr>
          <w:trHeight w:val="162"/>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(a)(2)</w:t>
            </w:r>
          </w:p>
        </w:tc>
        <w:tc>
          <w:tcPr>
            <w:tcW w:w="4580" w:type="dxa"/>
            <w:vAlign w:val="bottom"/>
          </w:tcPr>
          <w:p>
            <w:pPr>
              <w:ind w:left="4360"/>
              <w:spacing w:after="0"/>
              <w:rPr>
                <w:sz w:val="20"/>
                <w:szCs w:val="20"/>
                <w:color w:val="auto"/>
              </w:rPr>
            </w:pPr>
            <w:r>
              <w:rPr>
                <w:rFonts w:ascii="Times New Roman" w:cs="Times New Roman" w:eastAsia="Times New Roman" w:hAnsi="Times New Roman"/>
                <w:sz w:val="13"/>
                <w:szCs w:val="13"/>
                <w:color w:val="auto"/>
              </w:rPr>
              <w:t>609</w:t>
            </w:r>
          </w:p>
        </w:tc>
        <w:tc>
          <w:tcPr>
            <w:tcW w:w="3960" w:type="dxa"/>
            <w:vAlign w:val="bottom"/>
          </w:tcPr>
          <w:p>
            <w:pPr>
              <w:spacing w:after="0"/>
              <w:rPr>
                <w:sz w:val="14"/>
                <w:szCs w:val="14"/>
                <w:color w:val="auto"/>
              </w:rPr>
            </w:pPr>
          </w:p>
        </w:tc>
      </w:tr>
      <w:tr>
        <w:trPr>
          <w:trHeight w:val="162"/>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(a)(3)</w:t>
            </w:r>
          </w:p>
        </w:tc>
        <w:tc>
          <w:tcPr>
            <w:tcW w:w="8540" w:type="dxa"/>
            <w:vAlign w:val="bottom"/>
            <w:gridSpan w:val="2"/>
            <w:shd w:val="clear" w:color="auto" w:fill="CCEEFF"/>
          </w:tcPr>
          <w:p>
            <w:pPr>
              <w:jc w:val="center"/>
              <w:ind w:left="933"/>
              <w:spacing w:after="0"/>
              <w:rPr>
                <w:sz w:val="20"/>
                <w:szCs w:val="20"/>
                <w:color w:val="auto"/>
              </w:rPr>
            </w:pPr>
            <w:r>
              <w:rPr>
                <w:rFonts w:ascii="Times New Roman" w:cs="Times New Roman" w:eastAsia="Times New Roman" w:hAnsi="Times New Roman"/>
                <w:sz w:val="13"/>
                <w:szCs w:val="13"/>
                <w:color w:val="auto"/>
              </w:rPr>
              <w:t>Not Applicable</w:t>
            </w:r>
          </w:p>
        </w:tc>
      </w:tr>
      <w:tr>
        <w:trPr>
          <w:trHeight w:val="162"/>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(a)(4)</w:t>
            </w:r>
          </w:p>
        </w:tc>
        <w:tc>
          <w:tcPr>
            <w:tcW w:w="8540" w:type="dxa"/>
            <w:vAlign w:val="bottom"/>
            <w:gridSpan w:val="2"/>
          </w:tcPr>
          <w:p>
            <w:pPr>
              <w:jc w:val="center"/>
              <w:ind w:left="933"/>
              <w:spacing w:after="0"/>
              <w:rPr>
                <w:sz w:val="20"/>
                <w:szCs w:val="20"/>
                <w:color w:val="auto"/>
              </w:rPr>
            </w:pPr>
            <w:r>
              <w:rPr>
                <w:rFonts w:ascii="Times New Roman" w:cs="Times New Roman" w:eastAsia="Times New Roman" w:hAnsi="Times New Roman"/>
                <w:sz w:val="13"/>
                <w:szCs w:val="13"/>
                <w:color w:val="auto"/>
              </w:rPr>
              <w:t>Not Applicable</w:t>
            </w:r>
          </w:p>
        </w:tc>
      </w:tr>
      <w:tr>
        <w:trPr>
          <w:trHeight w:val="162"/>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(a)(5)</w:t>
            </w:r>
          </w:p>
        </w:tc>
        <w:tc>
          <w:tcPr>
            <w:tcW w:w="4580" w:type="dxa"/>
            <w:vAlign w:val="bottom"/>
            <w:shd w:val="clear" w:color="auto" w:fill="CCEEFF"/>
          </w:tcPr>
          <w:p>
            <w:pPr>
              <w:ind w:left="4360"/>
              <w:spacing w:after="0"/>
              <w:rPr>
                <w:sz w:val="20"/>
                <w:szCs w:val="20"/>
                <w:color w:val="auto"/>
              </w:rPr>
            </w:pPr>
            <w:r>
              <w:rPr>
                <w:rFonts w:ascii="Times New Roman" w:cs="Times New Roman" w:eastAsia="Times New Roman" w:hAnsi="Times New Roman"/>
                <w:sz w:val="13"/>
                <w:szCs w:val="13"/>
                <w:color w:val="auto"/>
              </w:rPr>
              <w:t>609</w:t>
            </w:r>
          </w:p>
        </w:tc>
        <w:tc>
          <w:tcPr>
            <w:tcW w:w="3960" w:type="dxa"/>
            <w:vAlign w:val="bottom"/>
            <w:shd w:val="clear" w:color="auto" w:fill="CCEEFF"/>
          </w:tcPr>
          <w:p>
            <w:pPr>
              <w:spacing w:after="0"/>
              <w:rPr>
                <w:sz w:val="14"/>
                <w:szCs w:val="14"/>
                <w:color w:val="auto"/>
              </w:rPr>
            </w:pPr>
          </w:p>
        </w:tc>
      </w:tr>
      <w:tr>
        <w:trPr>
          <w:trHeight w:val="162"/>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w:t>
            </w:r>
          </w:p>
        </w:tc>
        <w:tc>
          <w:tcPr>
            <w:tcW w:w="8540" w:type="dxa"/>
            <w:vAlign w:val="bottom"/>
            <w:gridSpan w:val="2"/>
          </w:tcPr>
          <w:p>
            <w:pPr>
              <w:ind w:left="4360"/>
              <w:spacing w:after="0"/>
              <w:rPr>
                <w:sz w:val="20"/>
                <w:szCs w:val="20"/>
                <w:color w:val="auto"/>
              </w:rPr>
            </w:pPr>
            <w:r>
              <w:rPr>
                <w:rFonts w:ascii="Times New Roman" w:cs="Times New Roman" w:eastAsia="Times New Roman" w:hAnsi="Times New Roman"/>
                <w:sz w:val="13"/>
                <w:szCs w:val="13"/>
                <w:color w:val="auto"/>
              </w:rPr>
              <w:t>608, 610</w:t>
            </w:r>
          </w:p>
        </w:tc>
      </w:tr>
      <w:tr>
        <w:trPr>
          <w:trHeight w:val="162"/>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§311(a)</w:t>
            </w:r>
          </w:p>
        </w:tc>
        <w:tc>
          <w:tcPr>
            <w:tcW w:w="4580" w:type="dxa"/>
            <w:vAlign w:val="bottom"/>
            <w:shd w:val="clear" w:color="auto" w:fill="CCEEFF"/>
          </w:tcPr>
          <w:p>
            <w:pPr>
              <w:ind w:left="4360"/>
              <w:spacing w:after="0"/>
              <w:rPr>
                <w:sz w:val="20"/>
                <w:szCs w:val="20"/>
                <w:color w:val="auto"/>
              </w:rPr>
            </w:pPr>
            <w:r>
              <w:rPr>
                <w:rFonts w:ascii="Times New Roman" w:cs="Times New Roman" w:eastAsia="Times New Roman" w:hAnsi="Times New Roman"/>
                <w:sz w:val="13"/>
                <w:szCs w:val="13"/>
                <w:color w:val="auto"/>
              </w:rPr>
              <w:t>613</w:t>
            </w:r>
          </w:p>
        </w:tc>
        <w:tc>
          <w:tcPr>
            <w:tcW w:w="3960" w:type="dxa"/>
            <w:vAlign w:val="bottom"/>
            <w:shd w:val="clear" w:color="auto" w:fill="CCEEFF"/>
          </w:tcPr>
          <w:p>
            <w:pPr>
              <w:spacing w:after="0"/>
              <w:rPr>
                <w:sz w:val="14"/>
                <w:szCs w:val="14"/>
                <w:color w:val="auto"/>
              </w:rPr>
            </w:pPr>
          </w:p>
        </w:tc>
      </w:tr>
      <w:tr>
        <w:trPr>
          <w:trHeight w:val="162"/>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w:t>
            </w:r>
          </w:p>
        </w:tc>
        <w:tc>
          <w:tcPr>
            <w:tcW w:w="4580" w:type="dxa"/>
            <w:vAlign w:val="bottom"/>
          </w:tcPr>
          <w:p>
            <w:pPr>
              <w:ind w:left="4360"/>
              <w:spacing w:after="0"/>
              <w:rPr>
                <w:sz w:val="20"/>
                <w:szCs w:val="20"/>
                <w:color w:val="auto"/>
              </w:rPr>
            </w:pPr>
            <w:r>
              <w:rPr>
                <w:rFonts w:ascii="Times New Roman" w:cs="Times New Roman" w:eastAsia="Times New Roman" w:hAnsi="Times New Roman"/>
                <w:sz w:val="13"/>
                <w:szCs w:val="13"/>
                <w:color w:val="auto"/>
              </w:rPr>
              <w:t>613</w:t>
            </w:r>
          </w:p>
        </w:tc>
        <w:tc>
          <w:tcPr>
            <w:tcW w:w="3960" w:type="dxa"/>
            <w:vAlign w:val="bottom"/>
          </w:tcPr>
          <w:p>
            <w:pPr>
              <w:spacing w:after="0"/>
              <w:rPr>
                <w:sz w:val="14"/>
                <w:szCs w:val="14"/>
                <w:color w:val="auto"/>
              </w:rPr>
            </w:pPr>
          </w:p>
        </w:tc>
      </w:tr>
      <w:tr>
        <w:trPr>
          <w:trHeight w:val="162"/>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8540" w:type="dxa"/>
            <w:vAlign w:val="bottom"/>
            <w:gridSpan w:val="2"/>
            <w:shd w:val="clear" w:color="auto" w:fill="CCEEFF"/>
          </w:tcPr>
          <w:p>
            <w:pPr>
              <w:jc w:val="center"/>
              <w:ind w:left="933"/>
              <w:spacing w:after="0"/>
              <w:rPr>
                <w:sz w:val="20"/>
                <w:szCs w:val="20"/>
                <w:color w:val="auto"/>
              </w:rPr>
            </w:pPr>
            <w:r>
              <w:rPr>
                <w:rFonts w:ascii="Times New Roman" w:cs="Times New Roman" w:eastAsia="Times New Roman" w:hAnsi="Times New Roman"/>
                <w:sz w:val="13"/>
                <w:szCs w:val="13"/>
                <w:color w:val="auto"/>
              </w:rPr>
              <w:t>Not Applicable</w:t>
            </w:r>
          </w:p>
        </w:tc>
      </w:tr>
      <w:tr>
        <w:trPr>
          <w:trHeight w:val="162"/>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§312(a)</w:t>
            </w:r>
          </w:p>
        </w:tc>
        <w:tc>
          <w:tcPr>
            <w:tcW w:w="8540" w:type="dxa"/>
            <w:vAlign w:val="bottom"/>
            <w:gridSpan w:val="2"/>
          </w:tcPr>
          <w:p>
            <w:pPr>
              <w:ind w:left="4360"/>
              <w:spacing w:after="0"/>
              <w:rPr>
                <w:sz w:val="20"/>
                <w:szCs w:val="20"/>
                <w:color w:val="auto"/>
              </w:rPr>
            </w:pPr>
            <w:r>
              <w:rPr>
                <w:rFonts w:ascii="Times New Roman" w:cs="Times New Roman" w:eastAsia="Times New Roman" w:hAnsi="Times New Roman"/>
                <w:sz w:val="13"/>
                <w:szCs w:val="13"/>
                <w:color w:val="auto"/>
              </w:rPr>
              <w:t>701, 702 (a)</w:t>
            </w:r>
          </w:p>
        </w:tc>
      </w:tr>
      <w:tr>
        <w:trPr>
          <w:trHeight w:val="162"/>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w:t>
            </w:r>
          </w:p>
        </w:tc>
        <w:tc>
          <w:tcPr>
            <w:tcW w:w="8540" w:type="dxa"/>
            <w:vAlign w:val="bottom"/>
            <w:gridSpan w:val="2"/>
            <w:shd w:val="clear" w:color="auto" w:fill="CCEEFF"/>
          </w:tcPr>
          <w:p>
            <w:pPr>
              <w:ind w:left="4360"/>
              <w:spacing w:after="0"/>
              <w:rPr>
                <w:sz w:val="20"/>
                <w:szCs w:val="20"/>
                <w:color w:val="auto"/>
              </w:rPr>
            </w:pPr>
            <w:r>
              <w:rPr>
                <w:rFonts w:ascii="Times New Roman" w:cs="Times New Roman" w:eastAsia="Times New Roman" w:hAnsi="Times New Roman"/>
                <w:sz w:val="13"/>
                <w:szCs w:val="13"/>
                <w:color w:val="auto"/>
              </w:rPr>
              <w:t>702(b)</w:t>
            </w:r>
          </w:p>
        </w:tc>
      </w:tr>
      <w:tr>
        <w:trPr>
          <w:trHeight w:val="162"/>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8540" w:type="dxa"/>
            <w:vAlign w:val="bottom"/>
            <w:gridSpan w:val="2"/>
          </w:tcPr>
          <w:p>
            <w:pPr>
              <w:ind w:left="4360"/>
              <w:spacing w:after="0"/>
              <w:rPr>
                <w:sz w:val="20"/>
                <w:szCs w:val="20"/>
                <w:color w:val="auto"/>
              </w:rPr>
            </w:pPr>
            <w:r>
              <w:rPr>
                <w:rFonts w:ascii="Times New Roman" w:cs="Times New Roman" w:eastAsia="Times New Roman" w:hAnsi="Times New Roman"/>
                <w:sz w:val="13"/>
                <w:szCs w:val="13"/>
                <w:color w:val="auto"/>
              </w:rPr>
              <w:t>702(b)</w:t>
            </w:r>
          </w:p>
        </w:tc>
      </w:tr>
      <w:tr>
        <w:trPr>
          <w:trHeight w:val="162"/>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§313(a)</w:t>
            </w:r>
          </w:p>
        </w:tc>
        <w:tc>
          <w:tcPr>
            <w:tcW w:w="8540" w:type="dxa"/>
            <w:vAlign w:val="bottom"/>
            <w:gridSpan w:val="2"/>
            <w:shd w:val="clear" w:color="auto" w:fill="CCEEFF"/>
          </w:tcPr>
          <w:p>
            <w:pPr>
              <w:ind w:left="4360"/>
              <w:spacing w:after="0"/>
              <w:rPr>
                <w:sz w:val="20"/>
                <w:szCs w:val="20"/>
                <w:color w:val="auto"/>
              </w:rPr>
            </w:pPr>
            <w:r>
              <w:rPr>
                <w:rFonts w:ascii="Times New Roman" w:cs="Times New Roman" w:eastAsia="Times New Roman" w:hAnsi="Times New Roman"/>
                <w:sz w:val="13"/>
                <w:szCs w:val="13"/>
                <w:color w:val="auto"/>
              </w:rPr>
              <w:t>703(a)</w:t>
            </w:r>
          </w:p>
        </w:tc>
      </w:tr>
      <w:tr>
        <w:trPr>
          <w:trHeight w:val="162"/>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w:t>
            </w:r>
          </w:p>
        </w:tc>
        <w:tc>
          <w:tcPr>
            <w:tcW w:w="8540" w:type="dxa"/>
            <w:vAlign w:val="bottom"/>
            <w:gridSpan w:val="2"/>
          </w:tcPr>
          <w:p>
            <w:pPr>
              <w:ind w:left="4360"/>
              <w:spacing w:after="0"/>
              <w:rPr>
                <w:sz w:val="20"/>
                <w:szCs w:val="20"/>
                <w:color w:val="auto"/>
              </w:rPr>
            </w:pPr>
            <w:r>
              <w:rPr>
                <w:rFonts w:ascii="Times New Roman" w:cs="Times New Roman" w:eastAsia="Times New Roman" w:hAnsi="Times New Roman"/>
                <w:sz w:val="13"/>
                <w:szCs w:val="13"/>
                <w:color w:val="auto"/>
              </w:rPr>
              <w:t>703(a)</w:t>
            </w:r>
          </w:p>
        </w:tc>
      </w:tr>
      <w:tr>
        <w:trPr>
          <w:trHeight w:val="162"/>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8540" w:type="dxa"/>
            <w:vAlign w:val="bottom"/>
            <w:gridSpan w:val="2"/>
            <w:shd w:val="clear" w:color="auto" w:fill="CCEEFF"/>
          </w:tcPr>
          <w:p>
            <w:pPr>
              <w:ind w:left="4360"/>
              <w:spacing w:after="0"/>
              <w:rPr>
                <w:sz w:val="20"/>
                <w:szCs w:val="20"/>
                <w:color w:val="auto"/>
              </w:rPr>
            </w:pPr>
            <w:r>
              <w:rPr>
                <w:rFonts w:ascii="Times New Roman" w:cs="Times New Roman" w:eastAsia="Times New Roman" w:hAnsi="Times New Roman"/>
                <w:sz w:val="13"/>
                <w:szCs w:val="13"/>
                <w:color w:val="auto"/>
              </w:rPr>
              <w:t>703(a)</w:t>
            </w:r>
          </w:p>
        </w:tc>
      </w:tr>
      <w:tr>
        <w:trPr>
          <w:trHeight w:val="162"/>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w:t>
            </w:r>
          </w:p>
        </w:tc>
        <w:tc>
          <w:tcPr>
            <w:tcW w:w="8540" w:type="dxa"/>
            <w:vAlign w:val="bottom"/>
            <w:gridSpan w:val="2"/>
          </w:tcPr>
          <w:p>
            <w:pPr>
              <w:ind w:left="4360"/>
              <w:spacing w:after="0"/>
              <w:rPr>
                <w:sz w:val="20"/>
                <w:szCs w:val="20"/>
                <w:color w:val="auto"/>
              </w:rPr>
            </w:pPr>
            <w:r>
              <w:rPr>
                <w:rFonts w:ascii="Times New Roman" w:cs="Times New Roman" w:eastAsia="Times New Roman" w:hAnsi="Times New Roman"/>
                <w:sz w:val="13"/>
                <w:szCs w:val="13"/>
                <w:color w:val="auto"/>
              </w:rPr>
              <w:t>703(b)</w:t>
            </w:r>
          </w:p>
        </w:tc>
      </w:tr>
      <w:tr>
        <w:trPr>
          <w:trHeight w:val="162"/>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§314(a)</w:t>
            </w:r>
          </w:p>
        </w:tc>
        <w:tc>
          <w:tcPr>
            <w:tcW w:w="8540" w:type="dxa"/>
            <w:vAlign w:val="bottom"/>
            <w:gridSpan w:val="2"/>
            <w:shd w:val="clear" w:color="auto" w:fill="CCEEFF"/>
          </w:tcPr>
          <w:p>
            <w:pPr>
              <w:ind w:left="4360"/>
              <w:spacing w:after="0"/>
              <w:rPr>
                <w:sz w:val="20"/>
                <w:szCs w:val="20"/>
                <w:color w:val="auto"/>
              </w:rPr>
            </w:pPr>
            <w:r>
              <w:rPr>
                <w:rFonts w:ascii="Times New Roman" w:cs="Times New Roman" w:eastAsia="Times New Roman" w:hAnsi="Times New Roman"/>
                <w:sz w:val="13"/>
                <w:szCs w:val="13"/>
                <w:color w:val="auto"/>
              </w:rPr>
              <w:t>704, 1005</w:t>
            </w:r>
          </w:p>
        </w:tc>
      </w:tr>
      <w:tr>
        <w:trPr>
          <w:trHeight w:val="162"/>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w:t>
            </w:r>
          </w:p>
        </w:tc>
        <w:tc>
          <w:tcPr>
            <w:tcW w:w="8540" w:type="dxa"/>
            <w:vAlign w:val="bottom"/>
            <w:gridSpan w:val="2"/>
          </w:tcPr>
          <w:p>
            <w:pPr>
              <w:jc w:val="center"/>
              <w:ind w:left="933"/>
              <w:spacing w:after="0"/>
              <w:rPr>
                <w:sz w:val="20"/>
                <w:szCs w:val="20"/>
                <w:color w:val="auto"/>
              </w:rPr>
            </w:pPr>
            <w:r>
              <w:rPr>
                <w:rFonts w:ascii="Times New Roman" w:cs="Times New Roman" w:eastAsia="Times New Roman" w:hAnsi="Times New Roman"/>
                <w:sz w:val="13"/>
                <w:szCs w:val="13"/>
                <w:color w:val="auto"/>
              </w:rPr>
              <w:t>Not Applicable</w:t>
            </w:r>
          </w:p>
        </w:tc>
      </w:tr>
      <w:tr>
        <w:trPr>
          <w:trHeight w:val="162"/>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(c)(1)</w:t>
            </w:r>
          </w:p>
        </w:tc>
        <w:tc>
          <w:tcPr>
            <w:tcW w:w="4580" w:type="dxa"/>
            <w:vAlign w:val="bottom"/>
            <w:shd w:val="clear" w:color="auto" w:fill="CCEEFF"/>
          </w:tcPr>
          <w:p>
            <w:pPr>
              <w:ind w:left="4360"/>
              <w:spacing w:after="0"/>
              <w:rPr>
                <w:sz w:val="20"/>
                <w:szCs w:val="20"/>
                <w:color w:val="auto"/>
              </w:rPr>
            </w:pPr>
            <w:r>
              <w:rPr>
                <w:rFonts w:ascii="Times New Roman" w:cs="Times New Roman" w:eastAsia="Times New Roman" w:hAnsi="Times New Roman"/>
                <w:sz w:val="13"/>
                <w:szCs w:val="13"/>
                <w:color w:val="auto"/>
              </w:rPr>
              <w:t>103</w:t>
            </w:r>
          </w:p>
        </w:tc>
        <w:tc>
          <w:tcPr>
            <w:tcW w:w="3960" w:type="dxa"/>
            <w:vAlign w:val="bottom"/>
            <w:shd w:val="clear" w:color="auto" w:fill="CCEEFF"/>
          </w:tcPr>
          <w:p>
            <w:pPr>
              <w:spacing w:after="0"/>
              <w:rPr>
                <w:sz w:val="14"/>
                <w:szCs w:val="14"/>
                <w:color w:val="auto"/>
              </w:rPr>
            </w:pPr>
          </w:p>
        </w:tc>
      </w:tr>
      <w:tr>
        <w:trPr>
          <w:trHeight w:val="162"/>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(c)(2)</w:t>
            </w:r>
          </w:p>
        </w:tc>
        <w:tc>
          <w:tcPr>
            <w:tcW w:w="4580" w:type="dxa"/>
            <w:vAlign w:val="bottom"/>
          </w:tcPr>
          <w:p>
            <w:pPr>
              <w:ind w:left="4360"/>
              <w:spacing w:after="0"/>
              <w:rPr>
                <w:sz w:val="20"/>
                <w:szCs w:val="20"/>
                <w:color w:val="auto"/>
              </w:rPr>
            </w:pPr>
            <w:r>
              <w:rPr>
                <w:rFonts w:ascii="Times New Roman" w:cs="Times New Roman" w:eastAsia="Times New Roman" w:hAnsi="Times New Roman"/>
                <w:sz w:val="13"/>
                <w:szCs w:val="13"/>
                <w:color w:val="auto"/>
              </w:rPr>
              <w:t>103</w:t>
            </w:r>
          </w:p>
        </w:tc>
        <w:tc>
          <w:tcPr>
            <w:tcW w:w="3960" w:type="dxa"/>
            <w:vAlign w:val="bottom"/>
          </w:tcPr>
          <w:p>
            <w:pPr>
              <w:spacing w:after="0"/>
              <w:rPr>
                <w:sz w:val="14"/>
                <w:szCs w:val="14"/>
                <w:color w:val="auto"/>
              </w:rPr>
            </w:pPr>
          </w:p>
        </w:tc>
      </w:tr>
      <w:tr>
        <w:trPr>
          <w:trHeight w:val="162"/>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(c)(3)</w:t>
            </w:r>
          </w:p>
        </w:tc>
        <w:tc>
          <w:tcPr>
            <w:tcW w:w="8540" w:type="dxa"/>
            <w:vAlign w:val="bottom"/>
            <w:gridSpan w:val="2"/>
            <w:shd w:val="clear" w:color="auto" w:fill="CCEEFF"/>
          </w:tcPr>
          <w:p>
            <w:pPr>
              <w:jc w:val="center"/>
              <w:ind w:left="933"/>
              <w:spacing w:after="0"/>
              <w:rPr>
                <w:sz w:val="20"/>
                <w:szCs w:val="20"/>
                <w:color w:val="auto"/>
              </w:rPr>
            </w:pPr>
            <w:r>
              <w:rPr>
                <w:rFonts w:ascii="Times New Roman" w:cs="Times New Roman" w:eastAsia="Times New Roman" w:hAnsi="Times New Roman"/>
                <w:sz w:val="13"/>
                <w:szCs w:val="13"/>
                <w:color w:val="auto"/>
              </w:rPr>
              <w:t>Not Applicable</w:t>
            </w:r>
          </w:p>
        </w:tc>
      </w:tr>
      <w:tr>
        <w:trPr>
          <w:trHeight w:val="162"/>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w:t>
            </w:r>
          </w:p>
        </w:tc>
        <w:tc>
          <w:tcPr>
            <w:tcW w:w="8540" w:type="dxa"/>
            <w:vAlign w:val="bottom"/>
            <w:gridSpan w:val="2"/>
          </w:tcPr>
          <w:p>
            <w:pPr>
              <w:jc w:val="center"/>
              <w:ind w:left="933"/>
              <w:spacing w:after="0"/>
              <w:rPr>
                <w:sz w:val="20"/>
                <w:szCs w:val="20"/>
                <w:color w:val="auto"/>
              </w:rPr>
            </w:pPr>
            <w:r>
              <w:rPr>
                <w:rFonts w:ascii="Times New Roman" w:cs="Times New Roman" w:eastAsia="Times New Roman" w:hAnsi="Times New Roman"/>
                <w:sz w:val="13"/>
                <w:szCs w:val="13"/>
                <w:color w:val="auto"/>
              </w:rPr>
              <w:t>Not Applicable</w:t>
            </w:r>
          </w:p>
        </w:tc>
      </w:tr>
      <w:tr>
        <w:trPr>
          <w:trHeight w:val="162"/>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w:t>
            </w:r>
          </w:p>
        </w:tc>
        <w:tc>
          <w:tcPr>
            <w:tcW w:w="4580" w:type="dxa"/>
            <w:vAlign w:val="bottom"/>
            <w:shd w:val="clear" w:color="auto" w:fill="CCEEFF"/>
          </w:tcPr>
          <w:p>
            <w:pPr>
              <w:ind w:left="4360"/>
              <w:spacing w:after="0"/>
              <w:rPr>
                <w:sz w:val="20"/>
                <w:szCs w:val="20"/>
                <w:color w:val="auto"/>
              </w:rPr>
            </w:pPr>
            <w:r>
              <w:rPr>
                <w:rFonts w:ascii="Times New Roman" w:cs="Times New Roman" w:eastAsia="Times New Roman" w:hAnsi="Times New Roman"/>
                <w:sz w:val="13"/>
                <w:szCs w:val="13"/>
                <w:color w:val="auto"/>
              </w:rPr>
              <w:t>103</w:t>
            </w:r>
          </w:p>
        </w:tc>
        <w:tc>
          <w:tcPr>
            <w:tcW w:w="3960" w:type="dxa"/>
            <w:vAlign w:val="bottom"/>
            <w:shd w:val="clear" w:color="auto" w:fill="CCEEFF"/>
          </w:tcPr>
          <w:p>
            <w:pPr>
              <w:spacing w:after="0"/>
              <w:rPr>
                <w:sz w:val="14"/>
                <w:szCs w:val="14"/>
                <w:color w:val="auto"/>
              </w:rPr>
            </w:pPr>
          </w:p>
        </w:tc>
      </w:tr>
      <w:tr>
        <w:trPr>
          <w:trHeight w:val="162"/>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§315(a)</w:t>
            </w:r>
          </w:p>
        </w:tc>
        <w:tc>
          <w:tcPr>
            <w:tcW w:w="8540" w:type="dxa"/>
            <w:vAlign w:val="bottom"/>
            <w:gridSpan w:val="2"/>
          </w:tcPr>
          <w:p>
            <w:pPr>
              <w:ind w:left="4360"/>
              <w:spacing w:after="0"/>
              <w:rPr>
                <w:sz w:val="20"/>
                <w:szCs w:val="20"/>
                <w:color w:val="auto"/>
              </w:rPr>
            </w:pPr>
            <w:r>
              <w:rPr>
                <w:rFonts w:ascii="Times New Roman" w:cs="Times New Roman" w:eastAsia="Times New Roman" w:hAnsi="Times New Roman"/>
                <w:sz w:val="13"/>
                <w:szCs w:val="13"/>
                <w:color w:val="auto"/>
              </w:rPr>
              <w:t>601(a)</w:t>
            </w:r>
          </w:p>
        </w:tc>
      </w:tr>
      <w:tr>
        <w:trPr>
          <w:trHeight w:val="162"/>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w:t>
            </w:r>
          </w:p>
        </w:tc>
        <w:tc>
          <w:tcPr>
            <w:tcW w:w="4580" w:type="dxa"/>
            <w:vAlign w:val="bottom"/>
            <w:shd w:val="clear" w:color="auto" w:fill="CCEEFF"/>
          </w:tcPr>
          <w:p>
            <w:pPr>
              <w:ind w:left="4360"/>
              <w:spacing w:after="0"/>
              <w:rPr>
                <w:sz w:val="20"/>
                <w:szCs w:val="20"/>
                <w:color w:val="auto"/>
              </w:rPr>
            </w:pPr>
            <w:r>
              <w:rPr>
                <w:rFonts w:ascii="Times New Roman" w:cs="Times New Roman" w:eastAsia="Times New Roman" w:hAnsi="Times New Roman"/>
                <w:sz w:val="13"/>
                <w:szCs w:val="13"/>
                <w:color w:val="auto"/>
              </w:rPr>
              <w:t>602</w:t>
            </w:r>
          </w:p>
        </w:tc>
        <w:tc>
          <w:tcPr>
            <w:tcW w:w="3960" w:type="dxa"/>
            <w:vAlign w:val="bottom"/>
            <w:shd w:val="clear" w:color="auto" w:fill="CCEEFF"/>
          </w:tcPr>
          <w:p>
            <w:pPr>
              <w:spacing w:after="0"/>
              <w:rPr>
                <w:sz w:val="14"/>
                <w:szCs w:val="14"/>
                <w:color w:val="auto"/>
              </w:rPr>
            </w:pPr>
          </w:p>
        </w:tc>
      </w:tr>
      <w:tr>
        <w:trPr>
          <w:trHeight w:val="162"/>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8540" w:type="dxa"/>
            <w:vAlign w:val="bottom"/>
            <w:gridSpan w:val="2"/>
          </w:tcPr>
          <w:p>
            <w:pPr>
              <w:ind w:left="4360"/>
              <w:spacing w:after="0"/>
              <w:rPr>
                <w:sz w:val="20"/>
                <w:szCs w:val="20"/>
                <w:color w:val="auto"/>
              </w:rPr>
            </w:pPr>
            <w:r>
              <w:rPr>
                <w:rFonts w:ascii="Times New Roman" w:cs="Times New Roman" w:eastAsia="Times New Roman" w:hAnsi="Times New Roman"/>
                <w:sz w:val="13"/>
                <w:szCs w:val="13"/>
                <w:color w:val="auto"/>
              </w:rPr>
              <w:t>601(b)</w:t>
            </w:r>
          </w:p>
        </w:tc>
      </w:tr>
      <w:tr>
        <w:trPr>
          <w:trHeight w:val="162"/>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w:t>
            </w:r>
          </w:p>
        </w:tc>
        <w:tc>
          <w:tcPr>
            <w:tcW w:w="8540" w:type="dxa"/>
            <w:vAlign w:val="bottom"/>
            <w:gridSpan w:val="2"/>
            <w:shd w:val="clear" w:color="auto" w:fill="CCEEFF"/>
          </w:tcPr>
          <w:p>
            <w:pPr>
              <w:ind w:left="4360"/>
              <w:spacing w:after="0"/>
              <w:rPr>
                <w:sz w:val="20"/>
                <w:szCs w:val="20"/>
                <w:color w:val="auto"/>
              </w:rPr>
            </w:pPr>
            <w:r>
              <w:rPr>
                <w:rFonts w:ascii="Times New Roman" w:cs="Times New Roman" w:eastAsia="Times New Roman" w:hAnsi="Times New Roman"/>
                <w:sz w:val="13"/>
                <w:szCs w:val="13"/>
                <w:color w:val="auto"/>
              </w:rPr>
              <w:t>601(c)</w:t>
            </w:r>
          </w:p>
        </w:tc>
      </w:tr>
      <w:tr>
        <w:trPr>
          <w:trHeight w:val="162"/>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(d)(1)</w:t>
            </w:r>
          </w:p>
        </w:tc>
        <w:tc>
          <w:tcPr>
            <w:tcW w:w="4580" w:type="dxa"/>
            <w:vAlign w:val="bottom"/>
          </w:tcPr>
          <w:p>
            <w:pPr>
              <w:ind w:left="4360"/>
              <w:spacing w:after="0"/>
              <w:rPr>
                <w:sz w:val="20"/>
                <w:szCs w:val="20"/>
                <w:color w:val="auto"/>
              </w:rPr>
            </w:pPr>
            <w:r>
              <w:rPr>
                <w:rFonts w:ascii="Times New Roman" w:cs="Times New Roman" w:eastAsia="Times New Roman" w:hAnsi="Times New Roman"/>
                <w:sz w:val="13"/>
                <w:szCs w:val="13"/>
                <w:color w:val="auto"/>
              </w:rPr>
              <w:t>601</w:t>
            </w:r>
          </w:p>
        </w:tc>
        <w:tc>
          <w:tcPr>
            <w:tcW w:w="3960" w:type="dxa"/>
            <w:vAlign w:val="bottom"/>
          </w:tcPr>
          <w:p>
            <w:pPr>
              <w:jc w:val="center"/>
              <w:ind w:right="3513"/>
              <w:spacing w:after="0"/>
              <w:rPr>
                <w:sz w:val="20"/>
                <w:szCs w:val="20"/>
                <w:color w:val="auto"/>
              </w:rPr>
            </w:pPr>
            <w:r>
              <w:rPr>
                <w:rFonts w:ascii="Times New Roman" w:cs="Times New Roman" w:eastAsia="Times New Roman" w:hAnsi="Times New Roman"/>
                <w:sz w:val="13"/>
                <w:szCs w:val="13"/>
                <w:color w:val="auto"/>
              </w:rPr>
              <w:t>(c) (1)</w:t>
            </w:r>
          </w:p>
        </w:tc>
      </w:tr>
      <w:tr>
        <w:trPr>
          <w:trHeight w:val="162"/>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(d)(2)</w:t>
            </w:r>
          </w:p>
        </w:tc>
        <w:tc>
          <w:tcPr>
            <w:tcW w:w="4580" w:type="dxa"/>
            <w:vAlign w:val="bottom"/>
            <w:shd w:val="clear" w:color="auto" w:fill="CCEEFF"/>
          </w:tcPr>
          <w:p>
            <w:pPr>
              <w:ind w:left="4360"/>
              <w:spacing w:after="0"/>
              <w:rPr>
                <w:sz w:val="20"/>
                <w:szCs w:val="20"/>
                <w:color w:val="auto"/>
              </w:rPr>
            </w:pPr>
            <w:r>
              <w:rPr>
                <w:rFonts w:ascii="Times New Roman" w:cs="Times New Roman" w:eastAsia="Times New Roman" w:hAnsi="Times New Roman"/>
                <w:sz w:val="13"/>
                <w:szCs w:val="13"/>
                <w:color w:val="auto"/>
              </w:rPr>
              <w:t>601</w:t>
            </w:r>
          </w:p>
        </w:tc>
        <w:tc>
          <w:tcPr>
            <w:tcW w:w="3960" w:type="dxa"/>
            <w:vAlign w:val="bottom"/>
            <w:shd w:val="clear" w:color="auto" w:fill="CCEEFF"/>
          </w:tcPr>
          <w:p>
            <w:pPr>
              <w:jc w:val="center"/>
              <w:ind w:right="3513"/>
              <w:spacing w:after="0"/>
              <w:rPr>
                <w:sz w:val="20"/>
                <w:szCs w:val="20"/>
                <w:color w:val="auto"/>
              </w:rPr>
            </w:pPr>
            <w:r>
              <w:rPr>
                <w:rFonts w:ascii="Times New Roman" w:cs="Times New Roman" w:eastAsia="Times New Roman" w:hAnsi="Times New Roman"/>
                <w:sz w:val="13"/>
                <w:szCs w:val="13"/>
                <w:color w:val="auto"/>
              </w:rPr>
              <w:t>(c) (2)</w:t>
            </w:r>
          </w:p>
        </w:tc>
      </w:tr>
      <w:tr>
        <w:trPr>
          <w:trHeight w:val="162"/>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(d)(3)</w:t>
            </w:r>
          </w:p>
        </w:tc>
        <w:tc>
          <w:tcPr>
            <w:tcW w:w="4580" w:type="dxa"/>
            <w:vAlign w:val="bottom"/>
          </w:tcPr>
          <w:p>
            <w:pPr>
              <w:ind w:left="4360"/>
              <w:spacing w:after="0"/>
              <w:rPr>
                <w:sz w:val="20"/>
                <w:szCs w:val="20"/>
                <w:color w:val="auto"/>
              </w:rPr>
            </w:pPr>
            <w:r>
              <w:rPr>
                <w:rFonts w:ascii="Times New Roman" w:cs="Times New Roman" w:eastAsia="Times New Roman" w:hAnsi="Times New Roman"/>
                <w:sz w:val="13"/>
                <w:szCs w:val="13"/>
                <w:color w:val="auto"/>
              </w:rPr>
              <w:t>601</w:t>
            </w:r>
          </w:p>
        </w:tc>
        <w:tc>
          <w:tcPr>
            <w:tcW w:w="3960" w:type="dxa"/>
            <w:vAlign w:val="bottom"/>
          </w:tcPr>
          <w:p>
            <w:pPr>
              <w:jc w:val="center"/>
              <w:ind w:right="3513"/>
              <w:spacing w:after="0"/>
              <w:rPr>
                <w:sz w:val="20"/>
                <w:szCs w:val="20"/>
                <w:color w:val="auto"/>
              </w:rPr>
            </w:pPr>
            <w:r>
              <w:rPr>
                <w:rFonts w:ascii="Times New Roman" w:cs="Times New Roman" w:eastAsia="Times New Roman" w:hAnsi="Times New Roman"/>
                <w:sz w:val="13"/>
                <w:szCs w:val="13"/>
                <w:color w:val="auto"/>
              </w:rPr>
              <w:t>(c) (3)</w:t>
            </w:r>
          </w:p>
        </w:tc>
      </w:tr>
      <w:tr>
        <w:trPr>
          <w:trHeight w:val="162"/>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w:t>
            </w:r>
          </w:p>
        </w:tc>
        <w:tc>
          <w:tcPr>
            <w:tcW w:w="4580" w:type="dxa"/>
            <w:vAlign w:val="bottom"/>
            <w:shd w:val="clear" w:color="auto" w:fill="CCEEFF"/>
          </w:tcPr>
          <w:p>
            <w:pPr>
              <w:ind w:left="4360"/>
              <w:spacing w:after="0"/>
              <w:rPr>
                <w:sz w:val="20"/>
                <w:szCs w:val="20"/>
                <w:color w:val="auto"/>
              </w:rPr>
            </w:pPr>
            <w:r>
              <w:rPr>
                <w:rFonts w:ascii="Times New Roman" w:cs="Times New Roman" w:eastAsia="Times New Roman" w:hAnsi="Times New Roman"/>
                <w:sz w:val="13"/>
                <w:szCs w:val="13"/>
                <w:color w:val="auto"/>
              </w:rPr>
              <w:t>511</w:t>
            </w:r>
          </w:p>
        </w:tc>
        <w:tc>
          <w:tcPr>
            <w:tcW w:w="3960" w:type="dxa"/>
            <w:vAlign w:val="bottom"/>
            <w:shd w:val="clear" w:color="auto" w:fill="CCEEFF"/>
          </w:tcPr>
          <w:p>
            <w:pPr>
              <w:spacing w:after="0"/>
              <w:rPr>
                <w:sz w:val="14"/>
                <w:szCs w:val="14"/>
                <w:color w:val="auto"/>
              </w:rPr>
            </w:pPr>
          </w:p>
        </w:tc>
      </w:tr>
      <w:tr>
        <w:trPr>
          <w:trHeight w:val="162"/>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§316(a)(1)(A)</w:t>
            </w:r>
          </w:p>
        </w:tc>
        <w:tc>
          <w:tcPr>
            <w:tcW w:w="4580" w:type="dxa"/>
            <w:vAlign w:val="bottom"/>
          </w:tcPr>
          <w:p>
            <w:pPr>
              <w:ind w:left="4360"/>
              <w:spacing w:after="0"/>
              <w:rPr>
                <w:sz w:val="20"/>
                <w:szCs w:val="20"/>
                <w:color w:val="auto"/>
              </w:rPr>
            </w:pPr>
            <w:r>
              <w:rPr>
                <w:rFonts w:ascii="Times New Roman" w:cs="Times New Roman" w:eastAsia="Times New Roman" w:hAnsi="Times New Roman"/>
                <w:sz w:val="13"/>
                <w:szCs w:val="13"/>
                <w:color w:val="auto"/>
              </w:rPr>
              <w:t>505</w:t>
            </w:r>
          </w:p>
        </w:tc>
        <w:tc>
          <w:tcPr>
            <w:tcW w:w="3960" w:type="dxa"/>
            <w:vAlign w:val="bottom"/>
          </w:tcPr>
          <w:p>
            <w:pPr>
              <w:spacing w:after="0"/>
              <w:rPr>
                <w:sz w:val="14"/>
                <w:szCs w:val="14"/>
                <w:color w:val="auto"/>
              </w:rPr>
            </w:pPr>
          </w:p>
        </w:tc>
      </w:tr>
      <w:tr>
        <w:trPr>
          <w:trHeight w:val="162"/>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(a)(1)(B)</w:t>
            </w:r>
          </w:p>
        </w:tc>
        <w:tc>
          <w:tcPr>
            <w:tcW w:w="4580" w:type="dxa"/>
            <w:vAlign w:val="bottom"/>
            <w:shd w:val="clear" w:color="auto" w:fill="CCEEFF"/>
          </w:tcPr>
          <w:p>
            <w:pPr>
              <w:ind w:left="4360"/>
              <w:spacing w:after="0"/>
              <w:rPr>
                <w:sz w:val="20"/>
                <w:szCs w:val="20"/>
                <w:color w:val="auto"/>
              </w:rPr>
            </w:pPr>
            <w:r>
              <w:rPr>
                <w:rFonts w:ascii="Times New Roman" w:cs="Times New Roman" w:eastAsia="Times New Roman" w:hAnsi="Times New Roman"/>
                <w:sz w:val="13"/>
                <w:szCs w:val="13"/>
                <w:color w:val="auto"/>
              </w:rPr>
              <w:t>504</w:t>
            </w:r>
          </w:p>
        </w:tc>
        <w:tc>
          <w:tcPr>
            <w:tcW w:w="3960" w:type="dxa"/>
            <w:vAlign w:val="bottom"/>
            <w:shd w:val="clear" w:color="auto" w:fill="CCEEFF"/>
          </w:tcPr>
          <w:p>
            <w:pPr>
              <w:spacing w:after="0"/>
              <w:rPr>
                <w:sz w:val="14"/>
                <w:szCs w:val="14"/>
                <w:color w:val="auto"/>
              </w:rPr>
            </w:pPr>
          </w:p>
        </w:tc>
      </w:tr>
      <w:tr>
        <w:trPr>
          <w:trHeight w:val="162"/>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(a)(2)</w:t>
            </w:r>
          </w:p>
        </w:tc>
        <w:tc>
          <w:tcPr>
            <w:tcW w:w="8540" w:type="dxa"/>
            <w:vAlign w:val="bottom"/>
            <w:gridSpan w:val="2"/>
          </w:tcPr>
          <w:p>
            <w:pPr>
              <w:jc w:val="center"/>
              <w:ind w:left="933"/>
              <w:spacing w:after="0"/>
              <w:rPr>
                <w:sz w:val="20"/>
                <w:szCs w:val="20"/>
                <w:color w:val="auto"/>
              </w:rPr>
            </w:pPr>
            <w:r>
              <w:rPr>
                <w:rFonts w:ascii="Times New Roman" w:cs="Times New Roman" w:eastAsia="Times New Roman" w:hAnsi="Times New Roman"/>
                <w:sz w:val="13"/>
                <w:szCs w:val="13"/>
                <w:color w:val="auto"/>
              </w:rPr>
              <w:t>Not Applicable</w:t>
            </w:r>
          </w:p>
        </w:tc>
      </w:tr>
      <w:tr>
        <w:trPr>
          <w:trHeight w:val="162"/>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(a)(last sentence)</w:t>
            </w:r>
          </w:p>
        </w:tc>
        <w:tc>
          <w:tcPr>
            <w:tcW w:w="4580" w:type="dxa"/>
            <w:vAlign w:val="bottom"/>
            <w:shd w:val="clear" w:color="auto" w:fill="CCEEFF"/>
          </w:tcPr>
          <w:p>
            <w:pPr>
              <w:ind w:left="4360"/>
              <w:spacing w:after="0"/>
              <w:rPr>
                <w:sz w:val="20"/>
                <w:szCs w:val="20"/>
                <w:color w:val="auto"/>
              </w:rPr>
            </w:pPr>
            <w:r>
              <w:rPr>
                <w:rFonts w:ascii="Times New Roman" w:cs="Times New Roman" w:eastAsia="Times New Roman" w:hAnsi="Times New Roman"/>
                <w:sz w:val="13"/>
                <w:szCs w:val="13"/>
                <w:color w:val="auto"/>
              </w:rPr>
              <w:t>101</w:t>
            </w:r>
          </w:p>
        </w:tc>
        <w:tc>
          <w:tcPr>
            <w:tcW w:w="3960" w:type="dxa"/>
            <w:vAlign w:val="bottom"/>
            <w:shd w:val="clear" w:color="auto" w:fill="CCEEFF"/>
          </w:tcPr>
          <w:p>
            <w:pPr>
              <w:spacing w:after="0"/>
              <w:rPr>
                <w:sz w:val="14"/>
                <w:szCs w:val="14"/>
                <w:color w:val="auto"/>
              </w:rPr>
            </w:pPr>
          </w:p>
        </w:tc>
      </w:tr>
      <w:tr>
        <w:trPr>
          <w:trHeight w:val="162"/>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w:t>
            </w:r>
          </w:p>
        </w:tc>
        <w:tc>
          <w:tcPr>
            <w:tcW w:w="4580" w:type="dxa"/>
            <w:vAlign w:val="bottom"/>
          </w:tcPr>
          <w:p>
            <w:pPr>
              <w:ind w:left="4360"/>
              <w:spacing w:after="0"/>
              <w:rPr>
                <w:sz w:val="20"/>
                <w:szCs w:val="20"/>
                <w:color w:val="auto"/>
              </w:rPr>
            </w:pPr>
            <w:r>
              <w:rPr>
                <w:rFonts w:ascii="Times New Roman" w:cs="Times New Roman" w:eastAsia="Times New Roman" w:hAnsi="Times New Roman"/>
                <w:sz w:val="13"/>
                <w:szCs w:val="13"/>
                <w:color w:val="auto"/>
              </w:rPr>
              <w:t>507</w:t>
            </w:r>
          </w:p>
        </w:tc>
        <w:tc>
          <w:tcPr>
            <w:tcW w:w="3960" w:type="dxa"/>
            <w:vAlign w:val="bottom"/>
          </w:tcPr>
          <w:p>
            <w:pPr>
              <w:spacing w:after="0"/>
              <w:rPr>
                <w:sz w:val="14"/>
                <w:szCs w:val="14"/>
                <w:color w:val="auto"/>
              </w:rPr>
            </w:pPr>
          </w:p>
        </w:tc>
      </w:tr>
      <w:tr>
        <w:trPr>
          <w:trHeight w:val="162"/>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4580" w:type="dxa"/>
            <w:vAlign w:val="bottom"/>
            <w:shd w:val="clear" w:color="auto" w:fill="CCEEFF"/>
          </w:tcPr>
          <w:p>
            <w:pPr>
              <w:ind w:left="4360"/>
              <w:spacing w:after="0"/>
              <w:rPr>
                <w:sz w:val="20"/>
                <w:szCs w:val="20"/>
                <w:color w:val="auto"/>
              </w:rPr>
            </w:pPr>
            <w:r>
              <w:rPr>
                <w:rFonts w:ascii="Times New Roman" w:cs="Times New Roman" w:eastAsia="Times New Roman" w:hAnsi="Times New Roman"/>
                <w:sz w:val="13"/>
                <w:szCs w:val="13"/>
                <w:color w:val="auto"/>
              </w:rPr>
              <w:t>105</w:t>
            </w:r>
          </w:p>
        </w:tc>
        <w:tc>
          <w:tcPr>
            <w:tcW w:w="3960" w:type="dxa"/>
            <w:vAlign w:val="bottom"/>
            <w:shd w:val="clear" w:color="auto" w:fill="CCEEFF"/>
          </w:tcPr>
          <w:p>
            <w:pPr>
              <w:spacing w:after="0"/>
              <w:rPr>
                <w:sz w:val="14"/>
                <w:szCs w:val="14"/>
                <w:color w:val="auto"/>
              </w:rPr>
            </w:pPr>
          </w:p>
        </w:tc>
      </w:tr>
      <w:tr>
        <w:trPr>
          <w:trHeight w:val="162"/>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§317(a)(1)</w:t>
            </w:r>
          </w:p>
        </w:tc>
        <w:tc>
          <w:tcPr>
            <w:tcW w:w="4580" w:type="dxa"/>
            <w:vAlign w:val="bottom"/>
          </w:tcPr>
          <w:p>
            <w:pPr>
              <w:ind w:left="4360"/>
              <w:spacing w:after="0"/>
              <w:rPr>
                <w:sz w:val="20"/>
                <w:szCs w:val="20"/>
                <w:color w:val="auto"/>
              </w:rPr>
            </w:pPr>
            <w:r>
              <w:rPr>
                <w:rFonts w:ascii="Times New Roman" w:cs="Times New Roman" w:eastAsia="Times New Roman" w:hAnsi="Times New Roman"/>
                <w:sz w:val="13"/>
                <w:szCs w:val="13"/>
                <w:color w:val="auto"/>
              </w:rPr>
              <w:t>503</w:t>
            </w:r>
          </w:p>
        </w:tc>
        <w:tc>
          <w:tcPr>
            <w:tcW w:w="3960" w:type="dxa"/>
            <w:vAlign w:val="bottom"/>
          </w:tcPr>
          <w:p>
            <w:pPr>
              <w:spacing w:after="0"/>
              <w:rPr>
                <w:sz w:val="14"/>
                <w:szCs w:val="14"/>
                <w:color w:val="auto"/>
              </w:rPr>
            </w:pPr>
          </w:p>
        </w:tc>
      </w:tr>
      <w:tr>
        <w:trPr>
          <w:trHeight w:val="162"/>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(a)(2)</w:t>
            </w:r>
          </w:p>
        </w:tc>
        <w:tc>
          <w:tcPr>
            <w:tcW w:w="4580" w:type="dxa"/>
            <w:vAlign w:val="bottom"/>
            <w:shd w:val="clear" w:color="auto" w:fill="CCEEFF"/>
          </w:tcPr>
          <w:p>
            <w:pPr>
              <w:ind w:left="4360"/>
              <w:spacing w:after="0"/>
              <w:rPr>
                <w:sz w:val="20"/>
                <w:szCs w:val="20"/>
                <w:color w:val="auto"/>
              </w:rPr>
            </w:pPr>
            <w:r>
              <w:rPr>
                <w:rFonts w:ascii="Times New Roman" w:cs="Times New Roman" w:eastAsia="Times New Roman" w:hAnsi="Times New Roman"/>
                <w:sz w:val="13"/>
                <w:szCs w:val="13"/>
                <w:color w:val="auto"/>
              </w:rPr>
              <w:t>509</w:t>
            </w:r>
          </w:p>
        </w:tc>
        <w:tc>
          <w:tcPr>
            <w:tcW w:w="3960" w:type="dxa"/>
            <w:vAlign w:val="bottom"/>
            <w:shd w:val="clear" w:color="auto" w:fill="CCEEFF"/>
          </w:tcPr>
          <w:p>
            <w:pPr>
              <w:spacing w:after="0"/>
              <w:rPr>
                <w:sz w:val="14"/>
                <w:szCs w:val="14"/>
                <w:color w:val="auto"/>
              </w:rPr>
            </w:pPr>
          </w:p>
        </w:tc>
      </w:tr>
      <w:tr>
        <w:trPr>
          <w:trHeight w:val="162"/>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w:t>
            </w:r>
          </w:p>
        </w:tc>
        <w:tc>
          <w:tcPr>
            <w:tcW w:w="8540" w:type="dxa"/>
            <w:vAlign w:val="bottom"/>
            <w:gridSpan w:val="2"/>
          </w:tcPr>
          <w:p>
            <w:pPr>
              <w:ind w:left="4360"/>
              <w:spacing w:after="0"/>
              <w:rPr>
                <w:sz w:val="20"/>
                <w:szCs w:val="20"/>
                <w:color w:val="auto"/>
              </w:rPr>
            </w:pPr>
            <w:r>
              <w:rPr>
                <w:rFonts w:ascii="Times New Roman" w:cs="Times New Roman" w:eastAsia="Times New Roman" w:hAnsi="Times New Roman"/>
                <w:sz w:val="13"/>
                <w:szCs w:val="13"/>
                <w:color w:val="auto"/>
              </w:rPr>
              <w:t>1003</w:t>
            </w:r>
          </w:p>
        </w:tc>
      </w:tr>
      <w:tr>
        <w:trPr>
          <w:trHeight w:val="162"/>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§318(a)</w:t>
            </w:r>
          </w:p>
        </w:tc>
        <w:tc>
          <w:tcPr>
            <w:tcW w:w="4580" w:type="dxa"/>
            <w:vAlign w:val="bottom"/>
            <w:shd w:val="clear" w:color="auto" w:fill="CCEEFF"/>
          </w:tcPr>
          <w:p>
            <w:pPr>
              <w:ind w:left="4360"/>
              <w:spacing w:after="0"/>
              <w:rPr>
                <w:sz w:val="20"/>
                <w:szCs w:val="20"/>
                <w:color w:val="auto"/>
              </w:rPr>
            </w:pPr>
            <w:r>
              <w:rPr>
                <w:rFonts w:ascii="Times New Roman" w:cs="Times New Roman" w:eastAsia="Times New Roman" w:hAnsi="Times New Roman"/>
                <w:sz w:val="13"/>
                <w:szCs w:val="13"/>
                <w:color w:val="auto"/>
              </w:rPr>
              <w:t>108</w:t>
            </w:r>
          </w:p>
        </w:tc>
        <w:tc>
          <w:tcPr>
            <w:tcW w:w="3960" w:type="dxa"/>
            <w:vAlign w:val="bottom"/>
            <w:shd w:val="clear" w:color="auto" w:fill="CCEEFF"/>
          </w:tcPr>
          <w:p>
            <w:pPr>
              <w:spacing w:after="0"/>
              <w:rPr>
                <w:sz w:val="14"/>
                <w:szCs w:val="14"/>
                <w:color w:val="auto"/>
              </w:rPr>
            </w:pPr>
          </w:p>
        </w:tc>
      </w:tr>
      <w:tr>
        <w:trPr>
          <w:trHeight w:val="162"/>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w:t>
            </w:r>
          </w:p>
        </w:tc>
        <w:tc>
          <w:tcPr>
            <w:tcW w:w="8540" w:type="dxa"/>
            <w:vAlign w:val="bottom"/>
            <w:gridSpan w:val="2"/>
          </w:tcPr>
          <w:p>
            <w:pPr>
              <w:jc w:val="center"/>
              <w:ind w:left="933"/>
              <w:spacing w:after="0"/>
              <w:rPr>
                <w:sz w:val="20"/>
                <w:szCs w:val="20"/>
                <w:color w:val="auto"/>
              </w:rPr>
            </w:pPr>
            <w:r>
              <w:rPr>
                <w:rFonts w:ascii="Times New Roman" w:cs="Times New Roman" w:eastAsia="Times New Roman" w:hAnsi="Times New Roman"/>
                <w:sz w:val="13"/>
                <w:szCs w:val="13"/>
                <w:color w:val="auto"/>
              </w:rPr>
              <w:t>Not Applicable</w:t>
            </w:r>
          </w:p>
        </w:tc>
      </w:tr>
      <w:tr>
        <w:trPr>
          <w:trHeight w:val="162"/>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4580" w:type="dxa"/>
            <w:vAlign w:val="bottom"/>
            <w:shd w:val="clear" w:color="auto" w:fill="CCEEFF"/>
          </w:tcPr>
          <w:p>
            <w:pPr>
              <w:ind w:left="4360"/>
              <w:spacing w:after="0"/>
              <w:rPr>
                <w:sz w:val="20"/>
                <w:szCs w:val="20"/>
                <w:color w:val="auto"/>
              </w:rPr>
            </w:pPr>
            <w:r>
              <w:rPr>
                <w:rFonts w:ascii="Times New Roman" w:cs="Times New Roman" w:eastAsia="Times New Roman" w:hAnsi="Times New Roman"/>
                <w:sz w:val="13"/>
                <w:szCs w:val="13"/>
                <w:color w:val="auto"/>
              </w:rPr>
              <w:t>108</w:t>
            </w:r>
          </w:p>
        </w:tc>
        <w:tc>
          <w:tcPr>
            <w:tcW w:w="3960" w:type="dxa"/>
            <w:vAlign w:val="bottom"/>
            <w:shd w:val="clear" w:color="auto" w:fill="CCEEFF"/>
          </w:tcPr>
          <w:p>
            <w:pPr>
              <w:spacing w:after="0"/>
              <w:rPr>
                <w:sz w:val="14"/>
                <w:szCs w:val="14"/>
                <w:color w:val="auto"/>
              </w:rPr>
            </w:pPr>
          </w:p>
        </w:tc>
      </w:tr>
      <w:tr>
        <w:trPr>
          <w:trHeight w:val="174"/>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(a)(2)</w:t>
            </w:r>
          </w:p>
        </w:tc>
        <w:tc>
          <w:tcPr>
            <w:tcW w:w="4580" w:type="dxa"/>
            <w:vAlign w:val="bottom"/>
          </w:tcPr>
          <w:p>
            <w:pPr>
              <w:ind w:left="4360"/>
              <w:spacing w:after="0"/>
              <w:rPr>
                <w:sz w:val="20"/>
                <w:szCs w:val="20"/>
                <w:color w:val="auto"/>
              </w:rPr>
            </w:pPr>
            <w:r>
              <w:rPr>
                <w:rFonts w:ascii="Times New Roman" w:cs="Times New Roman" w:eastAsia="Times New Roman" w:hAnsi="Times New Roman"/>
                <w:sz w:val="13"/>
                <w:szCs w:val="13"/>
                <w:color w:val="auto"/>
              </w:rPr>
              <w:t>509</w:t>
            </w:r>
          </w:p>
        </w:tc>
        <w:tc>
          <w:tcPr>
            <w:tcW w:w="3960" w:type="dxa"/>
            <w:vAlign w:val="bottom"/>
          </w:tcPr>
          <w:p>
            <w:pPr>
              <w:spacing w:after="0"/>
              <w:rPr>
                <w:sz w:val="15"/>
                <w:szCs w:val="15"/>
                <w:color w:val="auto"/>
              </w:rPr>
            </w:pP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This reconciliation and tie shall not, for any purpose, be deemed to be a part of the Indenture.</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66610"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7">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3" w:right="31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000" w:type="dxa"/>
            <w:vAlign w:val="bottom"/>
          </w:tcPr>
          <w:p>
            <w:pPr>
              <w:ind w:left="3800"/>
              <w:spacing w:after="0"/>
              <w:rPr>
                <w:sz w:val="20"/>
                <w:szCs w:val="20"/>
                <w:color w:val="auto"/>
              </w:rPr>
            </w:pPr>
            <w:r>
              <w:rPr>
                <w:rFonts w:ascii="Times New Roman" w:cs="Times New Roman" w:eastAsia="Times New Roman" w:hAnsi="Times New Roman"/>
                <w:sz w:val="13"/>
                <w:szCs w:val="13"/>
                <w:b w:val="1"/>
                <w:bCs w:val="1"/>
                <w:color w:val="auto"/>
              </w:rPr>
              <w:t>TABLE OF CONTENTS</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100" w:type="dxa"/>
            <w:vAlign w:val="bottom"/>
            <w:gridSpan w:val="2"/>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ARTICLE I - DEFINITIONS AND OTHER PROVISIONS OF GENERAL APPLICATION</w:t>
            </w: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3"/>
                <w:szCs w:val="13"/>
                <w:color w:val="auto"/>
              </w:rPr>
              <w:t>SECTION 101.</w:t>
            </w:r>
          </w:p>
        </w:tc>
        <w:tc>
          <w:tcPr>
            <w:tcW w:w="90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DEFINITIONS.</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SECTION 102.</w:t>
            </w:r>
          </w:p>
        </w:tc>
        <w:tc>
          <w:tcPr>
            <w:tcW w:w="9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INCORPORATION BY REFERENCE OF TRUST INDENTURE ACT.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3"/>
                <w:szCs w:val="13"/>
                <w:color w:val="auto"/>
              </w:rPr>
              <w:t>SECTION 103.</w:t>
            </w:r>
          </w:p>
        </w:tc>
        <w:tc>
          <w:tcPr>
            <w:tcW w:w="90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COMPLIANCE CERTIFICATES AND OPINIONS.</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SECTION 104.</w:t>
            </w:r>
          </w:p>
        </w:tc>
        <w:tc>
          <w:tcPr>
            <w:tcW w:w="9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FORM OF DOCUMENTS DELIVERED TO TRUSTEE.</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3"/>
                <w:szCs w:val="13"/>
                <w:color w:val="auto"/>
              </w:rPr>
              <w:t>SECTION 105.</w:t>
            </w:r>
          </w:p>
        </w:tc>
        <w:tc>
          <w:tcPr>
            <w:tcW w:w="90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ACTS OF HOLDERS; RECORD DATES.</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SECTION 106.</w:t>
            </w:r>
          </w:p>
        </w:tc>
        <w:tc>
          <w:tcPr>
            <w:tcW w:w="9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NOTICES, ETC., TO TRUSTEE AND COMPANY.</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3"/>
                <w:szCs w:val="13"/>
                <w:color w:val="auto"/>
              </w:rPr>
              <w:t>SECTION 107.</w:t>
            </w:r>
          </w:p>
        </w:tc>
        <w:tc>
          <w:tcPr>
            <w:tcW w:w="90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NOTICE TO HOLDERS; WAIVER.</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SECTION 108.</w:t>
            </w:r>
          </w:p>
        </w:tc>
        <w:tc>
          <w:tcPr>
            <w:tcW w:w="9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CONFLICT WITH TRUST INDENTURE ACT.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3"/>
                <w:szCs w:val="13"/>
                <w:color w:val="auto"/>
              </w:rPr>
              <w:t>SECTION 109.</w:t>
            </w:r>
          </w:p>
        </w:tc>
        <w:tc>
          <w:tcPr>
            <w:tcW w:w="90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EFFECT OF HEADINGS AND TABLE OF CONTENTS.</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SECTION 110.</w:t>
            </w:r>
          </w:p>
        </w:tc>
        <w:tc>
          <w:tcPr>
            <w:tcW w:w="9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SUCCESSORS AND ASSIGNS.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3"/>
                <w:szCs w:val="13"/>
                <w:color w:val="auto"/>
              </w:rPr>
              <w:t>SECTION 111.</w:t>
            </w:r>
          </w:p>
        </w:tc>
        <w:tc>
          <w:tcPr>
            <w:tcW w:w="90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SEPARABILITY CLAUSE.</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SECTION 112.</w:t>
            </w:r>
          </w:p>
        </w:tc>
        <w:tc>
          <w:tcPr>
            <w:tcW w:w="9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BENEFITS OF INDENTURE.</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3"/>
                <w:szCs w:val="13"/>
                <w:color w:val="auto"/>
              </w:rPr>
              <w:t>SECTION 113.</w:t>
            </w:r>
          </w:p>
        </w:tc>
        <w:tc>
          <w:tcPr>
            <w:tcW w:w="90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GOVERNING LAW.</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SECTION 114.</w:t>
            </w:r>
          </w:p>
        </w:tc>
        <w:tc>
          <w:tcPr>
            <w:tcW w:w="9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LEGAL HOLIDAYS.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3"/>
                <w:szCs w:val="13"/>
                <w:color w:val="auto"/>
              </w:rPr>
              <w:t>SECTION 115.</w:t>
            </w:r>
          </w:p>
        </w:tc>
        <w:tc>
          <w:tcPr>
            <w:tcW w:w="90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CORPORATE OBLIGATION.</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SECTION 116.</w:t>
            </w:r>
          </w:p>
        </w:tc>
        <w:tc>
          <w:tcPr>
            <w:tcW w:w="9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WAIVER OF TRIAL JURY.</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3"/>
                <w:szCs w:val="13"/>
                <w:color w:val="auto"/>
              </w:rPr>
              <w:t>SECTION 117.</w:t>
            </w:r>
          </w:p>
        </w:tc>
        <w:tc>
          <w:tcPr>
            <w:tcW w:w="90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FORCE MAJEURE.</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100" w:type="dxa"/>
            <w:vAlign w:val="bottom"/>
            <w:gridSpan w:val="2"/>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ARTICLE II - SECURITY FORMS</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SECTION 201.</w:t>
            </w:r>
          </w:p>
        </w:tc>
        <w:tc>
          <w:tcPr>
            <w:tcW w:w="9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FORMS GENERALLY.</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3"/>
                <w:szCs w:val="13"/>
                <w:color w:val="auto"/>
              </w:rPr>
              <w:t>SECTION 202.</w:t>
            </w:r>
          </w:p>
        </w:tc>
        <w:tc>
          <w:tcPr>
            <w:tcW w:w="90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FORM OF TRUSTEE’S CERTIFICATE OF AUTHENTICATION.</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SECTION 203.</w:t>
            </w:r>
          </w:p>
        </w:tc>
        <w:tc>
          <w:tcPr>
            <w:tcW w:w="9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SECURITIES IN GLOBAL FORM.</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3"/>
                <w:szCs w:val="13"/>
                <w:color w:val="auto"/>
              </w:rPr>
              <w:t>SECTION 204.</w:t>
            </w:r>
          </w:p>
        </w:tc>
        <w:tc>
          <w:tcPr>
            <w:tcW w:w="90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BOOK-ENTRY SECURITIES.</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100" w:type="dxa"/>
            <w:vAlign w:val="bottom"/>
            <w:gridSpan w:val="2"/>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ARTICLE III - THE SECURITIES</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SECTION 301.</w:t>
            </w:r>
          </w:p>
        </w:tc>
        <w:tc>
          <w:tcPr>
            <w:tcW w:w="9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AMOUNT UNLIMITED; ISSUABLE IN SERIES.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3"/>
                <w:szCs w:val="13"/>
                <w:color w:val="auto"/>
              </w:rPr>
              <w:t>SECTION 302.</w:t>
            </w:r>
          </w:p>
        </w:tc>
        <w:tc>
          <w:tcPr>
            <w:tcW w:w="90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DENOMINATIONS.</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SECTION 303.</w:t>
            </w:r>
          </w:p>
        </w:tc>
        <w:tc>
          <w:tcPr>
            <w:tcW w:w="9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EXECUTION, AUTHENTICATION, DELIVERY AND DATING.</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3"/>
                <w:szCs w:val="13"/>
                <w:color w:val="auto"/>
              </w:rPr>
              <w:t>SECTION 304.</w:t>
            </w:r>
          </w:p>
        </w:tc>
        <w:tc>
          <w:tcPr>
            <w:tcW w:w="90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TEMPORARY SECURITIES.</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SECTION 305.</w:t>
            </w:r>
          </w:p>
        </w:tc>
        <w:tc>
          <w:tcPr>
            <w:tcW w:w="9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REGISTRATION, REGISTRATION OF TRANSFER AND EXCHANGE.</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3"/>
                <w:szCs w:val="13"/>
                <w:color w:val="auto"/>
              </w:rPr>
              <w:t>SECTION 306.</w:t>
            </w:r>
          </w:p>
        </w:tc>
        <w:tc>
          <w:tcPr>
            <w:tcW w:w="90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MUTILATED, DESTROYED, LOST AND STOLEN SECURITIES.</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SECTION 307.</w:t>
            </w:r>
          </w:p>
        </w:tc>
        <w:tc>
          <w:tcPr>
            <w:tcW w:w="9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PAYMENT OF INTEREST; INTEREST RIGHTS PRESERVED.</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3"/>
                <w:szCs w:val="13"/>
                <w:color w:val="auto"/>
              </w:rPr>
              <w:t>SECTION 308.</w:t>
            </w:r>
          </w:p>
        </w:tc>
        <w:tc>
          <w:tcPr>
            <w:tcW w:w="90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PERSONS DEEMED OWNERS.</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SECTION 309.</w:t>
            </w:r>
          </w:p>
        </w:tc>
        <w:tc>
          <w:tcPr>
            <w:tcW w:w="9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CANCELLATION.</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3"/>
                <w:szCs w:val="13"/>
                <w:color w:val="auto"/>
              </w:rPr>
              <w:t>SECTION 310.</w:t>
            </w:r>
          </w:p>
        </w:tc>
        <w:tc>
          <w:tcPr>
            <w:tcW w:w="90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COMPUTATION OF INTEREST.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SECTION 311.</w:t>
            </w:r>
          </w:p>
        </w:tc>
        <w:tc>
          <w:tcPr>
            <w:tcW w:w="9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CUSIP NUMBERS.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0100" w:type="dxa"/>
            <w:vAlign w:val="bottom"/>
            <w:gridSpan w:val="2"/>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0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ARTICLE IV - SATISFACTION AND DISCHARGE; LEGAL DEFEASANCE AND COVENANT DEFEASANCE</w:t>
            </w: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3"/>
                <w:szCs w:val="13"/>
                <w:color w:val="auto"/>
              </w:rPr>
              <w:t>SECTION 401.</w:t>
            </w:r>
          </w:p>
        </w:tc>
        <w:tc>
          <w:tcPr>
            <w:tcW w:w="90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SATISFACTION AND DISCHARGE OF INDENTURE.</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SECTION 402.</w:t>
            </w:r>
          </w:p>
        </w:tc>
        <w:tc>
          <w:tcPr>
            <w:tcW w:w="9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OPTION TO EFFECT LEGAL DEFEASANCE OR COVENANT DEFEASANCE.</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3"/>
                <w:szCs w:val="13"/>
                <w:color w:val="auto"/>
              </w:rPr>
              <w:t>SECTION 403.</w:t>
            </w:r>
          </w:p>
        </w:tc>
        <w:tc>
          <w:tcPr>
            <w:tcW w:w="90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LEGAL DEFEASANCE AND DISCHARGE.</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SECTION 404.</w:t>
            </w:r>
          </w:p>
        </w:tc>
        <w:tc>
          <w:tcPr>
            <w:tcW w:w="9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COVENANT DEFEASANCE.</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3"/>
                <w:szCs w:val="13"/>
                <w:color w:val="auto"/>
              </w:rPr>
              <w:t>SECTION 405.</w:t>
            </w:r>
          </w:p>
        </w:tc>
        <w:tc>
          <w:tcPr>
            <w:tcW w:w="90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CONDITIONS TO LEGAL OR COVENANT DEFEASANCE.</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SECTION 406.</w:t>
            </w:r>
          </w:p>
        </w:tc>
        <w:tc>
          <w:tcPr>
            <w:tcW w:w="9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DEPOSITED MONEY AND U.S. GOVERNMENT OBLIGATIONS TO BE HELD IN TRUST; OTHER MISCELLANEOUS PROVISIONS.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66610" cy="6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8">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82"/>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SECTION 407.</w:t>
            </w:r>
          </w:p>
        </w:tc>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REPAYMENT TO COMPANY.</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82"/>
        </w:trPr>
        <w:tc>
          <w:tcPr>
            <w:tcW w:w="1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SECTION 408.</w:t>
            </w:r>
          </w:p>
        </w:tc>
        <w:tc>
          <w:tcPr>
            <w:tcW w:w="7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REINSTATEMENT.</w:t>
            </w:r>
          </w:p>
        </w:tc>
        <w:tc>
          <w:tcPr>
            <w:tcW w:w="2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62"/>
        </w:trPr>
        <w:tc>
          <w:tcPr>
            <w:tcW w:w="8580" w:type="dxa"/>
            <w:vAlign w:val="bottom"/>
            <w:gridSpan w:val="2"/>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r>
      <w:tr>
        <w:trPr>
          <w:trHeight w:val="182"/>
        </w:trPr>
        <w:tc>
          <w:tcPr>
            <w:tcW w:w="85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ARTICLE V - REMEDIES</w:t>
            </w:r>
          </w:p>
        </w:tc>
        <w:tc>
          <w:tcPr>
            <w:tcW w:w="2700" w:type="dxa"/>
            <w:vAlign w:val="bottom"/>
          </w:tcPr>
          <w:p>
            <w:pPr>
              <w:spacing w:after="0"/>
              <w:rPr>
                <w:sz w:val="15"/>
                <w:szCs w:val="15"/>
                <w:color w:val="auto"/>
              </w:rPr>
            </w:pPr>
          </w:p>
        </w:tc>
      </w:tr>
      <w:tr>
        <w:trPr>
          <w:trHeight w:val="182"/>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SECTION 501.</w:t>
            </w:r>
          </w:p>
        </w:tc>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EVENTS OF DEFAULT.</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82"/>
        </w:trPr>
        <w:tc>
          <w:tcPr>
            <w:tcW w:w="1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SECTION 502.</w:t>
            </w:r>
          </w:p>
        </w:tc>
        <w:tc>
          <w:tcPr>
            <w:tcW w:w="7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ACCELERATION.</w:t>
            </w:r>
          </w:p>
        </w:tc>
        <w:tc>
          <w:tcPr>
            <w:tcW w:w="2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82"/>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SECTION 503.</w:t>
            </w:r>
          </w:p>
        </w:tc>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 REMEDIES.</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82"/>
        </w:trPr>
        <w:tc>
          <w:tcPr>
            <w:tcW w:w="1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SECTION 504.</w:t>
            </w:r>
          </w:p>
        </w:tc>
        <w:tc>
          <w:tcPr>
            <w:tcW w:w="7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WAIVER OF PAST DEFAULTS.</w:t>
            </w:r>
          </w:p>
        </w:tc>
        <w:tc>
          <w:tcPr>
            <w:tcW w:w="2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82"/>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SECTION 505.</w:t>
            </w:r>
          </w:p>
        </w:tc>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CONTROL BY MAJORITY.</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82"/>
        </w:trPr>
        <w:tc>
          <w:tcPr>
            <w:tcW w:w="1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SECTION 506.</w:t>
            </w:r>
          </w:p>
        </w:tc>
        <w:tc>
          <w:tcPr>
            <w:tcW w:w="7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LIMITATION ON SUITS.</w:t>
            </w:r>
          </w:p>
        </w:tc>
        <w:tc>
          <w:tcPr>
            <w:tcW w:w="2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82"/>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SECTION 507.</w:t>
            </w:r>
          </w:p>
        </w:tc>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RIGHTS OF HOLDERS OF SECURITIES TO RECEIVE PAYMENT.</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82"/>
        </w:trPr>
        <w:tc>
          <w:tcPr>
            <w:tcW w:w="1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SECTION 508.</w:t>
            </w:r>
          </w:p>
        </w:tc>
        <w:tc>
          <w:tcPr>
            <w:tcW w:w="7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COLLECTION SUIT BY TRUSTEE.</w:t>
            </w:r>
          </w:p>
        </w:tc>
        <w:tc>
          <w:tcPr>
            <w:tcW w:w="2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82"/>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SECTION 509.</w:t>
            </w:r>
          </w:p>
        </w:tc>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TRUSTEE MAY FILE PROOFS OF CLAIM.</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82"/>
        </w:trPr>
        <w:tc>
          <w:tcPr>
            <w:tcW w:w="1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SECTION 510.</w:t>
            </w:r>
          </w:p>
        </w:tc>
        <w:tc>
          <w:tcPr>
            <w:tcW w:w="7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PRIORITIES.</w:t>
            </w:r>
          </w:p>
        </w:tc>
        <w:tc>
          <w:tcPr>
            <w:tcW w:w="2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82"/>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SECTION 511.</w:t>
            </w:r>
          </w:p>
        </w:tc>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UNDERTAKING FOR COSTS.</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62"/>
        </w:trPr>
        <w:tc>
          <w:tcPr>
            <w:tcW w:w="8580" w:type="dxa"/>
            <w:vAlign w:val="bottom"/>
            <w:gridSpan w:val="2"/>
          </w:tcPr>
          <w:p>
            <w:pPr>
              <w:spacing w:after="0"/>
              <w:rPr>
                <w:sz w:val="14"/>
                <w:szCs w:val="14"/>
                <w:color w:val="auto"/>
              </w:rPr>
            </w:pPr>
          </w:p>
        </w:tc>
        <w:tc>
          <w:tcPr>
            <w:tcW w:w="2700" w:type="dxa"/>
            <w:vAlign w:val="bottom"/>
          </w:tcPr>
          <w:p>
            <w:pPr>
              <w:spacing w:after="0"/>
              <w:rPr>
                <w:sz w:val="14"/>
                <w:szCs w:val="14"/>
                <w:color w:val="auto"/>
              </w:rPr>
            </w:pPr>
          </w:p>
        </w:tc>
      </w:tr>
      <w:tr>
        <w:trPr>
          <w:trHeight w:val="182"/>
        </w:trPr>
        <w:tc>
          <w:tcPr>
            <w:tcW w:w="8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ARTICLE VI - THE TRUSTEE</w:t>
            </w:r>
          </w:p>
        </w:tc>
        <w:tc>
          <w:tcPr>
            <w:tcW w:w="2700" w:type="dxa"/>
            <w:vAlign w:val="bottom"/>
            <w:shd w:val="clear" w:color="auto" w:fill="CCEEFF"/>
          </w:tcPr>
          <w:p>
            <w:pPr>
              <w:spacing w:after="0"/>
              <w:rPr>
                <w:sz w:val="15"/>
                <w:szCs w:val="15"/>
                <w:color w:val="auto"/>
              </w:rPr>
            </w:pPr>
          </w:p>
        </w:tc>
      </w:tr>
      <w:tr>
        <w:trPr>
          <w:trHeight w:val="182"/>
        </w:trPr>
        <w:tc>
          <w:tcPr>
            <w:tcW w:w="1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ECTION 601.</w:t>
            </w:r>
          </w:p>
        </w:tc>
        <w:tc>
          <w:tcPr>
            <w:tcW w:w="7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CERTAIN DUTIES AND RESPONSIBILITIES.</w:t>
            </w:r>
          </w:p>
        </w:tc>
        <w:tc>
          <w:tcPr>
            <w:tcW w:w="2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182"/>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SECTION 602.</w:t>
            </w:r>
          </w:p>
        </w:tc>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NOTICE OF DEFAULTS.</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182"/>
        </w:trPr>
        <w:tc>
          <w:tcPr>
            <w:tcW w:w="1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SECTION 603.</w:t>
            </w:r>
          </w:p>
        </w:tc>
        <w:tc>
          <w:tcPr>
            <w:tcW w:w="7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CERTAIN RIGHTS OF TRUSTEE.</w:t>
            </w:r>
          </w:p>
        </w:tc>
        <w:tc>
          <w:tcPr>
            <w:tcW w:w="2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182"/>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SECTION 604.</w:t>
            </w:r>
          </w:p>
        </w:tc>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NOT RESPONSIBLE FOR RECITALS OR ISSUANCE OF SECURITIES.</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82"/>
        </w:trPr>
        <w:tc>
          <w:tcPr>
            <w:tcW w:w="1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SECTION 605.</w:t>
            </w:r>
          </w:p>
        </w:tc>
        <w:tc>
          <w:tcPr>
            <w:tcW w:w="7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MAY HOLD SECURITIES.</w:t>
            </w:r>
          </w:p>
        </w:tc>
        <w:tc>
          <w:tcPr>
            <w:tcW w:w="2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82"/>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SECTION 606.</w:t>
            </w:r>
          </w:p>
        </w:tc>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MONEY HELD IN TRUST.</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82"/>
        </w:trPr>
        <w:tc>
          <w:tcPr>
            <w:tcW w:w="1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SECTION 607.</w:t>
            </w:r>
          </w:p>
        </w:tc>
        <w:tc>
          <w:tcPr>
            <w:tcW w:w="7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COMPENSATION AND REIMBURSEMENT.</w:t>
            </w:r>
          </w:p>
        </w:tc>
        <w:tc>
          <w:tcPr>
            <w:tcW w:w="2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82"/>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SECTION 608.</w:t>
            </w:r>
          </w:p>
        </w:tc>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DISQUALIFICATION; CONFLICTING INTERESTS.</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82"/>
        </w:trPr>
        <w:tc>
          <w:tcPr>
            <w:tcW w:w="1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SECTION 609.</w:t>
            </w:r>
          </w:p>
        </w:tc>
        <w:tc>
          <w:tcPr>
            <w:tcW w:w="7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CORPORATE TRUSTEE REQUIRED; ELIGIBILITY.</w:t>
            </w:r>
          </w:p>
        </w:tc>
        <w:tc>
          <w:tcPr>
            <w:tcW w:w="2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82"/>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SECTION 610.</w:t>
            </w:r>
          </w:p>
        </w:tc>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RESIGNATION AND REMOVAL; APPOINTMENT OF SUCCESSOR.</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82"/>
        </w:trPr>
        <w:tc>
          <w:tcPr>
            <w:tcW w:w="1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SECTION 611.</w:t>
            </w:r>
          </w:p>
        </w:tc>
        <w:tc>
          <w:tcPr>
            <w:tcW w:w="7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ACCEPTANCE OF APPOINTMENT BY SUCCESSOR.</w:t>
            </w:r>
          </w:p>
        </w:tc>
        <w:tc>
          <w:tcPr>
            <w:tcW w:w="2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182"/>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SECTION 612.</w:t>
            </w:r>
          </w:p>
        </w:tc>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MERGER, CONVERSION, CONSOLIDATION OR SUCCESSION TO BUSINESS.</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182"/>
        </w:trPr>
        <w:tc>
          <w:tcPr>
            <w:tcW w:w="1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SECTION 613.</w:t>
            </w:r>
          </w:p>
        </w:tc>
        <w:tc>
          <w:tcPr>
            <w:tcW w:w="7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PREFERENTIAL COLLECTION OF CLAIMS AGAINST COMPANY.</w:t>
            </w:r>
          </w:p>
        </w:tc>
        <w:tc>
          <w:tcPr>
            <w:tcW w:w="2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182"/>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SECTION 614.</w:t>
            </w:r>
          </w:p>
        </w:tc>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APPOINTMENT OF AUTHENTICATING AGENT.</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162"/>
        </w:trPr>
        <w:tc>
          <w:tcPr>
            <w:tcW w:w="8580" w:type="dxa"/>
            <w:vAlign w:val="bottom"/>
            <w:gridSpan w:val="2"/>
          </w:tcPr>
          <w:p>
            <w:pPr>
              <w:spacing w:after="0"/>
              <w:rPr>
                <w:sz w:val="14"/>
                <w:szCs w:val="14"/>
                <w:color w:val="auto"/>
              </w:rPr>
            </w:pPr>
          </w:p>
        </w:tc>
        <w:tc>
          <w:tcPr>
            <w:tcW w:w="2700" w:type="dxa"/>
            <w:vAlign w:val="bottom"/>
          </w:tcPr>
          <w:p>
            <w:pPr>
              <w:spacing w:after="0"/>
              <w:rPr>
                <w:sz w:val="14"/>
                <w:szCs w:val="14"/>
                <w:color w:val="auto"/>
              </w:rPr>
            </w:pPr>
          </w:p>
        </w:tc>
      </w:tr>
      <w:tr>
        <w:trPr>
          <w:trHeight w:val="182"/>
        </w:trPr>
        <w:tc>
          <w:tcPr>
            <w:tcW w:w="8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ARTICLE VII - HOLDER’S LISTS AND REPORTS BY TRUSTEE AND COMPANY</w:t>
            </w:r>
          </w:p>
        </w:tc>
        <w:tc>
          <w:tcPr>
            <w:tcW w:w="2700" w:type="dxa"/>
            <w:vAlign w:val="bottom"/>
            <w:shd w:val="clear" w:color="auto" w:fill="CCEEFF"/>
          </w:tcPr>
          <w:p>
            <w:pPr>
              <w:spacing w:after="0"/>
              <w:rPr>
                <w:sz w:val="15"/>
                <w:szCs w:val="15"/>
                <w:color w:val="auto"/>
              </w:rPr>
            </w:pPr>
          </w:p>
        </w:tc>
      </w:tr>
      <w:tr>
        <w:trPr>
          <w:trHeight w:val="182"/>
        </w:trPr>
        <w:tc>
          <w:tcPr>
            <w:tcW w:w="1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SECTION 701.</w:t>
            </w:r>
          </w:p>
        </w:tc>
        <w:tc>
          <w:tcPr>
            <w:tcW w:w="7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COMPANY TO FURNISH TRUSTEE NAMES AND ADDRESSES OF HOLDERS.</w:t>
            </w:r>
          </w:p>
        </w:tc>
        <w:tc>
          <w:tcPr>
            <w:tcW w:w="2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182"/>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SECTION 702.</w:t>
            </w:r>
          </w:p>
        </w:tc>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PRESERVATION OF INFORMATION; COMMUNICATIONS TO HOLDERS.</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182"/>
        </w:trPr>
        <w:tc>
          <w:tcPr>
            <w:tcW w:w="1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SECTION 703.</w:t>
            </w:r>
          </w:p>
        </w:tc>
        <w:tc>
          <w:tcPr>
            <w:tcW w:w="7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REPORTS BY TRUSTEE.</w:t>
            </w:r>
          </w:p>
        </w:tc>
        <w:tc>
          <w:tcPr>
            <w:tcW w:w="2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82"/>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SECTION 704.</w:t>
            </w:r>
          </w:p>
        </w:tc>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REPORTS BY COMPANY.</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62"/>
        </w:trPr>
        <w:tc>
          <w:tcPr>
            <w:tcW w:w="8580" w:type="dxa"/>
            <w:vAlign w:val="bottom"/>
            <w:gridSpan w:val="2"/>
          </w:tcPr>
          <w:p>
            <w:pPr>
              <w:spacing w:after="0"/>
              <w:rPr>
                <w:sz w:val="14"/>
                <w:szCs w:val="14"/>
                <w:color w:val="auto"/>
              </w:rPr>
            </w:pPr>
          </w:p>
        </w:tc>
        <w:tc>
          <w:tcPr>
            <w:tcW w:w="2700" w:type="dxa"/>
            <w:vAlign w:val="bottom"/>
          </w:tcPr>
          <w:p>
            <w:pPr>
              <w:spacing w:after="0"/>
              <w:rPr>
                <w:sz w:val="14"/>
                <w:szCs w:val="14"/>
                <w:color w:val="auto"/>
              </w:rPr>
            </w:pPr>
          </w:p>
        </w:tc>
      </w:tr>
      <w:tr>
        <w:trPr>
          <w:trHeight w:val="182"/>
        </w:trPr>
        <w:tc>
          <w:tcPr>
            <w:tcW w:w="8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ARTICLE VIII - CONSOLIDATION, MERGER, CONVEYANCE, TRANSFER OR LEASE</w:t>
            </w:r>
          </w:p>
        </w:tc>
        <w:tc>
          <w:tcPr>
            <w:tcW w:w="2700" w:type="dxa"/>
            <w:vAlign w:val="bottom"/>
            <w:shd w:val="clear" w:color="auto" w:fill="CCEEFF"/>
          </w:tcPr>
          <w:p>
            <w:pPr>
              <w:spacing w:after="0"/>
              <w:rPr>
                <w:sz w:val="15"/>
                <w:szCs w:val="15"/>
                <w:color w:val="auto"/>
              </w:rPr>
            </w:pPr>
          </w:p>
        </w:tc>
      </w:tr>
      <w:tr>
        <w:trPr>
          <w:trHeight w:val="182"/>
        </w:trPr>
        <w:tc>
          <w:tcPr>
            <w:tcW w:w="1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SECTION 801.</w:t>
            </w:r>
          </w:p>
        </w:tc>
        <w:tc>
          <w:tcPr>
            <w:tcW w:w="7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COMPANY MAY CONSOLIDATE, ETC., ONLY ON CERTAIN TERMS.</w:t>
            </w:r>
          </w:p>
        </w:tc>
        <w:tc>
          <w:tcPr>
            <w:tcW w:w="2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82"/>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SECTION 802.</w:t>
            </w:r>
          </w:p>
        </w:tc>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SUCCESSOR PERSON SUBSTITUTED.</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82"/>
        </w:trPr>
        <w:tc>
          <w:tcPr>
            <w:tcW w:w="85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ARTICLE IX - SUPPLEMENTAL INDENTURES</w:t>
            </w:r>
          </w:p>
        </w:tc>
        <w:tc>
          <w:tcPr>
            <w:tcW w:w="2700" w:type="dxa"/>
            <w:vAlign w:val="bottom"/>
          </w:tcPr>
          <w:p>
            <w:pPr>
              <w:spacing w:after="0"/>
              <w:rPr>
                <w:sz w:val="15"/>
                <w:szCs w:val="15"/>
                <w:color w:val="auto"/>
              </w:rPr>
            </w:pPr>
          </w:p>
        </w:tc>
      </w:tr>
      <w:tr>
        <w:trPr>
          <w:trHeight w:val="182"/>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SECTION 901.</w:t>
            </w:r>
          </w:p>
        </w:tc>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WITHOUT CONSENT OF HOLDERS.</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82"/>
        </w:trPr>
        <w:tc>
          <w:tcPr>
            <w:tcW w:w="1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SECTION 902.</w:t>
            </w:r>
          </w:p>
        </w:tc>
        <w:tc>
          <w:tcPr>
            <w:tcW w:w="7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WITH CONSENT OF HOLDERS.</w:t>
            </w:r>
          </w:p>
        </w:tc>
        <w:tc>
          <w:tcPr>
            <w:tcW w:w="2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82"/>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SECTION 903.</w:t>
            </w:r>
          </w:p>
        </w:tc>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COMPLIANCE WITH TRUST INDENTURE ACT.</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182"/>
        </w:trPr>
        <w:tc>
          <w:tcPr>
            <w:tcW w:w="1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SECTION 904.</w:t>
            </w:r>
          </w:p>
        </w:tc>
        <w:tc>
          <w:tcPr>
            <w:tcW w:w="7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REVOCATION AND EFFECT OF CONSENTS.</w:t>
            </w:r>
          </w:p>
        </w:tc>
        <w:tc>
          <w:tcPr>
            <w:tcW w:w="2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182"/>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SECTION 905.</w:t>
            </w:r>
          </w:p>
        </w:tc>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NOTATION ON OR EXCHANGE OF SECURITIES.</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181"/>
        </w:trPr>
        <w:tc>
          <w:tcPr>
            <w:tcW w:w="1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SECTION 906.</w:t>
            </w:r>
          </w:p>
        </w:tc>
        <w:tc>
          <w:tcPr>
            <w:tcW w:w="7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TRUSTEE TO SIGN AMENDMENTS, ETC.</w:t>
            </w:r>
          </w:p>
        </w:tc>
        <w:tc>
          <w:tcPr>
            <w:tcW w:w="2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r>
    </w:tbl>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66610"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9">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25" w:right="31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82"/>
        </w:trPr>
        <w:tc>
          <w:tcPr>
            <w:tcW w:w="8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ARTICLE X - COVENANTS</w:t>
            </w:r>
          </w:p>
        </w:tc>
        <w:tc>
          <w:tcPr>
            <w:tcW w:w="2320" w:type="dxa"/>
            <w:vAlign w:val="bottom"/>
            <w:shd w:val="clear" w:color="auto" w:fill="CCEEFF"/>
          </w:tcPr>
          <w:p>
            <w:pPr>
              <w:spacing w:after="0"/>
              <w:rPr>
                <w:sz w:val="15"/>
                <w:szCs w:val="15"/>
                <w:color w:val="auto"/>
              </w:rPr>
            </w:pPr>
          </w:p>
        </w:tc>
      </w:tr>
      <w:tr>
        <w:trPr>
          <w:trHeight w:val="182"/>
        </w:trPr>
        <w:tc>
          <w:tcPr>
            <w:tcW w:w="1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SECTION 1001.</w:t>
            </w:r>
          </w:p>
        </w:tc>
        <w:tc>
          <w:tcPr>
            <w:tcW w:w="78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PA3YMENT OF PRINCIPAL, PREMIUM AND INTEREST.</w:t>
            </w:r>
          </w:p>
        </w:tc>
        <w:tc>
          <w:tcPr>
            <w:tcW w:w="2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182"/>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SECTION 1002.</w:t>
            </w:r>
          </w:p>
        </w:tc>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MAINTENANCE OF OFFICE OR AGENCY.</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182"/>
        </w:trPr>
        <w:tc>
          <w:tcPr>
            <w:tcW w:w="1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SECTION 1003.</w:t>
            </w:r>
          </w:p>
        </w:tc>
        <w:tc>
          <w:tcPr>
            <w:tcW w:w="78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MONEY FOR SECURITIES PAYMENTS TO BE HELD IN TRUST.</w:t>
            </w:r>
          </w:p>
        </w:tc>
        <w:tc>
          <w:tcPr>
            <w:tcW w:w="2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37</w:t>
            </w:r>
          </w:p>
        </w:tc>
      </w:tr>
      <w:tr>
        <w:trPr>
          <w:trHeight w:val="182"/>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SECTION 1004.</w:t>
            </w:r>
          </w:p>
        </w:tc>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EXISTENCE.</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r>
      <w:tr>
        <w:trPr>
          <w:trHeight w:val="182"/>
        </w:trPr>
        <w:tc>
          <w:tcPr>
            <w:tcW w:w="1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SECTION 1005.</w:t>
            </w:r>
          </w:p>
        </w:tc>
        <w:tc>
          <w:tcPr>
            <w:tcW w:w="78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STATEMENT BY OFFICERS AS TO DEFAULT.</w:t>
            </w:r>
          </w:p>
        </w:tc>
        <w:tc>
          <w:tcPr>
            <w:tcW w:w="2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182"/>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SECTION 1006.</w:t>
            </w:r>
          </w:p>
        </w:tc>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WAIVER OF CERTAIN COVENANTS.</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182"/>
        </w:trPr>
        <w:tc>
          <w:tcPr>
            <w:tcW w:w="1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SECTION 1007.</w:t>
            </w:r>
          </w:p>
        </w:tc>
        <w:tc>
          <w:tcPr>
            <w:tcW w:w="78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ADDITIONAL AMOUNTS.</w:t>
            </w:r>
          </w:p>
        </w:tc>
        <w:tc>
          <w:tcPr>
            <w:tcW w:w="2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162"/>
        </w:trPr>
        <w:tc>
          <w:tcPr>
            <w:tcW w:w="8960" w:type="dxa"/>
            <w:vAlign w:val="bottom"/>
            <w:gridSpan w:val="2"/>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r>
      <w:tr>
        <w:trPr>
          <w:trHeight w:val="182"/>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ARTICLE XI - REDEMPTION OF SECURITIES</w:t>
            </w:r>
          </w:p>
        </w:tc>
        <w:tc>
          <w:tcPr>
            <w:tcW w:w="2320" w:type="dxa"/>
            <w:vAlign w:val="bottom"/>
          </w:tcPr>
          <w:p>
            <w:pPr>
              <w:spacing w:after="0"/>
              <w:rPr>
                <w:sz w:val="15"/>
                <w:szCs w:val="15"/>
                <w:color w:val="auto"/>
              </w:rPr>
            </w:pPr>
          </w:p>
        </w:tc>
      </w:tr>
      <w:tr>
        <w:trPr>
          <w:trHeight w:val="182"/>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SECTION 1101.</w:t>
            </w:r>
          </w:p>
        </w:tc>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APPLICABILITY OF ARTICLE.</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r>
      <w:tr>
        <w:trPr>
          <w:trHeight w:val="182"/>
        </w:trPr>
        <w:tc>
          <w:tcPr>
            <w:tcW w:w="1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SECTION 1102.</w:t>
            </w:r>
          </w:p>
        </w:tc>
        <w:tc>
          <w:tcPr>
            <w:tcW w:w="78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ELECTION TO REDEEM; NOTICE TO TRUSTEE.</w:t>
            </w:r>
          </w:p>
        </w:tc>
        <w:tc>
          <w:tcPr>
            <w:tcW w:w="2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r>
      <w:tr>
        <w:trPr>
          <w:trHeight w:val="182"/>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SECTION 1103.</w:t>
            </w:r>
          </w:p>
        </w:tc>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SELECTION BY TRUSTEE OF SECURITIES TO BE REDEEMED.</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r>
      <w:tr>
        <w:trPr>
          <w:trHeight w:val="182"/>
        </w:trPr>
        <w:tc>
          <w:tcPr>
            <w:tcW w:w="1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SECTION 1104.</w:t>
            </w:r>
          </w:p>
        </w:tc>
        <w:tc>
          <w:tcPr>
            <w:tcW w:w="78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NOTICE OF REDEMPTION.</w:t>
            </w:r>
          </w:p>
        </w:tc>
        <w:tc>
          <w:tcPr>
            <w:tcW w:w="2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r>
      <w:tr>
        <w:trPr>
          <w:trHeight w:val="182"/>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SECTION 1105.</w:t>
            </w:r>
          </w:p>
        </w:tc>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DEPOSIT OF REDEMPTION PRICE.</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182"/>
        </w:trPr>
        <w:tc>
          <w:tcPr>
            <w:tcW w:w="1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SECTION 1106.</w:t>
            </w:r>
          </w:p>
        </w:tc>
        <w:tc>
          <w:tcPr>
            <w:tcW w:w="78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SECURITIES PAYABLE ON REDEMPTION DATE.</w:t>
            </w:r>
          </w:p>
        </w:tc>
        <w:tc>
          <w:tcPr>
            <w:tcW w:w="2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182"/>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SECTION 1107.</w:t>
            </w:r>
          </w:p>
        </w:tc>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SECURITIES REDEEMED IN PART.</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182"/>
        </w:trPr>
        <w:tc>
          <w:tcPr>
            <w:tcW w:w="1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SECTION 1108.</w:t>
            </w:r>
          </w:p>
        </w:tc>
        <w:tc>
          <w:tcPr>
            <w:tcW w:w="78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PURCHASE OF SECURITIES.</w:t>
            </w:r>
          </w:p>
        </w:tc>
        <w:tc>
          <w:tcPr>
            <w:tcW w:w="2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162"/>
        </w:trPr>
        <w:tc>
          <w:tcPr>
            <w:tcW w:w="8960" w:type="dxa"/>
            <w:vAlign w:val="bottom"/>
            <w:gridSpan w:val="2"/>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r>
      <w:tr>
        <w:trPr>
          <w:trHeight w:val="182"/>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ARTICLE XII - SINKING FUNDS</w:t>
            </w:r>
          </w:p>
        </w:tc>
        <w:tc>
          <w:tcPr>
            <w:tcW w:w="2320" w:type="dxa"/>
            <w:vAlign w:val="bottom"/>
          </w:tcPr>
          <w:p>
            <w:pPr>
              <w:spacing w:after="0"/>
              <w:rPr>
                <w:sz w:val="15"/>
                <w:szCs w:val="15"/>
                <w:color w:val="auto"/>
              </w:rPr>
            </w:pPr>
          </w:p>
        </w:tc>
      </w:tr>
      <w:tr>
        <w:trPr>
          <w:trHeight w:val="182"/>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SECTION 1201.</w:t>
            </w:r>
          </w:p>
        </w:tc>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APPLICABILITY OF ARTICLE.</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182"/>
        </w:trPr>
        <w:tc>
          <w:tcPr>
            <w:tcW w:w="1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SECTION 1202.</w:t>
            </w:r>
          </w:p>
        </w:tc>
        <w:tc>
          <w:tcPr>
            <w:tcW w:w="78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SATISFACTION OF SINKING FUND PAYMENTS WITH SECURITIES.</w:t>
            </w:r>
          </w:p>
        </w:tc>
        <w:tc>
          <w:tcPr>
            <w:tcW w:w="2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r>
      <w:tr>
        <w:trPr>
          <w:trHeight w:val="182"/>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SECTION 1203.</w:t>
            </w:r>
          </w:p>
        </w:tc>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REDEMPTION OF SECURITIES FOR SINKING FUND.</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r>
      <w:tr>
        <w:trPr>
          <w:trHeight w:val="162"/>
        </w:trPr>
        <w:tc>
          <w:tcPr>
            <w:tcW w:w="8960" w:type="dxa"/>
            <w:vAlign w:val="bottom"/>
            <w:gridSpan w:val="2"/>
          </w:tcPr>
          <w:p>
            <w:pPr>
              <w:spacing w:after="0"/>
              <w:rPr>
                <w:sz w:val="14"/>
                <w:szCs w:val="14"/>
                <w:color w:val="auto"/>
              </w:rPr>
            </w:pPr>
          </w:p>
        </w:tc>
        <w:tc>
          <w:tcPr>
            <w:tcW w:w="2320" w:type="dxa"/>
            <w:vAlign w:val="bottom"/>
          </w:tcPr>
          <w:p>
            <w:pPr>
              <w:spacing w:after="0"/>
              <w:rPr>
                <w:sz w:val="14"/>
                <w:szCs w:val="14"/>
                <w:color w:val="auto"/>
              </w:rPr>
            </w:pPr>
          </w:p>
        </w:tc>
      </w:tr>
      <w:tr>
        <w:trPr>
          <w:trHeight w:val="182"/>
        </w:trPr>
        <w:tc>
          <w:tcPr>
            <w:tcW w:w="8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ARTICLE XIII - MEETINGS OF HOLDERS OF SECURITIES</w:t>
            </w:r>
          </w:p>
        </w:tc>
        <w:tc>
          <w:tcPr>
            <w:tcW w:w="2320" w:type="dxa"/>
            <w:vAlign w:val="bottom"/>
            <w:shd w:val="clear" w:color="auto" w:fill="CCEEFF"/>
          </w:tcPr>
          <w:p>
            <w:pPr>
              <w:spacing w:after="0"/>
              <w:rPr>
                <w:sz w:val="15"/>
                <w:szCs w:val="15"/>
                <w:color w:val="auto"/>
              </w:rPr>
            </w:pPr>
          </w:p>
        </w:tc>
      </w:tr>
      <w:tr>
        <w:trPr>
          <w:trHeight w:val="182"/>
        </w:trPr>
        <w:tc>
          <w:tcPr>
            <w:tcW w:w="1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SECTION 1301.</w:t>
            </w:r>
          </w:p>
        </w:tc>
        <w:tc>
          <w:tcPr>
            <w:tcW w:w="78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PURPOSES FOR WHICH MEETINGS MAY BE CALLED.</w:t>
            </w:r>
          </w:p>
        </w:tc>
        <w:tc>
          <w:tcPr>
            <w:tcW w:w="2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r>
      <w:tr>
        <w:trPr>
          <w:trHeight w:val="182"/>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SECTION 1302.</w:t>
            </w:r>
          </w:p>
        </w:tc>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CALL, NOTICE AND PLACE OF MEETINGS.</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r>
      <w:tr>
        <w:trPr>
          <w:trHeight w:val="182"/>
        </w:trPr>
        <w:tc>
          <w:tcPr>
            <w:tcW w:w="1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SECTION 1303.</w:t>
            </w:r>
          </w:p>
        </w:tc>
        <w:tc>
          <w:tcPr>
            <w:tcW w:w="78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PERSONS ENTITLED TO VOTE AT MEETINGS.</w:t>
            </w:r>
          </w:p>
        </w:tc>
        <w:tc>
          <w:tcPr>
            <w:tcW w:w="2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r>
      <w:tr>
        <w:trPr>
          <w:trHeight w:val="182"/>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SECTION 1304.</w:t>
            </w:r>
          </w:p>
        </w:tc>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QUORUM; ACTION.</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r>
      <w:tr>
        <w:trPr>
          <w:trHeight w:val="182"/>
        </w:trPr>
        <w:tc>
          <w:tcPr>
            <w:tcW w:w="1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SECTION 1305.</w:t>
            </w:r>
          </w:p>
        </w:tc>
        <w:tc>
          <w:tcPr>
            <w:tcW w:w="78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DETERMINATION OF VOTING RIGHTS; CONDUCT AND ADJOURNMENT OF MEETINGS.</w:t>
            </w:r>
          </w:p>
        </w:tc>
        <w:tc>
          <w:tcPr>
            <w:tcW w:w="2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r>
      <w:tr>
        <w:trPr>
          <w:trHeight w:val="182"/>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SECTION 1306.</w:t>
            </w:r>
          </w:p>
        </w:tc>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COUNTING VOTES AND RECORDING ACTION OF MEETINGS.</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r>
    </w:tbl>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66610"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0">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25" w:right="31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3"/>
          <w:szCs w:val="13"/>
          <w:b w:val="1"/>
          <w:bCs w:val="1"/>
          <w:color w:val="auto"/>
        </w:rPr>
        <w:t>INDENTURE</w:t>
      </w:r>
    </w:p>
    <w:p>
      <w:pPr>
        <w:spacing w:after="0" w:line="17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3"/>
          <w:szCs w:val="13"/>
          <w:color w:val="auto"/>
        </w:rPr>
        <w:t>THIS Indenture, dated as of , 20___, between Navitas Semiconductor Corporation, a corporation duly organized and existing under the laws of the State of Delaware (herein called the “</w:t>
      </w:r>
      <w:r>
        <w:rPr>
          <w:rFonts w:ascii="Times New Roman" w:cs="Times New Roman" w:eastAsia="Times New Roman" w:hAnsi="Times New Roman"/>
          <w:sz w:val="13"/>
          <w:szCs w:val="13"/>
          <w:i w:val="1"/>
          <w:iCs w:val="1"/>
          <w:color w:val="auto"/>
        </w:rPr>
        <w:t>Company</w:t>
      </w:r>
      <w:r>
        <w:rPr>
          <w:rFonts w:ascii="Times New Roman" w:cs="Times New Roman" w:eastAsia="Times New Roman" w:hAnsi="Times New Roman"/>
          <w:sz w:val="13"/>
          <w:szCs w:val="13"/>
          <w:color w:val="auto"/>
        </w:rPr>
        <w:t>”), having its principal office at 3520 Challenger Street, Torrance, California 90503, and ______________, a ___________________ banking corporation, as Trustee (herein called the “</w:t>
      </w:r>
      <w:r>
        <w:rPr>
          <w:rFonts w:ascii="Times New Roman" w:cs="Times New Roman" w:eastAsia="Times New Roman" w:hAnsi="Times New Roman"/>
          <w:sz w:val="13"/>
          <w:szCs w:val="13"/>
          <w:i w:val="1"/>
          <w:iCs w:val="1"/>
          <w:color w:val="auto"/>
        </w:rPr>
        <w:t>Trustee</w:t>
      </w:r>
      <w:r>
        <w:rPr>
          <w:rFonts w:ascii="Times New Roman" w:cs="Times New Roman" w:eastAsia="Times New Roman" w:hAnsi="Times New Roman"/>
          <w:sz w:val="13"/>
          <w:szCs w:val="13"/>
          <w:color w:val="auto"/>
        </w:rPr>
        <w:t>”), the office of the Trustee at</w:t>
      </w:r>
    </w:p>
    <w:p>
      <w:pPr>
        <w:spacing w:after="0"/>
        <w:rPr>
          <w:sz w:val="20"/>
          <w:szCs w:val="20"/>
          <w:color w:val="auto"/>
        </w:rPr>
      </w:pPr>
      <w:r>
        <w:rPr>
          <w:rFonts w:ascii="Times New Roman" w:cs="Times New Roman" w:eastAsia="Times New Roman" w:hAnsi="Times New Roman"/>
          <w:sz w:val="13"/>
          <w:szCs w:val="13"/>
          <w:color w:val="auto"/>
        </w:rPr>
        <w:t>which at the date hereof its corporate trust business is principally administered being ___________________.</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RECITALS OF THE COMPANY</w:t>
      </w:r>
    </w:p>
    <w:p>
      <w:pPr>
        <w:spacing w:after="0" w:line="17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color w:val="auto"/>
        </w:rPr>
        <w:t>The Company has duly authorized the execution and delivery of this Indenture to provide for the issuance from time to time of its unsecured debentures, notes or other evidences of indebtedness (herein called the “</w:t>
      </w:r>
      <w:r>
        <w:rPr>
          <w:rFonts w:ascii="Times New Roman" w:cs="Times New Roman" w:eastAsia="Times New Roman" w:hAnsi="Times New Roman"/>
          <w:sz w:val="13"/>
          <w:szCs w:val="13"/>
          <w:i w:val="1"/>
          <w:iCs w:val="1"/>
          <w:color w:val="auto"/>
        </w:rPr>
        <w:t>Securities</w:t>
      </w:r>
      <w:r>
        <w:rPr>
          <w:rFonts w:ascii="Times New Roman" w:cs="Times New Roman" w:eastAsia="Times New Roman" w:hAnsi="Times New Roman"/>
          <w:sz w:val="13"/>
          <w:szCs w:val="13"/>
          <w:color w:val="auto"/>
        </w:rPr>
        <w:t>”), to be issued in one or more series as in this Indenture provided.</w:t>
      </w:r>
    </w:p>
    <w:p>
      <w:pPr>
        <w:spacing w:after="0" w:line="11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3"/>
          <w:szCs w:val="13"/>
          <w:color w:val="auto"/>
        </w:rPr>
        <w:t>The Securities of each series will be in such form as may be established by or pursuant to a Board Resolution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as may, consistently herewith, be determined by the officers executing such Securities, as evidenced by their execution of the Securities.</w:t>
      </w:r>
    </w:p>
    <w:p>
      <w:pPr>
        <w:spacing w:after="0" w:line="293"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color w:val="auto"/>
        </w:rPr>
        <w:t>This Indenture is subject to the provisions of the Trust Indenture Act and the rules and regulations of the SEC promulgated thereunder that are required to be part of this Indenture and, to the extent applicable, shall be governed by such provisions.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All things necessary to make this Indenture a valid agreement of the Company, in accordance with its terms, have been done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NOW, THEREFORE, THIS INDENTURE WITNESSETH:</w:t>
      </w:r>
    </w:p>
    <w:p>
      <w:pPr>
        <w:spacing w:after="0" w:line="17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color w:val="auto"/>
        </w:rPr>
        <w:t>For and in consideration of the premises and the purchase of the Securities by the Holders thereof, it is mutually covenanted and agreed, for the equal and proportionate benefit of all Holders of the Securities or of series thereof, as follows: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DEFINITIONS AND OTHER PROVISIONS OF GENERAL APPLICATION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101. DEFINITIONS.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 all purposes of this Indenture, except as otherwise expressly provided or unless the context otherwise requires:</w:t>
      </w:r>
    </w:p>
    <w:p>
      <w:pPr>
        <w:spacing w:after="0" w:line="174" w:lineRule="exact"/>
        <w:rPr>
          <w:sz w:val="20"/>
          <w:szCs w:val="20"/>
          <w:color w:val="auto"/>
        </w:rPr>
      </w:pPr>
    </w:p>
    <w:p>
      <w:pPr>
        <w:ind w:left="240" w:hanging="239"/>
        <w:spacing w:after="0"/>
        <w:tabs>
          <w:tab w:leader="none" w:pos="24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terms defined in this Article have the meanings assigned to them in this Article and include the plural as well as the singular;</w:t>
      </w:r>
    </w:p>
    <w:p>
      <w:pPr>
        <w:spacing w:after="0" w:line="173" w:lineRule="exact"/>
        <w:rPr>
          <w:rFonts w:ascii="Times New Roman" w:cs="Times New Roman" w:eastAsia="Times New Roman" w:hAnsi="Times New Roman"/>
          <w:sz w:val="13"/>
          <w:szCs w:val="13"/>
          <w:color w:val="auto"/>
        </w:rPr>
      </w:pPr>
    </w:p>
    <w:p>
      <w:pPr>
        <w:jc w:val="both"/>
        <w:ind w:left="240" w:hanging="239"/>
        <w:spacing w:after="0" w:line="279" w:lineRule="auto"/>
        <w:tabs>
          <w:tab w:leader="none" w:pos="24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accounting terms not otherwise defined herein have the meanings assigned to them in accordance with generally accepted accounting principles in the United States, and, except as otherwise herein expressly provided, the term “</w:t>
      </w:r>
      <w:r>
        <w:rPr>
          <w:rFonts w:ascii="Times New Roman" w:cs="Times New Roman" w:eastAsia="Times New Roman" w:hAnsi="Times New Roman"/>
          <w:sz w:val="13"/>
          <w:szCs w:val="13"/>
          <w:i w:val="1"/>
          <w:iCs w:val="1"/>
          <w:color w:val="auto"/>
        </w:rPr>
        <w:t>generally accepted accounting principles</w:t>
      </w:r>
      <w:r>
        <w:rPr>
          <w:rFonts w:ascii="Times New Roman" w:cs="Times New Roman" w:eastAsia="Times New Roman" w:hAnsi="Times New Roman"/>
          <w:sz w:val="13"/>
          <w:szCs w:val="13"/>
          <w:color w:val="auto"/>
        </w:rPr>
        <w:t>” with respect to any computation required or permitted hereunder shall mean such accounting principles as are generally accepted in the United States at the date of such computation; and</w:t>
      </w:r>
    </w:p>
    <w:p>
      <w:pPr>
        <w:spacing w:after="0" w:line="123" w:lineRule="exact"/>
        <w:rPr>
          <w:rFonts w:ascii="Times New Roman" w:cs="Times New Roman" w:eastAsia="Times New Roman" w:hAnsi="Times New Roman"/>
          <w:sz w:val="13"/>
          <w:szCs w:val="13"/>
          <w:color w:val="auto"/>
        </w:rPr>
      </w:pPr>
    </w:p>
    <w:p>
      <w:pPr>
        <w:ind w:left="240" w:hanging="239"/>
        <w:spacing w:after="0"/>
        <w:tabs>
          <w:tab w:leader="none" w:pos="24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words “</w:t>
      </w:r>
      <w:r>
        <w:rPr>
          <w:rFonts w:ascii="Times New Roman" w:cs="Times New Roman" w:eastAsia="Times New Roman" w:hAnsi="Times New Roman"/>
          <w:sz w:val="13"/>
          <w:szCs w:val="13"/>
          <w:i w:val="1"/>
          <w:iCs w:val="1"/>
          <w:color w:val="auto"/>
        </w:rPr>
        <w:t>herein</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i w:val="1"/>
          <w:iCs w:val="1"/>
          <w:color w:val="auto"/>
        </w:rPr>
        <w:t>hereof</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i w:val="1"/>
          <w:iCs w:val="1"/>
          <w:color w:val="auto"/>
        </w:rPr>
        <w:t>hereunder</w:t>
      </w:r>
      <w:r>
        <w:rPr>
          <w:rFonts w:ascii="Times New Roman" w:cs="Times New Roman" w:eastAsia="Times New Roman" w:hAnsi="Times New Roman"/>
          <w:sz w:val="13"/>
          <w:szCs w:val="13"/>
          <w:color w:val="auto"/>
        </w:rPr>
        <w:t>” and other words of similar import refer to this Indenture as a whole and not to any particular Article, Section or other subdivision.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Certain terms, used principally in Article V, are defined in Section 102.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Act</w:t>
      </w:r>
      <w:r>
        <w:rPr>
          <w:rFonts w:ascii="Times New Roman" w:cs="Times New Roman" w:eastAsia="Times New Roman" w:hAnsi="Times New Roman"/>
          <w:sz w:val="13"/>
          <w:szCs w:val="13"/>
          <w:color w:val="auto"/>
        </w:rPr>
        <w:t>” when used with respect to any Holder, has the meaning specified in Section 105.</w:t>
      </w:r>
    </w:p>
    <w:p>
      <w:pPr>
        <w:spacing w:after="0" w:line="174"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Additional Amounts</w:t>
      </w:r>
      <w:r>
        <w:rPr>
          <w:rFonts w:ascii="Times New Roman" w:cs="Times New Roman" w:eastAsia="Times New Roman" w:hAnsi="Times New Roman"/>
          <w:sz w:val="13"/>
          <w:szCs w:val="13"/>
          <w:color w:val="auto"/>
        </w:rPr>
        <w:t>” means any additional amounts that are required by the express terms of a Security or by or pursuant to a Board Resolution, under circumstances specified therein or pursuant thereto, to be paid by the Company with respect to certain taxes, assessments or other governmental charges imposed on certain Holders and that are owing to such Holders.</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1">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96" w:name="page97"/>
    <w:bookmarkEnd w:id="96"/>
    <w:p>
      <w:pPr>
        <w:jc w:val="both"/>
        <w:ind w:right="300"/>
        <w:spacing w:after="0" w:line="28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Affiliate</w:t>
      </w:r>
      <w:r>
        <w:rPr>
          <w:rFonts w:ascii="Times New Roman" w:cs="Times New Roman" w:eastAsia="Times New Roman" w:hAnsi="Times New Roman"/>
          <w:sz w:val="13"/>
          <w:szCs w:val="13"/>
          <w:color w:val="auto"/>
        </w:rPr>
        <w:t>” of any specified Person means any other Person directly or indirectly controlling or controlled by or under direct or indirect common control with such specified Person. For the purposes of this definition, “</w:t>
      </w:r>
      <w:r>
        <w:rPr>
          <w:rFonts w:ascii="Times New Roman" w:cs="Times New Roman" w:eastAsia="Times New Roman" w:hAnsi="Times New Roman"/>
          <w:sz w:val="13"/>
          <w:szCs w:val="13"/>
          <w:i w:val="1"/>
          <w:iCs w:val="1"/>
          <w:color w:val="auto"/>
        </w:rPr>
        <w:t>control</w:t>
      </w:r>
      <w:r>
        <w:rPr>
          <w:rFonts w:ascii="Times New Roman" w:cs="Times New Roman" w:eastAsia="Times New Roman" w:hAnsi="Times New Roman"/>
          <w:sz w:val="13"/>
          <w:szCs w:val="13"/>
          <w:color w:val="auto"/>
        </w:rPr>
        <w:t>” when used with respect to any specified Person means the power to direct the management and policies of such Person, directly or indirectly, whether through the ownership of voting securities, by contract or otherwise; and the terms “</w:t>
      </w:r>
      <w:r>
        <w:rPr>
          <w:rFonts w:ascii="Times New Roman" w:cs="Times New Roman" w:eastAsia="Times New Roman" w:hAnsi="Times New Roman"/>
          <w:sz w:val="13"/>
          <w:szCs w:val="13"/>
          <w:i w:val="1"/>
          <w:iCs w:val="1"/>
          <w:color w:val="auto"/>
        </w:rPr>
        <w:t>controlling</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i w:val="1"/>
          <w:iCs w:val="1"/>
          <w:color w:val="auto"/>
        </w:rPr>
        <w:t>controlled</w:t>
      </w:r>
      <w:r>
        <w:rPr>
          <w:rFonts w:ascii="Times New Roman" w:cs="Times New Roman" w:eastAsia="Times New Roman" w:hAnsi="Times New Roman"/>
          <w:sz w:val="13"/>
          <w:szCs w:val="13"/>
          <w:color w:val="auto"/>
        </w:rPr>
        <w:t>” have meanings correlative to the foregoing.</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Authenticating Agent</w:t>
      </w:r>
      <w:r>
        <w:rPr>
          <w:rFonts w:ascii="Times New Roman" w:cs="Times New Roman" w:eastAsia="Times New Roman" w:hAnsi="Times New Roman"/>
          <w:sz w:val="13"/>
          <w:szCs w:val="13"/>
          <w:color w:val="auto"/>
        </w:rPr>
        <w:t>” means any Person authorized by the Trustee to act on behalf of the Trustee pursuant to Section 614 to authenticate Securities of one or more series.</w:t>
      </w:r>
    </w:p>
    <w:p>
      <w:pPr>
        <w:spacing w:after="0" w:line="17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Authorized Newspaper</w:t>
      </w:r>
      <w:r>
        <w:rPr>
          <w:rFonts w:ascii="Times New Roman" w:cs="Times New Roman" w:eastAsia="Times New Roman" w:hAnsi="Times New Roman"/>
          <w:sz w:val="13"/>
          <w:szCs w:val="13"/>
          <w:color w:val="auto"/>
        </w:rPr>
        <w:t>” means a newspaper, in the English language or in an official language of the country of publication, customarily published on each Business Day, whether or not published on Saturdays, Sundays or holidays, and of general circulation in the place in connection with which the term is used or in the financial community of such place. Where successive publications are required to be made in Authorized Newspapers, the successive publications may be made in the same or in different newspapers in the same city meeting the foregoing requirements and in each case on any Business Day.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Board of Directors</w:t>
      </w:r>
      <w:r>
        <w:rPr>
          <w:rFonts w:ascii="Times New Roman" w:cs="Times New Roman" w:eastAsia="Times New Roman" w:hAnsi="Times New Roman"/>
          <w:sz w:val="13"/>
          <w:szCs w:val="13"/>
          <w:color w:val="auto"/>
        </w:rPr>
        <w:t>” means</w:t>
      </w:r>
    </w:p>
    <w:p>
      <w:pPr>
        <w:spacing w:after="0" w:line="176" w:lineRule="exact"/>
        <w:rPr>
          <w:sz w:val="20"/>
          <w:szCs w:val="20"/>
          <w:color w:val="auto"/>
        </w:rPr>
      </w:pPr>
    </w:p>
    <w:p>
      <w:pPr>
        <w:ind w:left="240" w:hanging="239"/>
        <w:spacing w:after="0"/>
        <w:tabs>
          <w:tab w:leader="none" w:pos="24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a corporation, the board of directors of the corporation;</w:t>
      </w:r>
    </w:p>
    <w:p>
      <w:pPr>
        <w:spacing w:after="0" w:line="173" w:lineRule="exact"/>
        <w:rPr>
          <w:rFonts w:ascii="Times New Roman" w:cs="Times New Roman" w:eastAsia="Times New Roman" w:hAnsi="Times New Roman"/>
          <w:sz w:val="13"/>
          <w:szCs w:val="13"/>
          <w:color w:val="auto"/>
        </w:rPr>
      </w:pPr>
    </w:p>
    <w:p>
      <w:pPr>
        <w:ind w:left="240" w:hanging="239"/>
        <w:spacing w:after="0"/>
        <w:tabs>
          <w:tab w:leader="none" w:pos="24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a partnership, the board of directors of the general partner of the partnership; and</w:t>
      </w:r>
    </w:p>
    <w:p>
      <w:pPr>
        <w:spacing w:after="0" w:line="173" w:lineRule="exact"/>
        <w:rPr>
          <w:rFonts w:ascii="Times New Roman" w:cs="Times New Roman" w:eastAsia="Times New Roman" w:hAnsi="Times New Roman"/>
          <w:sz w:val="13"/>
          <w:szCs w:val="13"/>
          <w:color w:val="auto"/>
        </w:rPr>
      </w:pPr>
    </w:p>
    <w:p>
      <w:pPr>
        <w:ind w:left="240" w:hanging="239"/>
        <w:spacing w:after="0"/>
        <w:tabs>
          <w:tab w:leader="none" w:pos="24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any other Person, the board or committee of such Person serving a similar function.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Board Resolution</w:t>
      </w:r>
      <w:r>
        <w:rPr>
          <w:rFonts w:ascii="Times New Roman" w:cs="Times New Roman" w:eastAsia="Times New Roman" w:hAnsi="Times New Roman"/>
          <w:sz w:val="13"/>
          <w:szCs w:val="13"/>
          <w:color w:val="auto"/>
        </w:rPr>
        <w:t>” means, with respect to any Person, a resolution of such Person duly adopted by the Board of Directors of such Person and in full force and effect.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Book-Entry Security</w:t>
      </w:r>
      <w:r>
        <w:rPr>
          <w:rFonts w:ascii="Times New Roman" w:cs="Times New Roman" w:eastAsia="Times New Roman" w:hAnsi="Times New Roman"/>
          <w:sz w:val="13"/>
          <w:szCs w:val="13"/>
          <w:color w:val="auto"/>
        </w:rPr>
        <w:t>” has the meaning specified in Section 204.</w:t>
      </w:r>
    </w:p>
    <w:p>
      <w:pPr>
        <w:spacing w:after="0" w:line="174"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Business Day</w:t>
      </w:r>
      <w:r>
        <w:rPr>
          <w:rFonts w:ascii="Times New Roman" w:cs="Times New Roman" w:eastAsia="Times New Roman" w:hAnsi="Times New Roman"/>
          <w:sz w:val="13"/>
          <w:szCs w:val="13"/>
          <w:color w:val="auto"/>
        </w:rPr>
        <w:t>,” when used with respect to any Place of Payment, means each Monday, Tuesday, Wednesday, Thursday and Friday that is not a day on which banking institutions in that Place of Payment or the city in which the Corporate Trust Office is located are authorized or obligated by law or executive order to close.</w:t>
      </w:r>
    </w:p>
    <w:p>
      <w:pPr>
        <w:spacing w:after="0" w:line="109"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Capital Lease Obligation</w:t>
      </w:r>
      <w:r>
        <w:rPr>
          <w:rFonts w:ascii="Times New Roman" w:cs="Times New Roman" w:eastAsia="Times New Roman" w:hAnsi="Times New Roman"/>
          <w:sz w:val="13"/>
          <w:szCs w:val="13"/>
          <w:color w:val="auto"/>
        </w:rPr>
        <w:t>” means, at the time any determination thereof is to be made, the amount of the liability in respect of a capital lease that would at that time be required to be capitalized on a balance sheet in accordance with GAAP.</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Capital Stock</w:t>
      </w:r>
      <w:r>
        <w:rPr>
          <w:rFonts w:ascii="Times New Roman" w:cs="Times New Roman" w:eastAsia="Times New Roman" w:hAnsi="Times New Roman"/>
          <w:sz w:val="13"/>
          <w:szCs w:val="13"/>
          <w:color w:val="auto"/>
        </w:rPr>
        <w:t>” means:</w:t>
      </w:r>
    </w:p>
    <w:p>
      <w:pPr>
        <w:spacing w:after="0" w:line="176" w:lineRule="exact"/>
        <w:rPr>
          <w:sz w:val="20"/>
          <w:szCs w:val="20"/>
          <w:color w:val="auto"/>
        </w:rPr>
      </w:pPr>
    </w:p>
    <w:p>
      <w:pPr>
        <w:ind w:left="240" w:hanging="239"/>
        <w:spacing w:after="0"/>
        <w:tabs>
          <w:tab w:leader="none" w:pos="24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case of a corporation, corporate stock;</w:t>
      </w:r>
    </w:p>
    <w:p>
      <w:pPr>
        <w:spacing w:after="0" w:line="173" w:lineRule="exact"/>
        <w:rPr>
          <w:rFonts w:ascii="Times New Roman" w:cs="Times New Roman" w:eastAsia="Times New Roman" w:hAnsi="Times New Roman"/>
          <w:sz w:val="13"/>
          <w:szCs w:val="13"/>
          <w:color w:val="auto"/>
        </w:rPr>
      </w:pPr>
    </w:p>
    <w:p>
      <w:pPr>
        <w:ind w:left="240" w:hanging="239"/>
        <w:spacing w:after="0"/>
        <w:tabs>
          <w:tab w:leader="none" w:pos="24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case of an association or business entity, any and all shares, interests, participations, rights or other equivalents (however designated) of corporate stock;</w:t>
      </w:r>
    </w:p>
    <w:p>
      <w:pPr>
        <w:spacing w:after="0" w:line="173" w:lineRule="exact"/>
        <w:rPr>
          <w:rFonts w:ascii="Times New Roman" w:cs="Times New Roman" w:eastAsia="Times New Roman" w:hAnsi="Times New Roman"/>
          <w:sz w:val="13"/>
          <w:szCs w:val="13"/>
          <w:color w:val="auto"/>
        </w:rPr>
      </w:pPr>
    </w:p>
    <w:p>
      <w:pPr>
        <w:ind w:left="240" w:hanging="239"/>
        <w:spacing w:after="0"/>
        <w:tabs>
          <w:tab w:leader="none" w:pos="24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case of a partnership or limited liability company, partnership or membership interests (whether general or limited); and</w:t>
      </w:r>
    </w:p>
    <w:p>
      <w:pPr>
        <w:spacing w:after="0" w:line="173" w:lineRule="exact"/>
        <w:rPr>
          <w:rFonts w:ascii="Times New Roman" w:cs="Times New Roman" w:eastAsia="Times New Roman" w:hAnsi="Times New Roman"/>
          <w:sz w:val="13"/>
          <w:szCs w:val="13"/>
          <w:color w:val="auto"/>
        </w:rPr>
      </w:pPr>
    </w:p>
    <w:p>
      <w:pPr>
        <w:ind w:left="240" w:hanging="239"/>
        <w:spacing w:after="0"/>
        <w:tabs>
          <w:tab w:leader="none" w:pos="24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interest or participation that confers on a Person the right to receive a share of the profits and losses of, or distributions of assets of, the issuing Person.</w:t>
      </w:r>
    </w:p>
    <w:p>
      <w:pPr>
        <w:spacing w:after="0" w:line="172"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Company</w:t>
      </w:r>
      <w:r>
        <w:rPr>
          <w:rFonts w:ascii="Times New Roman" w:cs="Times New Roman" w:eastAsia="Times New Roman" w:hAnsi="Times New Roman"/>
          <w:sz w:val="13"/>
          <w:szCs w:val="13"/>
          <w:color w:val="auto"/>
        </w:rPr>
        <w:t>” means the Person named as the “Company” in the first paragraph of this instrument until a successor Person shall have become such pursuant to the applicable provisions of this Indenture, and thereafter “</w:t>
      </w:r>
      <w:r>
        <w:rPr>
          <w:rFonts w:ascii="Times New Roman" w:cs="Times New Roman" w:eastAsia="Times New Roman" w:hAnsi="Times New Roman"/>
          <w:sz w:val="13"/>
          <w:szCs w:val="13"/>
          <w:i w:val="1"/>
          <w:iCs w:val="1"/>
          <w:color w:val="auto"/>
        </w:rPr>
        <w:t>Company</w:t>
      </w:r>
      <w:r>
        <w:rPr>
          <w:rFonts w:ascii="Times New Roman" w:cs="Times New Roman" w:eastAsia="Times New Roman" w:hAnsi="Times New Roman"/>
          <w:sz w:val="13"/>
          <w:szCs w:val="13"/>
          <w:color w:val="auto"/>
        </w:rPr>
        <w:t>” shall mean such successor Person.</w:t>
      </w:r>
    </w:p>
    <w:p>
      <w:pPr>
        <w:spacing w:after="0" w:line="109"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Company Request</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i w:val="1"/>
          <w:iCs w:val="1"/>
          <w:color w:val="auto"/>
        </w:rPr>
        <w:t>Company Order</w:t>
      </w:r>
      <w:r>
        <w:rPr>
          <w:rFonts w:ascii="Times New Roman" w:cs="Times New Roman" w:eastAsia="Times New Roman" w:hAnsi="Times New Roman"/>
          <w:sz w:val="13"/>
          <w:szCs w:val="13"/>
          <w:color w:val="auto"/>
        </w:rPr>
        <w:t>” mean, respectively, a written request or order signed in the name of the Company by its Chairman of the Board, its President or a Vice President, and by its Treasurer, an Assistant Treasurer, its Controller, an Assistant Controller, its Secretary or an Assistant Secretary, and delivered to the Trustee.</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2">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1" w:right="319" w:bottom="1440" w:gutter="0" w:footer="0" w:header="0"/>
        </w:sectPr>
      </w:pPr>
    </w:p>
    <w:bookmarkStart w:id="97" w:name="page98"/>
    <w:bookmarkEnd w:id="97"/>
    <w:p>
      <w:pPr>
        <w:jc w:val="both"/>
        <w:spacing w:after="0" w:line="30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Corporate Trust Office</w:t>
      </w:r>
      <w:r>
        <w:rPr>
          <w:rFonts w:ascii="Times New Roman" w:cs="Times New Roman" w:eastAsia="Times New Roman" w:hAnsi="Times New Roman"/>
          <w:sz w:val="13"/>
          <w:szCs w:val="13"/>
          <w:color w:val="auto"/>
        </w:rPr>
        <w:t>” means the office of the Trustee at which at any particular time its corporate trust business shall be principally administered, which office at the date hereof is that indicated in the introductory paragraph of this Indenture or such other address as the Trustee may designate from time to time by notice to the Holders and the Company.</w:t>
      </w:r>
    </w:p>
    <w:p>
      <w:pPr>
        <w:spacing w:after="0" w:line="109"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Currency Agreement</w:t>
      </w:r>
      <w:r>
        <w:rPr>
          <w:rFonts w:ascii="Times New Roman" w:cs="Times New Roman" w:eastAsia="Times New Roman" w:hAnsi="Times New Roman"/>
          <w:sz w:val="13"/>
          <w:szCs w:val="13"/>
          <w:color w:val="auto"/>
        </w:rPr>
        <w:t>” means, with respect to any specified Person, any foreign exchange contract, currency swap agreement or other similar agreement or arrangement designed to protect such specified Person against fluctuations in currency values.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Default</w:t>
      </w:r>
      <w:r>
        <w:rPr>
          <w:rFonts w:ascii="Times New Roman" w:cs="Times New Roman" w:eastAsia="Times New Roman" w:hAnsi="Times New Roman"/>
          <w:sz w:val="13"/>
          <w:szCs w:val="13"/>
          <w:color w:val="auto"/>
        </w:rPr>
        <w:t>” means an event or condition the occurrence of which is, or with the lapse of time or the giving of notice or both would be, an Event of Default.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Defaulted Interest</w:t>
      </w:r>
      <w:r>
        <w:rPr>
          <w:rFonts w:ascii="Times New Roman" w:cs="Times New Roman" w:eastAsia="Times New Roman" w:hAnsi="Times New Roman"/>
          <w:sz w:val="13"/>
          <w:szCs w:val="13"/>
          <w:color w:val="auto"/>
        </w:rPr>
        <w:t>” has the meaning specified in Section 307.</w:t>
      </w:r>
    </w:p>
    <w:p>
      <w:pPr>
        <w:spacing w:after="0" w:line="17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Depositary</w:t>
      </w:r>
      <w:r>
        <w:rPr>
          <w:rFonts w:ascii="Times New Roman" w:cs="Times New Roman" w:eastAsia="Times New Roman" w:hAnsi="Times New Roman"/>
          <w:sz w:val="13"/>
          <w:szCs w:val="13"/>
          <w:color w:val="auto"/>
        </w:rPr>
        <w:t>” means, with respect to the Securities of any series issuable or issued in the form of a global Security, the Person designated as Depositary by the Company pursuant to Section 301 until a successor Depositary shall have become such pursuant to the applicable provisions of this Indenture, and thereafter “</w:t>
      </w:r>
      <w:r>
        <w:rPr>
          <w:rFonts w:ascii="Times New Roman" w:cs="Times New Roman" w:eastAsia="Times New Roman" w:hAnsi="Times New Roman"/>
          <w:sz w:val="13"/>
          <w:szCs w:val="13"/>
          <w:i w:val="1"/>
          <w:iCs w:val="1"/>
          <w:color w:val="auto"/>
        </w:rPr>
        <w:t>Depositary</w:t>
      </w:r>
      <w:r>
        <w:rPr>
          <w:rFonts w:ascii="Times New Roman" w:cs="Times New Roman" w:eastAsia="Times New Roman" w:hAnsi="Times New Roman"/>
          <w:sz w:val="13"/>
          <w:szCs w:val="13"/>
          <w:color w:val="auto"/>
        </w:rPr>
        <w:t>” shall mean or include each Person who is then a Depositary hereunder, and if at any time there is more than one such person, “</w:t>
      </w:r>
      <w:r>
        <w:rPr>
          <w:rFonts w:ascii="Times New Roman" w:cs="Times New Roman" w:eastAsia="Times New Roman" w:hAnsi="Times New Roman"/>
          <w:sz w:val="13"/>
          <w:szCs w:val="13"/>
          <w:i w:val="1"/>
          <w:iCs w:val="1"/>
          <w:color w:val="auto"/>
        </w:rPr>
        <w:t>Depositary</w:t>
      </w:r>
      <w:r>
        <w:rPr>
          <w:rFonts w:ascii="Times New Roman" w:cs="Times New Roman" w:eastAsia="Times New Roman" w:hAnsi="Times New Roman"/>
          <w:sz w:val="13"/>
          <w:szCs w:val="13"/>
          <w:color w:val="auto"/>
        </w:rPr>
        <w:t>” as used with respect to the Securities of any series shall mean the Depositary with respect to the Securities of that series.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Dollar</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means a dollar or other equivalent unit in such coin or currency of the United States as at the time shall be legal tender for the payment of public and private debts.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Event of Default</w:t>
      </w:r>
      <w:r>
        <w:rPr>
          <w:rFonts w:ascii="Times New Roman" w:cs="Times New Roman" w:eastAsia="Times New Roman" w:hAnsi="Times New Roman"/>
          <w:sz w:val="13"/>
          <w:szCs w:val="13"/>
          <w:color w:val="auto"/>
        </w:rPr>
        <w:t>” has the meaning specified in Section 501.</w:t>
      </w:r>
    </w:p>
    <w:p>
      <w:pPr>
        <w:spacing w:after="0" w:line="17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GAAP</w:t>
      </w:r>
      <w:r>
        <w:rPr>
          <w:rFonts w:ascii="Times New Roman" w:cs="Times New Roman" w:eastAsia="Times New Roman" w:hAnsi="Times New Roman"/>
          <w:sz w:val="13"/>
          <w:szCs w:val="13"/>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of the United States of America, as in effect as of the date of issuance of Securities.</w:t>
      </w:r>
    </w:p>
    <w:p>
      <w:pPr>
        <w:spacing w:after="0" w:line="123"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Guarantee</w:t>
      </w:r>
      <w:r>
        <w:rPr>
          <w:rFonts w:ascii="Times New Roman" w:cs="Times New Roman" w:eastAsia="Times New Roman" w:hAnsi="Times New Roman"/>
          <w:sz w:val="13"/>
          <w:szCs w:val="13"/>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of all or any part of Indebtedness.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Guarantor</w:t>
      </w:r>
      <w:r>
        <w:rPr>
          <w:rFonts w:ascii="Times New Roman" w:cs="Times New Roman" w:eastAsia="Times New Roman" w:hAnsi="Times New Roman"/>
          <w:sz w:val="13"/>
          <w:szCs w:val="13"/>
          <w:color w:val="auto"/>
        </w:rPr>
        <w:t>” means any Subsidiary that incurs a Guarantee.</w:t>
      </w:r>
    </w:p>
    <w:p>
      <w:pPr>
        <w:spacing w:after="0" w:line="174"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Hedging Agreement</w:t>
      </w:r>
      <w:r>
        <w:rPr>
          <w:rFonts w:ascii="Times New Roman" w:cs="Times New Roman" w:eastAsia="Times New Roman" w:hAnsi="Times New Roman"/>
          <w:sz w:val="13"/>
          <w:szCs w:val="13"/>
          <w:color w:val="auto"/>
        </w:rPr>
        <w:t>” means, with respect to any Person, any agreement with respect to the hedging of price risk associated with the purchase of commodities used in the business of such Person, so long as any such agreement has been entered into in the ordinary course of business and not for purposes of speculation.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Holder</w:t>
      </w:r>
      <w:r>
        <w:rPr>
          <w:rFonts w:ascii="Times New Roman" w:cs="Times New Roman" w:eastAsia="Times New Roman" w:hAnsi="Times New Roman"/>
          <w:sz w:val="13"/>
          <w:szCs w:val="13"/>
          <w:color w:val="auto"/>
        </w:rPr>
        <w:t>” when used with respect to any Security, means the Person in whose name the Security is registered in the Security Register.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Indebtedness</w:t>
      </w:r>
      <w:r>
        <w:rPr>
          <w:rFonts w:ascii="Times New Roman" w:cs="Times New Roman" w:eastAsia="Times New Roman" w:hAnsi="Times New Roman"/>
          <w:sz w:val="13"/>
          <w:szCs w:val="13"/>
          <w:color w:val="auto"/>
        </w:rPr>
        <w:t>” means, with respect to any specified Person, any indebtedness of such Person, whether or not contingent, in respect of:</w:t>
      </w:r>
    </w:p>
    <w:p>
      <w:pPr>
        <w:spacing w:after="0" w:line="176" w:lineRule="exact"/>
        <w:rPr>
          <w:sz w:val="20"/>
          <w:szCs w:val="20"/>
          <w:color w:val="auto"/>
        </w:rPr>
      </w:pPr>
    </w:p>
    <w:p>
      <w:pPr>
        <w:ind w:left="240" w:hanging="239"/>
        <w:spacing w:after="0"/>
        <w:tabs>
          <w:tab w:leader="none" w:pos="24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borrowed money;</w:t>
      </w:r>
    </w:p>
    <w:p>
      <w:pPr>
        <w:spacing w:after="0" w:line="173" w:lineRule="exact"/>
        <w:rPr>
          <w:rFonts w:ascii="Times New Roman" w:cs="Times New Roman" w:eastAsia="Times New Roman" w:hAnsi="Times New Roman"/>
          <w:sz w:val="13"/>
          <w:szCs w:val="13"/>
          <w:color w:val="auto"/>
        </w:rPr>
      </w:pPr>
    </w:p>
    <w:p>
      <w:pPr>
        <w:jc w:val="both"/>
        <w:ind w:left="240" w:hanging="239"/>
        <w:spacing w:after="0" w:line="292" w:lineRule="auto"/>
        <w:tabs>
          <w:tab w:leader="none" w:pos="24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obligations evidenced by bonds, notes, debentures or similar instruments or letters of credit (or reimbursement agreements in respect thereof) (other than obligations with respect to letters of credit securing obligations (other than obligations described in clause (1), (2) and (4) of this definition) entered into in the ordinary course of business of such Person to the extent that such letters of credit are not drawn upon);</w:t>
      </w:r>
    </w:p>
    <w:p>
      <w:pPr>
        <w:spacing w:after="0" w:line="282" w:lineRule="exact"/>
        <w:rPr>
          <w:rFonts w:ascii="Times New Roman" w:cs="Times New Roman" w:eastAsia="Times New Roman" w:hAnsi="Times New Roman"/>
          <w:sz w:val="13"/>
          <w:szCs w:val="13"/>
          <w:color w:val="auto"/>
        </w:rPr>
      </w:pPr>
    </w:p>
    <w:p>
      <w:pPr>
        <w:ind w:left="240" w:hanging="239"/>
        <w:spacing w:after="0"/>
        <w:tabs>
          <w:tab w:leader="none" w:pos="24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banker’s acceptances;</w:t>
      </w:r>
    </w:p>
    <w:p>
      <w:pPr>
        <w:spacing w:after="0" w:line="173" w:lineRule="exact"/>
        <w:rPr>
          <w:rFonts w:ascii="Times New Roman" w:cs="Times New Roman" w:eastAsia="Times New Roman" w:hAnsi="Times New Roman"/>
          <w:sz w:val="13"/>
          <w:szCs w:val="13"/>
          <w:color w:val="auto"/>
        </w:rPr>
      </w:pPr>
    </w:p>
    <w:p>
      <w:pPr>
        <w:ind w:left="240" w:hanging="239"/>
        <w:spacing w:after="0"/>
        <w:tabs>
          <w:tab w:leader="none" w:pos="24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Capital Lease Obligations;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3">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1" w:right="319" w:bottom="1440" w:gutter="0" w:footer="0" w:header="0"/>
        </w:sectPr>
      </w:pPr>
    </w:p>
    <w:bookmarkStart w:id="98" w:name="page99"/>
    <w:bookmarkEnd w:id="98"/>
    <w:p>
      <w:pPr>
        <w:ind w:left="240" w:hanging="239"/>
        <w:spacing w:after="0"/>
        <w:tabs>
          <w:tab w:leader="none" w:pos="24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balance deferred and unpaid of the purchase price of any property, except any such balance that constitutes an accrued expense or trade payable incurred in the ordinary course of business; or</w:t>
      </w:r>
    </w:p>
    <w:p>
      <w:pPr>
        <w:spacing w:after="0" w:line="173" w:lineRule="exact"/>
        <w:rPr>
          <w:rFonts w:ascii="Times New Roman" w:cs="Times New Roman" w:eastAsia="Times New Roman" w:hAnsi="Times New Roman"/>
          <w:sz w:val="13"/>
          <w:szCs w:val="13"/>
          <w:color w:val="auto"/>
        </w:rPr>
      </w:pPr>
    </w:p>
    <w:p>
      <w:pPr>
        <w:ind w:left="240" w:hanging="239"/>
        <w:spacing w:after="0"/>
        <w:tabs>
          <w:tab w:leader="none" w:pos="24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Hedging Agreements,</w:t>
      </w:r>
    </w:p>
    <w:p>
      <w:pPr>
        <w:spacing w:after="0" w:line="17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3"/>
          <w:szCs w:val="13"/>
          <w:color w:val="auto"/>
        </w:rPr>
        <w:t>if and to the extent any of the preceding items (other than letters of credit and Hedging Agreements) would appear as a liability upon a balance sheet of the specified Person prepared in accordance with GAAP. In addition, the term “</w:t>
      </w:r>
      <w:r>
        <w:rPr>
          <w:rFonts w:ascii="Times New Roman" w:cs="Times New Roman" w:eastAsia="Times New Roman" w:hAnsi="Times New Roman"/>
          <w:sz w:val="13"/>
          <w:szCs w:val="13"/>
          <w:i w:val="1"/>
          <w:iCs w:val="1"/>
          <w:color w:val="auto"/>
        </w:rPr>
        <w:t>Indebtedness</w:t>
      </w:r>
      <w:r>
        <w:rPr>
          <w:rFonts w:ascii="Times New Roman" w:cs="Times New Roman" w:eastAsia="Times New Roman" w:hAnsi="Times New Roman"/>
          <w:sz w:val="13"/>
          <w:szCs w:val="13"/>
          <w:color w:val="auto"/>
        </w:rPr>
        <w:t>” includes all Indebtedness of others secured by a Lien on any asset of the specified Person (whether or not such Indebtedness is assumed by the specified Person) and, to the extent not otherwise included, the Guarantee by the specified Person of any Indebtedness of any other Person.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amount of any Indebtedness outstanding as of any date shall be:</w:t>
      </w:r>
    </w:p>
    <w:p>
      <w:pPr>
        <w:spacing w:after="0" w:line="174" w:lineRule="exact"/>
        <w:rPr>
          <w:sz w:val="20"/>
          <w:szCs w:val="20"/>
          <w:color w:val="auto"/>
        </w:rPr>
      </w:pPr>
    </w:p>
    <w:p>
      <w:pPr>
        <w:ind w:left="400" w:hanging="318"/>
        <w:spacing w:after="0"/>
        <w:tabs>
          <w:tab w:leader="none" w:pos="400" w:val="left"/>
        </w:tabs>
        <w:numPr>
          <w:ilvl w:val="1"/>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accreted value thereof, in the case of any Indebtedness issued with original issue discount; and</w:t>
      </w:r>
    </w:p>
    <w:p>
      <w:pPr>
        <w:spacing w:after="0" w:line="173" w:lineRule="exact"/>
        <w:rPr>
          <w:rFonts w:ascii="Times New Roman" w:cs="Times New Roman" w:eastAsia="Times New Roman" w:hAnsi="Times New Roman"/>
          <w:sz w:val="13"/>
          <w:szCs w:val="13"/>
          <w:color w:val="auto"/>
        </w:rPr>
      </w:pPr>
    </w:p>
    <w:p>
      <w:pPr>
        <w:ind w:left="280" w:hanging="229"/>
        <w:spacing w:after="0"/>
        <w:tabs>
          <w:tab w:leader="none" w:pos="28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principal amount thereof, together with any interest thereon that is more than 30 days past due, in the case of any other Indebtedness.</w:t>
      </w:r>
    </w:p>
    <w:p>
      <w:pPr>
        <w:spacing w:after="0" w:line="17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Indenture</w:t>
      </w:r>
      <w:r>
        <w:rPr>
          <w:rFonts w:ascii="Times New Roman" w:cs="Times New Roman" w:eastAsia="Times New Roman" w:hAnsi="Times New Roman"/>
          <w:sz w:val="13"/>
          <w:szCs w:val="13"/>
          <w:color w:val="auto"/>
        </w:rPr>
        <w:t>” means this instrument as originally executed or as it may from time to time be supplemented or amended by one or more indentures supplemental hereto entered into pursuant to the applicable provisions hereof and shall include the terms of particular series of Securities established as contemplated by Section 301 and the provisions of the Trust Indenture Act that are deemed to be a part of and govern this instrument.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Interest Payment Date</w:t>
      </w:r>
      <w:r>
        <w:rPr>
          <w:rFonts w:ascii="Times New Roman" w:cs="Times New Roman" w:eastAsia="Times New Roman" w:hAnsi="Times New Roman"/>
          <w:sz w:val="13"/>
          <w:szCs w:val="13"/>
          <w:color w:val="auto"/>
        </w:rPr>
        <w:t>” means the Stated Maturity of an installment of interest on such Security.</w:t>
      </w:r>
    </w:p>
    <w:p>
      <w:pPr>
        <w:spacing w:after="0" w:line="17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Interest Swap Obligations</w:t>
      </w:r>
      <w:r>
        <w:rPr>
          <w:rFonts w:ascii="Times New Roman" w:cs="Times New Roman" w:eastAsia="Times New Roman" w:hAnsi="Times New Roman"/>
          <w:sz w:val="13"/>
          <w:szCs w:val="13"/>
          <w:color w:val="auto"/>
        </w:rPr>
        <w:t>” means the obligations of any Person pursuant to any arrangement with any other Person, whereby directly or indirectly, such Person is entitled to receive from time to time periodic payments calculated by applying either a floating or a fixed rate of interest on a stated notional amount in exchange for periodic payments made by such other Person calculated by applying a fixed or a floating rate of interest on the same notional amount and shall include, without limitation, interest rate swaps, options, caps, floors, collars and similar agreements.</w:t>
      </w:r>
    </w:p>
    <w:p>
      <w:pPr>
        <w:spacing w:after="0" w:line="123"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Lien</w:t>
      </w:r>
      <w:r>
        <w:rPr>
          <w:rFonts w:ascii="Times New Roman" w:cs="Times New Roman" w:eastAsia="Times New Roman" w:hAnsi="Times New Roman"/>
          <w:sz w:val="13"/>
          <w:szCs w:val="13"/>
          <w:color w:val="auto"/>
        </w:rPr>
        <w:t>” means any lien, mortgage, deed of trust, pledge, security interest, charge or encumbrance of any kind (including any conditional sale or other title retention agreement, any lease in the nature thereof and any agreement to give any security interest).</w:t>
      </w:r>
    </w:p>
    <w:p>
      <w:pPr>
        <w:spacing w:after="0" w:line="109"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Maturity</w:t>
      </w:r>
      <w:r>
        <w:rPr>
          <w:rFonts w:ascii="Times New Roman" w:cs="Times New Roman" w:eastAsia="Times New Roman" w:hAnsi="Times New Roman"/>
          <w:sz w:val="13"/>
          <w:szCs w:val="13"/>
          <w:color w:val="auto"/>
        </w:rPr>
        <w:t>,” when used with respect to any Security, means the date on which the principal of such Security or an installment of principal becomes due and payable as therein or herein provided, whether at the Stated Maturity or by declaration of acceleration, call for redemption or otherwise.</w:t>
      </w:r>
    </w:p>
    <w:p>
      <w:pPr>
        <w:spacing w:after="0" w:line="109"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Officers’ Certificate</w:t>
      </w:r>
      <w:r>
        <w:rPr>
          <w:rFonts w:ascii="Times New Roman" w:cs="Times New Roman" w:eastAsia="Times New Roman" w:hAnsi="Times New Roman"/>
          <w:sz w:val="13"/>
          <w:szCs w:val="13"/>
          <w:color w:val="auto"/>
        </w:rPr>
        <w:t>” means a certificate signed by the Chairman of the Board, the President or a Vice President, and by the Treasurer, the Controller, the Secretary or an Assistant Treasurer, Assistant Controller or Assistant Secretary, of the Company, and delivered to the Trustee, which certificate shall be in compliance with Section 103 hereof.</w:t>
      </w:r>
    </w:p>
    <w:p>
      <w:pPr>
        <w:spacing w:after="0" w:line="109"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Opinion of Counsel</w:t>
      </w:r>
      <w:r>
        <w:rPr>
          <w:rFonts w:ascii="Times New Roman" w:cs="Times New Roman" w:eastAsia="Times New Roman" w:hAnsi="Times New Roman"/>
          <w:sz w:val="13"/>
          <w:szCs w:val="13"/>
          <w:color w:val="auto"/>
        </w:rPr>
        <w:t>” means a written opinion of counsel, who may be counsel for or an employee of the Company, rendered, if applicable, in accordance with Section 314(c) of the Trust Indenture Act, which opinion shall be in compliance with Section 103 hereof.</w:t>
      </w:r>
    </w:p>
    <w:p>
      <w:pPr>
        <w:spacing w:after="0" w:line="109"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Original Issue Discount Security</w:t>
      </w:r>
      <w:r>
        <w:rPr>
          <w:rFonts w:ascii="Times New Roman" w:cs="Times New Roman" w:eastAsia="Times New Roman" w:hAnsi="Times New Roman"/>
          <w:sz w:val="13"/>
          <w:szCs w:val="13"/>
          <w:color w:val="auto"/>
        </w:rPr>
        <w:t>” means any Security that provides for an amount less than the principal amount thereof to be due and payable upon a declaration of acceleration of the Maturity thereof pursuant to Section 502.</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Outstanding</w:t>
      </w:r>
      <w:r>
        <w:rPr>
          <w:rFonts w:ascii="Times New Roman" w:cs="Times New Roman" w:eastAsia="Times New Roman" w:hAnsi="Times New Roman"/>
          <w:sz w:val="13"/>
          <w:szCs w:val="13"/>
          <w:color w:val="auto"/>
        </w:rPr>
        <w:t>” when used with respect to Securities, means, as of the date of determination, all Securities theretofore authenticated and delivered under this Indenture, except:</w:t>
      </w:r>
    </w:p>
    <w:p>
      <w:pPr>
        <w:spacing w:after="0" w:line="176" w:lineRule="exact"/>
        <w:rPr>
          <w:sz w:val="20"/>
          <w:szCs w:val="20"/>
          <w:color w:val="auto"/>
        </w:rPr>
      </w:pPr>
    </w:p>
    <w:p>
      <w:pPr>
        <w:ind w:left="240" w:hanging="239"/>
        <w:spacing w:after="0"/>
        <w:tabs>
          <w:tab w:leader="none" w:pos="24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Securities theretofore cancelled by the Trustee or delivered to the Trustee for cancellation;</w:t>
      </w:r>
    </w:p>
    <w:p>
      <w:pPr>
        <w:spacing w:after="0" w:line="173" w:lineRule="exact"/>
        <w:rPr>
          <w:rFonts w:ascii="Times New Roman" w:cs="Times New Roman" w:eastAsia="Times New Roman" w:hAnsi="Times New Roman"/>
          <w:sz w:val="13"/>
          <w:szCs w:val="13"/>
          <w:color w:val="auto"/>
        </w:rPr>
      </w:pPr>
    </w:p>
    <w:p>
      <w:pPr>
        <w:jc w:val="both"/>
        <w:ind w:left="240" w:hanging="239"/>
        <w:spacing w:after="0" w:line="279" w:lineRule="auto"/>
        <w:tabs>
          <w:tab w:leader="none" w:pos="24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Securities for whose payment or redemption money in the necessary amount has been theretofore irrevocably deposited with the Trustee or any Paying Agent (other than the Company) in trust or set aside and segregated in trust by the Company (if the Company shall act as its own Paying Agent) for the Holders of such Securities; provided that, if such Securities are to be redeemed, notice of such redemption has been duly given pursuant to this Indenture or provision therefor satisfactory to the Trustee has been made; and</w:t>
      </w:r>
    </w:p>
    <w:p>
      <w:pPr>
        <w:spacing w:after="0" w:line="125" w:lineRule="exact"/>
        <w:rPr>
          <w:rFonts w:ascii="Times New Roman" w:cs="Times New Roman" w:eastAsia="Times New Roman" w:hAnsi="Times New Roman"/>
          <w:sz w:val="13"/>
          <w:szCs w:val="13"/>
          <w:color w:val="auto"/>
        </w:rPr>
      </w:pPr>
    </w:p>
    <w:p>
      <w:pPr>
        <w:jc w:val="both"/>
        <w:ind w:left="240" w:hanging="239"/>
        <w:spacing w:after="0" w:line="292" w:lineRule="auto"/>
        <w:tabs>
          <w:tab w:leader="none" w:pos="24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Securities that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4">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3" w:right="319" w:bottom="1440" w:gutter="0" w:footer="0" w:header="0"/>
        </w:sectPr>
      </w:pPr>
    </w:p>
    <w:bookmarkStart w:id="99" w:name="page100"/>
    <w:bookmarkEnd w:id="99"/>
    <w:p>
      <w:pPr>
        <w:jc w:val="both"/>
        <w:spacing w:after="0" w:line="264" w:lineRule="auto"/>
        <w:rPr>
          <w:sz w:val="20"/>
          <w:szCs w:val="20"/>
          <w:color w:val="auto"/>
        </w:rPr>
      </w:pP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that in determining whether the Holders of the requisite principal amount of the Outstanding Securities have given any request, demand, authorization, direction, notice, consent or waiver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hereunder, or whether a quorum is present at a meeting of Holders of Securities, (a) the principal amount of an Original Issue Discount Security that shall be deemed to be Outstanding for such purposes shall be the principal amount thereof that would be due and payable as of the date of such determination upon acceleration of the Maturity thereof pursuant to Section 502, (b) the principal amount of a Security denominated in a foreign currency shall be the U.S. Dollar equivalent, determined by the Company on the date of original issuance of such Security, of the principal amount (or, in the case of an Original Issue Discount Security, the U.S. Dollar equivalent, determined on the date of original issuance of such Security, of the amount determined as provided in (a) above), of such Security and (c) Securities owned by the Company or any other obligor upon the Securities or any Affiliate of the Company or of such other obligor shall be disregarded and deemed not to be Outstanding, except that, in determining whether the Trustee shall be protected in relying upon any such request, demand, authorization, direction, notice, consent or waiver or upon any such determination as to the presence of a quorum, only Securities which the Trustee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w:t>
      </w:r>
    </w:p>
    <w:p>
      <w:pPr>
        <w:spacing w:after="0" w:line="137"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Paying Agent</w:t>
      </w:r>
      <w:r>
        <w:rPr>
          <w:rFonts w:ascii="Times New Roman" w:cs="Times New Roman" w:eastAsia="Times New Roman" w:hAnsi="Times New Roman"/>
          <w:sz w:val="13"/>
          <w:szCs w:val="13"/>
          <w:color w:val="auto"/>
        </w:rPr>
        <w:t>” means any Person, which may include the Company, authorized by the Company to pay the principal of (and premium, if any) or interest on any one or more series of Securities on behalf of the Company.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Person</w:t>
      </w:r>
      <w:r>
        <w:rPr>
          <w:rFonts w:ascii="Times New Roman" w:cs="Times New Roman" w:eastAsia="Times New Roman" w:hAnsi="Times New Roman"/>
          <w:sz w:val="13"/>
          <w:szCs w:val="13"/>
          <w:color w:val="auto"/>
        </w:rPr>
        <w:t>” means an individual, partnership, corporation, limited liability company, unincorporated organization, trust or joint venture, or a governmental agency or political subdivision thereof.</w:t>
      </w:r>
    </w:p>
    <w:p>
      <w:pPr>
        <w:spacing w:after="0" w:line="174"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Place of Payment</w:t>
      </w:r>
      <w:r>
        <w:rPr>
          <w:rFonts w:ascii="Times New Roman" w:cs="Times New Roman" w:eastAsia="Times New Roman" w:hAnsi="Times New Roman"/>
          <w:sz w:val="13"/>
          <w:szCs w:val="13"/>
          <w:color w:val="auto"/>
        </w:rPr>
        <w:t>” when used with respect to the Securities of any series, means the place or places where the principal of (and premium, if any) and interest on the Securities of that series are payable as specified in accordance with Section 301 subject to the provisions of Section 1002.</w:t>
      </w:r>
    </w:p>
    <w:p>
      <w:pPr>
        <w:spacing w:after="0" w:line="109"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Post-Petition Interest</w:t>
      </w:r>
      <w:r>
        <w:rPr>
          <w:rFonts w:ascii="Times New Roman" w:cs="Times New Roman" w:eastAsia="Times New Roman" w:hAnsi="Times New Roman"/>
          <w:sz w:val="13"/>
          <w:szCs w:val="13"/>
          <w:color w:val="auto"/>
        </w:rPr>
        <w:t>” means any interest that accrues after the commencement of any case, proceeding or other action relating to the bankruptcy, insolvency or reorganization of the Company (or would accrue but for the operation of applicable bankruptcy or insolvency laws), whether or not such interest is allowed or allowable as a claim in any such proceeding.</w:t>
      </w:r>
    </w:p>
    <w:p>
      <w:pPr>
        <w:spacing w:after="0" w:line="10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Predecessor Security</w:t>
      </w:r>
      <w:r>
        <w:rPr>
          <w:rFonts w:ascii="Times New Roman" w:cs="Times New Roman" w:eastAsia="Times New Roman" w:hAnsi="Times New Roman"/>
          <w:sz w:val="13"/>
          <w:szCs w:val="13"/>
          <w:color w:val="auto"/>
        </w:rPr>
        <w:t>”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shall be deemed to evidence the same debt as the mutilated, destroyed, lost or stolen Security.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Redemption Date</w:t>
      </w:r>
      <w:r>
        <w:rPr>
          <w:rFonts w:ascii="Times New Roman" w:cs="Times New Roman" w:eastAsia="Times New Roman" w:hAnsi="Times New Roman"/>
          <w:sz w:val="13"/>
          <w:szCs w:val="13"/>
          <w:color w:val="auto"/>
        </w:rPr>
        <w:t>” when used with respect to any Security to be redeemed, means the date fixed for such redemption by or pursuant to this Indenture.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Redemption Price”</w:t>
      </w:r>
      <w:r>
        <w:rPr>
          <w:rFonts w:ascii="Times New Roman" w:cs="Times New Roman" w:eastAsia="Times New Roman" w:hAnsi="Times New Roman"/>
          <w:sz w:val="13"/>
          <w:szCs w:val="13"/>
          <w:color w:val="auto"/>
        </w:rPr>
        <w:t xml:space="preserve"> when used with respect to any Security to be redeemed, means the price at which it is to be redeemed pursuant to this Indenture.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Registered Security</w:t>
      </w:r>
      <w:r>
        <w:rPr>
          <w:rFonts w:ascii="Times New Roman" w:cs="Times New Roman" w:eastAsia="Times New Roman" w:hAnsi="Times New Roman"/>
          <w:sz w:val="13"/>
          <w:szCs w:val="13"/>
          <w:color w:val="auto"/>
        </w:rPr>
        <w:t>” means any Security in the form established pursuant to Section 201 which is registered in the Security Register.</w:t>
      </w:r>
    </w:p>
    <w:p>
      <w:pPr>
        <w:spacing w:after="0" w:line="17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Regular Record Date</w:t>
      </w:r>
      <w:r>
        <w:rPr>
          <w:rFonts w:ascii="Times New Roman" w:cs="Times New Roman" w:eastAsia="Times New Roman" w:hAnsi="Times New Roman"/>
          <w:sz w:val="13"/>
          <w:szCs w:val="13"/>
          <w:color w:val="auto"/>
        </w:rPr>
        <w:t>” for the interest payable on any Interest Payment Date on the Registered Securities of any series means the date specified for that purpose as contemplated by Section 301, or, if not so specified, the last day of the calendar month preceding such Interest Payment Date if such Interest Payment Date is the fifteenth day of the calendar month or the fifteenth day of the calendar month preceding such Interest Payment Date if such Interest Payment Date is the first day of a calendar month, whether or not such day shall be a Business Day.</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5">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1" w:right="319" w:bottom="1440" w:gutter="0" w:footer="0" w:header="0"/>
        </w:sectPr>
      </w:pPr>
    </w:p>
    <w:bookmarkStart w:id="100" w:name="page101"/>
    <w:bookmarkEnd w:id="100"/>
    <w:p>
      <w:pPr>
        <w:jc w:val="both"/>
        <w:spacing w:after="0" w:line="28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Responsible Officer</w:t>
      </w:r>
      <w:r>
        <w:rPr>
          <w:rFonts w:ascii="Times New Roman" w:cs="Times New Roman" w:eastAsia="Times New Roman" w:hAnsi="Times New Roman"/>
          <w:sz w:val="13"/>
          <w:szCs w:val="13"/>
          <w:color w:val="auto"/>
        </w:rPr>
        <w:t>” when used with respect to the Trustee, means any officer within the corporate trust department of the Trustee including any vice-president, assistant vice-president, assistant treasurer, trust officer or any other officer who customarily performs functions similar to those performed by the Persons who at the time shall be such officers who have direct responsibility for the administration of the Indenture and also means, with respect to a particular corporate trust matter, any other officer to whom such matter is referred because of his knowledge of and familiarity with the particular subject.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SEC</w:t>
      </w:r>
      <w:r>
        <w:rPr>
          <w:rFonts w:ascii="Times New Roman" w:cs="Times New Roman" w:eastAsia="Times New Roman" w:hAnsi="Times New Roman"/>
          <w:sz w:val="13"/>
          <w:szCs w:val="13"/>
          <w:color w:val="auto"/>
        </w:rPr>
        <w:t>” means the United States Securities and Exchange Commission.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Securities</w:t>
      </w:r>
      <w:r>
        <w:rPr>
          <w:rFonts w:ascii="Times New Roman" w:cs="Times New Roman" w:eastAsia="Times New Roman" w:hAnsi="Times New Roman"/>
          <w:sz w:val="13"/>
          <w:szCs w:val="13"/>
          <w:color w:val="auto"/>
        </w:rPr>
        <w:t>” has the meaning stated in the first recital of this Indenture and more particularly means any Securities authenticated and delivered under this Indenture.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Security Register</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i w:val="1"/>
          <w:iCs w:val="1"/>
          <w:color w:val="auto"/>
        </w:rPr>
        <w:t>Security Registrar</w:t>
      </w:r>
      <w:r>
        <w:rPr>
          <w:rFonts w:ascii="Times New Roman" w:cs="Times New Roman" w:eastAsia="Times New Roman" w:hAnsi="Times New Roman"/>
          <w:sz w:val="13"/>
          <w:szCs w:val="13"/>
          <w:color w:val="auto"/>
        </w:rPr>
        <w:t>” have the respective meanings specified in Section 305.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Special Record Date</w:t>
      </w:r>
      <w:r>
        <w:rPr>
          <w:rFonts w:ascii="Times New Roman" w:cs="Times New Roman" w:eastAsia="Times New Roman" w:hAnsi="Times New Roman"/>
          <w:sz w:val="13"/>
          <w:szCs w:val="13"/>
          <w:color w:val="auto"/>
        </w:rPr>
        <w:t>” for the payment of any Defaulted Interest on the Registered Securities of any series means a date fixed by the Trustee pursuant to Section 307.</w:t>
      </w:r>
    </w:p>
    <w:p>
      <w:pPr>
        <w:spacing w:after="0" w:line="174"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Stated Maturity</w:t>
      </w:r>
      <w:r>
        <w:rPr>
          <w:rFonts w:ascii="Times New Roman" w:cs="Times New Roman" w:eastAsia="Times New Roman" w:hAnsi="Times New Roman"/>
          <w:sz w:val="13"/>
          <w:szCs w:val="13"/>
          <w:color w:val="auto"/>
        </w:rPr>
        <w:t>” when used with respect to any Security or any installment of principal thereof or interest thereon, means the date specified in such Security as the fixed date on which the principal of such Security or such installment of principal or interest is due and payable.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Subsidiary</w:t>
      </w:r>
      <w:r>
        <w:rPr>
          <w:rFonts w:ascii="Times New Roman" w:cs="Times New Roman" w:eastAsia="Times New Roman" w:hAnsi="Times New Roman"/>
          <w:sz w:val="13"/>
          <w:szCs w:val="13"/>
          <w:color w:val="auto"/>
        </w:rPr>
        <w:t>” means, with respect to any specified Person:</w:t>
      </w:r>
    </w:p>
    <w:p>
      <w:pPr>
        <w:spacing w:after="0" w:line="176" w:lineRule="exact"/>
        <w:rPr>
          <w:sz w:val="20"/>
          <w:szCs w:val="20"/>
          <w:color w:val="auto"/>
        </w:rPr>
      </w:pPr>
    </w:p>
    <w:p>
      <w:pPr>
        <w:ind w:left="240" w:hanging="239"/>
        <w:spacing w:after="0" w:line="298" w:lineRule="auto"/>
        <w:tabs>
          <w:tab w:leader="none" w:pos="24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corporation of which the outstanding Capital Stock having at least a majority of the votes entitled to be cast in the election of directors under ordinary circumstances shall at the time be owned, directly or indirectly by such Person; or</w:t>
      </w:r>
    </w:p>
    <w:p>
      <w:pPr>
        <w:spacing w:after="0" w:line="113" w:lineRule="exact"/>
        <w:rPr>
          <w:rFonts w:ascii="Times New Roman" w:cs="Times New Roman" w:eastAsia="Times New Roman" w:hAnsi="Times New Roman"/>
          <w:sz w:val="13"/>
          <w:szCs w:val="13"/>
          <w:color w:val="auto"/>
        </w:rPr>
      </w:pPr>
    </w:p>
    <w:p>
      <w:pPr>
        <w:ind w:left="240" w:hanging="239"/>
        <w:spacing w:after="0"/>
        <w:tabs>
          <w:tab w:leader="none" w:pos="24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Person of which at least a majority of the voting interest under ordinary circumstances is at the time, directly or indirectly, owned by such Person.</w:t>
      </w:r>
    </w:p>
    <w:p>
      <w:pPr>
        <w:spacing w:after="0" w:line="17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Trustee</w:t>
      </w:r>
      <w:r>
        <w:rPr>
          <w:rFonts w:ascii="Times New Roman" w:cs="Times New Roman" w:eastAsia="Times New Roman" w:hAnsi="Times New Roman"/>
          <w:sz w:val="13"/>
          <w:szCs w:val="13"/>
          <w:color w:val="auto"/>
        </w:rPr>
        <w:t>” means the Person named as the “Trustee” in the first paragraph of this instrument until a successor Trustee shall have become such pursuant to the applicable provisions of this Indenture, and thereafter “</w:t>
      </w:r>
      <w:r>
        <w:rPr>
          <w:rFonts w:ascii="Times New Roman" w:cs="Times New Roman" w:eastAsia="Times New Roman" w:hAnsi="Times New Roman"/>
          <w:sz w:val="13"/>
          <w:szCs w:val="13"/>
          <w:i w:val="1"/>
          <w:iCs w:val="1"/>
          <w:color w:val="auto"/>
        </w:rPr>
        <w:t>Trustee</w:t>
      </w:r>
      <w:r>
        <w:rPr>
          <w:rFonts w:ascii="Times New Roman" w:cs="Times New Roman" w:eastAsia="Times New Roman" w:hAnsi="Times New Roman"/>
          <w:sz w:val="13"/>
          <w:szCs w:val="13"/>
          <w:color w:val="auto"/>
        </w:rPr>
        <w:t>” shall mean or include each Person who is then a Trustee hereunder, and if at any time there is more than one such Person, “</w:t>
      </w:r>
      <w:r>
        <w:rPr>
          <w:rFonts w:ascii="Times New Roman" w:cs="Times New Roman" w:eastAsia="Times New Roman" w:hAnsi="Times New Roman"/>
          <w:sz w:val="13"/>
          <w:szCs w:val="13"/>
          <w:i w:val="1"/>
          <w:iCs w:val="1"/>
          <w:color w:val="auto"/>
        </w:rPr>
        <w:t>Trustee</w:t>
      </w:r>
      <w:r>
        <w:rPr>
          <w:rFonts w:ascii="Times New Roman" w:cs="Times New Roman" w:eastAsia="Times New Roman" w:hAnsi="Times New Roman"/>
          <w:sz w:val="13"/>
          <w:szCs w:val="13"/>
          <w:color w:val="auto"/>
        </w:rPr>
        <w:t>” as used with respect to the Securities of any series shall mean the Trustee with respect to Securities of that series.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Trust Indenture Act</w:t>
      </w:r>
      <w:r>
        <w:rPr>
          <w:rFonts w:ascii="Times New Roman" w:cs="Times New Roman" w:eastAsia="Times New Roman" w:hAnsi="Times New Roman"/>
          <w:sz w:val="13"/>
          <w:szCs w:val="13"/>
          <w:color w:val="auto"/>
        </w:rPr>
        <w:t>” means the Trust Indenture Act of 1939 as in force at the date as of which this instrument was executed, except as provided in Section 903.</w:t>
      </w:r>
    </w:p>
    <w:p>
      <w:pPr>
        <w:spacing w:after="0" w:line="174"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United States</w:t>
      </w:r>
      <w:r>
        <w:rPr>
          <w:rFonts w:ascii="Times New Roman" w:cs="Times New Roman" w:eastAsia="Times New Roman" w:hAnsi="Times New Roman"/>
          <w:sz w:val="13"/>
          <w:szCs w:val="13"/>
          <w:color w:val="auto"/>
        </w:rPr>
        <w:t>” means the United States of America (including the States and the District of Columbia) and its “possessions,” which include Puerto Rico, the U.S. Virgin Islands, Guam, American Samoa, Wake Island and the Northern Mariana Islands.</w:t>
      </w:r>
    </w:p>
    <w:p>
      <w:pPr>
        <w:spacing w:after="0" w:line="109"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United States Alien</w:t>
      </w:r>
      <w:r>
        <w:rPr>
          <w:rFonts w:ascii="Times New Roman" w:cs="Times New Roman" w:eastAsia="Times New Roman" w:hAnsi="Times New Roman"/>
          <w:sz w:val="13"/>
          <w:szCs w:val="13"/>
          <w:color w:val="auto"/>
        </w:rPr>
        <w:t>” means any Person who, for United States federal income tax purposes, is a foreign corporation, a nonresident alien individual, a nonresident alien or foreign fiduciary of an estate or trust, or a foreign partnership.</w:t>
      </w:r>
    </w:p>
    <w:p>
      <w:pPr>
        <w:spacing w:after="0" w:line="10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U.S. Government Obligations</w:t>
      </w:r>
      <w:r>
        <w:rPr>
          <w:rFonts w:ascii="Times New Roman" w:cs="Times New Roman" w:eastAsia="Times New Roman" w:hAnsi="Times New Roman"/>
          <w:sz w:val="13"/>
          <w:szCs w:val="13"/>
          <w:color w:val="auto"/>
        </w:rPr>
        <w:t>” means direct noncallable obligations of, or noncallable obligations the payment of principal of and interest on which is guaranteed by, the United States of America, or to the payment of which obligations or guarantees the full faith and credit of the United States of America is pledged, or beneficial interests in a trust the corpus of which consists exclusively of money or such obligations or a combination thereof.</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Vice President</w:t>
      </w:r>
      <w:r>
        <w:rPr>
          <w:rFonts w:ascii="Times New Roman" w:cs="Times New Roman" w:eastAsia="Times New Roman" w:hAnsi="Times New Roman"/>
          <w:sz w:val="13"/>
          <w:szCs w:val="13"/>
          <w:color w:val="auto"/>
        </w:rPr>
        <w:t>”, when used with respect to the Company or the Trustee, means any vice president, whether or not designated by a number or a word or words added before or after the title “vice president”.</w:t>
      </w:r>
    </w:p>
    <w:p>
      <w:pPr>
        <w:spacing w:after="0" w:line="17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Wholly Owned Subsidiary</w:t>
      </w:r>
      <w:r>
        <w:rPr>
          <w:rFonts w:ascii="Times New Roman" w:cs="Times New Roman" w:eastAsia="Times New Roman" w:hAnsi="Times New Roman"/>
          <w:sz w:val="13"/>
          <w:szCs w:val="13"/>
          <w:color w:val="auto"/>
        </w:rPr>
        <w:t>” of any Person means any Subsidiary of such Person of which all the outstanding voting securities (other than in the case of a Restricted Subsidiary that is incorporated in a jurisdiction other than a State in the United States of America or the District of Columbia, directors’ qualifying shares or an immaterial amount of shares required to be owned by other Persons pursuant to applicable law) are owned by such Person or any Wholly Owned Subsidiary of such Person.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Yield to Maturity</w:t>
      </w:r>
      <w:r>
        <w:rPr>
          <w:rFonts w:ascii="Times New Roman" w:cs="Times New Roman" w:eastAsia="Times New Roman" w:hAnsi="Times New Roman"/>
          <w:sz w:val="13"/>
          <w:szCs w:val="13"/>
          <w:color w:val="auto"/>
        </w:rPr>
        <w:t>”, when used with respect to any Original Issue Discount Security, means the yield to maturity, if any, set forth on the face thereof.</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6">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1"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3"/>
          <w:szCs w:val="13"/>
          <w:b w:val="1"/>
          <w:bCs w:val="1"/>
          <w:color w:val="auto"/>
        </w:rPr>
        <w:t>SECTION 102. INCORPORATION BY REFERENCE OF TRUST INDENTURE ACT.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Whenever this Indenture refers to a provision of the Trust Indenture Act, the provision is incorporated by reference in and made a part of this Indenture. The following Trust Indenture Act terms used in this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Indenture have the following meanings: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Bankruptcy Act</w:t>
      </w:r>
      <w:r>
        <w:rPr>
          <w:rFonts w:ascii="Times New Roman" w:cs="Times New Roman" w:eastAsia="Times New Roman" w:hAnsi="Times New Roman"/>
          <w:sz w:val="13"/>
          <w:szCs w:val="13"/>
          <w:color w:val="auto"/>
        </w:rPr>
        <w:t>” means the Bankruptcy Act or Title 11 of the United States Code, as amended.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indenture securities</w:t>
      </w:r>
      <w:r>
        <w:rPr>
          <w:rFonts w:ascii="Times New Roman" w:cs="Times New Roman" w:eastAsia="Times New Roman" w:hAnsi="Times New Roman"/>
          <w:sz w:val="13"/>
          <w:szCs w:val="13"/>
          <w:color w:val="auto"/>
        </w:rPr>
        <w:t>” means the Securities.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indenture securityholder</w:t>
      </w:r>
      <w:r>
        <w:rPr>
          <w:rFonts w:ascii="Times New Roman" w:cs="Times New Roman" w:eastAsia="Times New Roman" w:hAnsi="Times New Roman"/>
          <w:sz w:val="13"/>
          <w:szCs w:val="13"/>
          <w:color w:val="auto"/>
        </w:rPr>
        <w:t>” means a Holder.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indenture to be qualified</w:t>
      </w:r>
      <w:r>
        <w:rPr>
          <w:rFonts w:ascii="Times New Roman" w:cs="Times New Roman" w:eastAsia="Times New Roman" w:hAnsi="Times New Roman"/>
          <w:sz w:val="13"/>
          <w:szCs w:val="13"/>
          <w:color w:val="auto"/>
        </w:rPr>
        <w:t>” means this Indenture.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indenture trustee</w:t>
      </w:r>
      <w:r>
        <w:rPr>
          <w:rFonts w:ascii="Times New Roman" w:cs="Times New Roman" w:eastAsia="Times New Roman" w:hAnsi="Times New Roman"/>
          <w:sz w:val="13"/>
          <w:szCs w:val="13"/>
          <w:color w:val="auto"/>
        </w:rPr>
        <w:t>” or “institutional trustee” means the Trustee.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obligor</w:t>
      </w:r>
      <w:r>
        <w:rPr>
          <w:rFonts w:ascii="Times New Roman" w:cs="Times New Roman" w:eastAsia="Times New Roman" w:hAnsi="Times New Roman"/>
          <w:sz w:val="13"/>
          <w:szCs w:val="13"/>
          <w:color w:val="auto"/>
        </w:rPr>
        <w:t>” on the indenture securities means the Company or any other obligor on the Securities.</w:t>
      </w:r>
    </w:p>
    <w:p>
      <w:pPr>
        <w:spacing w:after="0" w:line="176"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color w:val="auto"/>
        </w:rPr>
        <w:t>All terms used in this Indenture that are defined by the Trust Indenture Act, defined by Trust Indenture Act reference to another statute or defined by SEC rule under the Trust Indenture Act and not otherwise defined herein have the meanings assigned to them therein.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103. COMPLIANCE CERTIFICATES AND OPINIONS.</w:t>
      </w:r>
    </w:p>
    <w:p>
      <w:pPr>
        <w:spacing w:after="0" w:line="17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3"/>
          <w:szCs w:val="13"/>
          <w:color w:val="auto"/>
        </w:rPr>
        <w:t>Except as otherwise expressly provided by this Indenture, upon any application or request by the Company to the Trustee to take any action under any provision of this Indenture, the Company shall furnish to the Trustee an Officers’ Certificate stating that all conditions precedent, if any (including any covenants the compliance with which constitutes a condition precedent), provided for in this Indenture relating to the proposed action have been complied with and an Opinion of Counsel stating that in the opinion of such counsel all such conditions precedent, if any (including any covenants the compliance with which constitutes a condition precedent),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Every certificate or opinion with respect to compliance with a condition or covenant provided for in this Indenture shall include:</w:t>
      </w:r>
    </w:p>
    <w:p>
      <w:pPr>
        <w:spacing w:after="0" w:line="174" w:lineRule="exact"/>
        <w:rPr>
          <w:sz w:val="20"/>
          <w:szCs w:val="20"/>
          <w:color w:val="auto"/>
        </w:rPr>
      </w:pPr>
    </w:p>
    <w:p>
      <w:pPr>
        <w:ind w:left="240" w:hanging="239"/>
        <w:spacing w:after="0"/>
        <w:tabs>
          <w:tab w:leader="none" w:pos="24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statement that each Person signing such certificate or opinion has read such covenant or condition and the definitions herein relating thereto;</w:t>
      </w:r>
    </w:p>
    <w:p>
      <w:pPr>
        <w:spacing w:after="0" w:line="173" w:lineRule="exact"/>
        <w:rPr>
          <w:rFonts w:ascii="Times New Roman" w:cs="Times New Roman" w:eastAsia="Times New Roman" w:hAnsi="Times New Roman"/>
          <w:sz w:val="13"/>
          <w:szCs w:val="13"/>
          <w:color w:val="auto"/>
        </w:rPr>
      </w:pPr>
    </w:p>
    <w:p>
      <w:pPr>
        <w:ind w:left="240" w:hanging="239"/>
        <w:spacing w:after="0"/>
        <w:tabs>
          <w:tab w:leader="none" w:pos="24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brief statement as to the nature and scope of the examination or investigation upon which the statements or opinions contained in such certificate or opinion are based;</w:t>
      </w:r>
    </w:p>
    <w:p>
      <w:pPr>
        <w:spacing w:after="0" w:line="173" w:lineRule="exact"/>
        <w:rPr>
          <w:rFonts w:ascii="Times New Roman" w:cs="Times New Roman" w:eastAsia="Times New Roman" w:hAnsi="Times New Roman"/>
          <w:sz w:val="13"/>
          <w:szCs w:val="13"/>
          <w:color w:val="auto"/>
        </w:rPr>
      </w:pPr>
    </w:p>
    <w:p>
      <w:pPr>
        <w:ind w:left="240" w:hanging="239"/>
        <w:spacing w:after="0" w:line="298" w:lineRule="auto"/>
        <w:tabs>
          <w:tab w:leader="none" w:pos="24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statement that, in the opinion of each such Person, such Person has made such examination or investigation as is necessary to enable such Person to express an informed opinion as to whether or not such covenant or condition has been complied with; and</w:t>
      </w:r>
    </w:p>
    <w:p>
      <w:pPr>
        <w:spacing w:after="0" w:line="113" w:lineRule="exact"/>
        <w:rPr>
          <w:rFonts w:ascii="Times New Roman" w:cs="Times New Roman" w:eastAsia="Times New Roman" w:hAnsi="Times New Roman"/>
          <w:sz w:val="13"/>
          <w:szCs w:val="13"/>
          <w:color w:val="auto"/>
        </w:rPr>
      </w:pPr>
    </w:p>
    <w:p>
      <w:pPr>
        <w:ind w:left="240" w:hanging="239"/>
        <w:spacing w:after="0"/>
        <w:tabs>
          <w:tab w:leader="none" w:pos="24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statement as to whether or not, in the opinion of each such Person, such condition or covenant has been complied with.</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104. FORM OF DOCUMENTS DELIVERED TO TRUSTEE.</w:t>
      </w:r>
    </w:p>
    <w:p>
      <w:pPr>
        <w:spacing w:after="0" w:line="17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3"/>
          <w:szCs w:val="13"/>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2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3"/>
          <w:szCs w:val="13"/>
          <w:color w:val="auto"/>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w:t>
      </w:r>
    </w:p>
    <w:p>
      <w:pPr>
        <w:spacing w:after="0" w:line="295"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7">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3"/>
          <w:szCs w:val="13"/>
          <w:b w:val="1"/>
          <w:bCs w:val="1"/>
          <w:color w:val="auto"/>
        </w:rPr>
        <w:t>SECTION 105. ACTS OF HOLDERS; RECORD DATES.</w:t>
      </w:r>
    </w:p>
    <w:p>
      <w:pPr>
        <w:spacing w:after="0" w:line="178" w:lineRule="exact"/>
        <w:rPr>
          <w:sz w:val="20"/>
          <w:szCs w:val="20"/>
          <w:color w:val="auto"/>
        </w:rPr>
      </w:pPr>
    </w:p>
    <w:p>
      <w:pPr>
        <w:jc w:val="both"/>
        <w:ind w:left="240" w:hanging="239"/>
        <w:spacing w:after="0" w:line="262" w:lineRule="auto"/>
        <w:tabs>
          <w:tab w:leader="none" w:pos="24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request, demand, authorization, direction, notice, consent, waiver or other action provided by this Indenture to be given or taken by Holders may be embodied in and evidenced by one or more instruments of substantially similar tenor signed by such Holders in person or by an agent duly appointed in writing. Except as herein otherwise expressly provided, such action shall become effective when such instrument or instruments or record or both are delivered to the Trustee and, where it is hereby expressly required, to the Company. Such instrument or instruments and any such record (and the action embodied therein and evidenced thereby) are herein sometimes referred to as the “</w:t>
      </w:r>
      <w:r>
        <w:rPr>
          <w:rFonts w:ascii="Times New Roman" w:cs="Times New Roman" w:eastAsia="Times New Roman" w:hAnsi="Times New Roman"/>
          <w:sz w:val="13"/>
          <w:szCs w:val="13"/>
          <w:i w:val="1"/>
          <w:iCs w:val="1"/>
          <w:color w:val="auto"/>
        </w:rPr>
        <w:t>Act</w:t>
      </w:r>
      <w:r>
        <w:rPr>
          <w:rFonts w:ascii="Times New Roman" w:cs="Times New Roman" w:eastAsia="Times New Roman" w:hAnsi="Times New Roman"/>
          <w:sz w:val="13"/>
          <w:szCs w:val="13"/>
          <w:color w:val="auto"/>
        </w:rPr>
        <w:t>” of the Holders signing such instrument or instruments and so voting at any such meeting. Proof of execution of any such instrument or of a writing appointing any such agent, or the holding of any Person of a Security, shall be sufficient for any purpose of this Indenture and (subject to Section 601) conclusive in favor of the Trustee and the Company, if made in the manner provided in this Section. The record of any meeting of Holders of Securities shall be proved in the manner provided in Section 1306. The Company may set in advance a record date for purposes of determining the identity of Holders of Registered Securities entitled to vote or consent to any action by vote or consent authorized or permitted under this Indenture. If not set by the Company prior to the first solicitation of a Holder of Registered Securities of such series made by any Person in respect of any such action, or in the case of any such vote, prior to such vote, the record date for any such action or vote shall be the later of 30 days prior to such first solicitation of such consent or the date of the most recent list of Holders furnished to the Trustee prior to such solicitation. If a record date is fixed, those Persons who were Holders of Outstanding Registered Securities at such record date (or their duly designated proxies), and only those Persons, shall be entitled with respect to such Securities to take such action by vote or consent or to revoke any vote or consent previously given, whether or not such Persons continue to be Holders after such record date. Promptly after any record date is set pursuant to this paragraph, the Company, at its own expense, shall cause notice thereof to be given to the Trustee in writing in the manner provided in Section 106 and to the relevant Holders as set forth in Section 107.</w:t>
      </w:r>
    </w:p>
    <w:p>
      <w:pPr>
        <w:spacing w:after="0" w:line="305" w:lineRule="exact"/>
        <w:rPr>
          <w:rFonts w:ascii="Times New Roman" w:cs="Times New Roman" w:eastAsia="Times New Roman" w:hAnsi="Times New Roman"/>
          <w:sz w:val="13"/>
          <w:szCs w:val="13"/>
          <w:color w:val="auto"/>
        </w:rPr>
      </w:pPr>
    </w:p>
    <w:p>
      <w:pPr>
        <w:jc w:val="both"/>
        <w:ind w:left="240" w:hanging="239"/>
        <w:spacing w:after="0" w:line="272" w:lineRule="auto"/>
        <w:tabs>
          <w:tab w:leader="none" w:pos="24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manner which the Trustee deems sufficient.</w:t>
      </w:r>
    </w:p>
    <w:p>
      <w:pPr>
        <w:spacing w:after="0" w:line="130" w:lineRule="exact"/>
        <w:rPr>
          <w:rFonts w:ascii="Times New Roman" w:cs="Times New Roman" w:eastAsia="Times New Roman" w:hAnsi="Times New Roman"/>
          <w:sz w:val="13"/>
          <w:szCs w:val="13"/>
          <w:color w:val="auto"/>
        </w:rPr>
      </w:pPr>
    </w:p>
    <w:p>
      <w:pPr>
        <w:ind w:left="240" w:hanging="239"/>
        <w:spacing w:after="0"/>
        <w:tabs>
          <w:tab w:leader="none" w:pos="24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principal amount and serial numbers of Registered Securities held by any Person, and the date of holding the same, shall be proved by the Security Register.</w:t>
      </w:r>
    </w:p>
    <w:p>
      <w:pPr>
        <w:spacing w:after="0" w:line="173" w:lineRule="exact"/>
        <w:rPr>
          <w:rFonts w:ascii="Times New Roman" w:cs="Times New Roman" w:eastAsia="Times New Roman" w:hAnsi="Times New Roman"/>
          <w:sz w:val="13"/>
          <w:szCs w:val="13"/>
          <w:color w:val="auto"/>
        </w:rPr>
      </w:pPr>
    </w:p>
    <w:p>
      <w:pPr>
        <w:jc w:val="both"/>
        <w:ind w:left="240" w:hanging="239"/>
        <w:spacing w:after="0" w:line="272" w:lineRule="auto"/>
        <w:tabs>
          <w:tab w:leader="none" w:pos="24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 Any Holder or subsequent Holder may revoke the request, demand, authorization, direction, notice, consent or other Act as to his Security or portion of his Security;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such revocation shall be effective only if the Trustee receives the notice of revocation before the date the Act becomes effective.</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8">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3"/>
          <w:szCs w:val="13"/>
          <w:b w:val="1"/>
          <w:bCs w:val="1"/>
          <w:color w:val="auto"/>
        </w:rPr>
        <w:t>SECTION 106. NOTICES, ETC., TO TRUSTEE AND COMPANY.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Any request, demand, authorization, direction, notice, consent, waiver or Act of Holders or other document provided or permitted by this Indenture to be made upon, given or furnished to, or filed with,</w:t>
      </w:r>
    </w:p>
    <w:p>
      <w:pPr>
        <w:spacing w:after="0" w:line="174" w:lineRule="exact"/>
        <w:rPr>
          <w:sz w:val="20"/>
          <w:szCs w:val="20"/>
          <w:color w:val="auto"/>
        </w:rPr>
      </w:pPr>
    </w:p>
    <w:p>
      <w:pPr>
        <w:ind w:left="240" w:hanging="239"/>
        <w:spacing w:after="0" w:line="298" w:lineRule="auto"/>
        <w:tabs>
          <w:tab w:leader="none" w:pos="24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by any Holder or by the Company shall be sufficient for every purpose hereunder if made, given, furnished or filed in writing to or with the Trustee at its Corporate Trust Office, Attention: Corporate Trust Administration, or</w:t>
      </w:r>
    </w:p>
    <w:p>
      <w:pPr>
        <w:spacing w:after="0" w:line="113" w:lineRule="exact"/>
        <w:rPr>
          <w:rFonts w:ascii="Times New Roman" w:cs="Times New Roman" w:eastAsia="Times New Roman" w:hAnsi="Times New Roman"/>
          <w:sz w:val="13"/>
          <w:szCs w:val="13"/>
          <w:color w:val="auto"/>
        </w:rPr>
      </w:pPr>
    </w:p>
    <w:p>
      <w:pPr>
        <w:jc w:val="both"/>
        <w:ind w:left="240" w:hanging="239"/>
        <w:spacing w:after="0" w:line="279" w:lineRule="auto"/>
        <w:tabs>
          <w:tab w:leader="none" w:pos="24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by the Trustee or by any Holder shall be sufficient for every purpose hereunder (unless otherwise herein expressly provided) if in writing and mailed, first-class postage prepaid, to the Company addressed to it at the address of its principal office specified in the first paragraph of this Indenture or at any other address previously furnished in writing to the Trustee by the Company, Attention: Corporate Secretary.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Company or the Trustee, by notice to the other, may designate additional or different addresses for subsequent notices or communications.</w:t>
      </w:r>
    </w:p>
    <w:p>
      <w:pPr>
        <w:spacing w:after="0" w:line="17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3"/>
          <w:szCs w:val="13"/>
          <w:color w:val="auto"/>
        </w:rPr>
        <w:t>All notices and communications (other than those sent to the Trustee) shall be deemed to have been duly given: at the time delivered by hand, if personally delivered; five Business Days after being deposited in the mail, postage prepaid, if mailed; when receipt acknowledged, if telecopied; and the next Business Day after timely delivery to the courier, if sent by overnight air courier guaranteeing next-day delivery. All notices and communications to the Trustee shall be deemed duly given and effective only upon receipt.</w:t>
      </w:r>
    </w:p>
    <w:p>
      <w:pPr>
        <w:spacing w:after="0" w:line="12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3"/>
          <w:szCs w:val="13"/>
          <w:color w:val="auto"/>
        </w:rPr>
        <w:t>Any notice or communication to a Holder shall be mailed by first class mail, certified or registered, return receipt requested, or by overnight air courier guaranteeing next-day delivery to its address shown on the Security Register. Any notice or communication shall also be so mailed to any Person described in TIA Section 313(c), to the extent required by the TIA. Failure to mail a notice or communication to a Holder or any defect in it shall not affect its sufficiency with respect to other Holders.</w:t>
      </w:r>
    </w:p>
    <w:p>
      <w:pPr>
        <w:spacing w:after="0" w:line="125"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color w:val="auto"/>
        </w:rPr>
        <w:t>If a notice or communication is mailed in the manner provided above within the time prescribed, it is duly given, whether or not the addressee receives it. If the Company mails a notice or communication to Holders, it shall mail a copy to the Trustee and each Agent at the same time.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107. NOTICE TO HOLDERS; WAIVER.</w:t>
      </w:r>
    </w:p>
    <w:p>
      <w:pPr>
        <w:spacing w:after="0" w:line="17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3"/>
          <w:szCs w:val="13"/>
          <w:color w:val="auto"/>
        </w:rPr>
        <w:t>Where this Indenture provides for notice to Holders of Securities of any event, such notice shall be sufficiently given (unless otherwise herein expressly provided) if in writing and mailed, first-class postage prepaid, to each Holder affected by such event, at the address of such Holder as it appears in the Security Register, not later than the latest date, and not earlier than the earliest date, prescribed for the giving of such notice.</w:t>
      </w:r>
    </w:p>
    <w:p>
      <w:pPr>
        <w:spacing w:after="0" w:line="28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3"/>
          <w:szCs w:val="13"/>
          <w:color w:val="auto"/>
        </w:rPr>
        <w:t>In case by reason of the suspension of regular mail service, or by reason of any other cause it shall be impracticable to give such notice to Holders of Registered Securities by mail, then such notification as shall be made with the approval of the Trustee shall constitute a sufficient notification for every purpose hereunder. In any case in which notice to Holders of Registered Securities is given by mail, neither the failure to mail such notice, nor any defect in any notice so mailed, to any particular Holder of a Registered Security, shall affect the sufficiency of such notice with respect to other Holders of Registered Securities.</w:t>
      </w:r>
    </w:p>
    <w:p>
      <w:pPr>
        <w:spacing w:after="0" w:line="293"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108. CONFLICT WITH TRUST INDENTURE ACT.</w:t>
      </w:r>
    </w:p>
    <w:p>
      <w:pPr>
        <w:spacing w:after="0" w:line="17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3"/>
          <w:szCs w:val="13"/>
          <w:color w:val="auto"/>
        </w:rPr>
        <w:t>If any provision hereof limits, qualifies or conflicts with any provision of the Trust Indenture Act or another provision hereof required to be included in this Indenture by any of the provisions of the Trust Indenture Act, such provision of the Trust Indenture Act shall control. If any provision of this Indenture modifies or excludes any provision of the Trust Indenture Act that may be so modified or excluded, the former provision shall be deemed to apply to this Indenture as so modified or to be excluded.</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9">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3"/>
          <w:szCs w:val="13"/>
          <w:b w:val="1"/>
          <w:bCs w:val="1"/>
          <w:color w:val="auto"/>
        </w:rPr>
        <w:t>SECTION 109. EFFECT OF HEADINGS AND TABLE OF CONTENTS.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Article and Section headings herein and the Table of Contents are for convenience only and shall not affect the construction hereof.</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110. SUCCESSORS AND ASSIGNS.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All covenants and agreements in this Indenture by the Company shall bind its successors and assigns, whether or not so expressed.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111. SEPARABILITY CLAUSE.</w:t>
      </w:r>
    </w:p>
    <w:p>
      <w:pPr>
        <w:spacing w:after="0" w:line="17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112. BENEFITS OF INDENTURE.</w:t>
      </w:r>
    </w:p>
    <w:p>
      <w:pPr>
        <w:spacing w:after="0" w:line="17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color w:val="auto"/>
        </w:rPr>
        <w:t>Nothing in this Indenture or in the Securities, express or implied, shall give to any Person, other than the parties hereto and their successors hereunder, any Authenticating Agent, Paying Agent and Security Registrar, and the Holders, any benefit or any legal or equitable right, remedy or claim under this Indenture.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113. GOVERNING LAW.</w:t>
      </w:r>
    </w:p>
    <w:p>
      <w:pPr>
        <w:spacing w:after="0" w:line="17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color w:val="auto"/>
        </w:rPr>
        <w:t>This Indenture and the Securities shall be governed by and construed in accordance with the laws of the State of New York, but without giving effect to applicable principles of conflicts of law to the extent the application of the laws of another jurisdiction would be required thereby.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114. LEGAL HOLIDAYS.</w:t>
      </w:r>
    </w:p>
    <w:p>
      <w:pPr>
        <w:spacing w:after="0" w:line="17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3"/>
          <w:szCs w:val="13"/>
          <w:color w:val="auto"/>
        </w:rPr>
        <w:t xml:space="preserve">In any case where any Interest Payment Date, Redemption Date or Stated Maturity of any Security shall not be a Business Day at any Place of Payment, then (notwithstanding any other provision of this Indenture or of the Securities) payment of principal and interest (and premium and Additional Amounts, if any) need not be made at such Place of Payment on such date, but may be made on the next succeeding Business Day at such Place of Payment with the same force and effect as if made on the Interest Payment Date or Redemption Date, or at the Stated Maturity,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no interest shall accrue for the period from and after such Interest Payment Date, Redemption Date or Stated Maturity, as the case may be.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115. CORPORATE OBLIGATION.</w:t>
      </w:r>
    </w:p>
    <w:p>
      <w:pPr>
        <w:spacing w:after="0" w:line="17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3"/>
          <w:szCs w:val="13"/>
          <w:color w:val="auto"/>
        </w:rPr>
        <w:t>No recourse may be taken, directly or indirectly, against any incorporator, subscriber to the capital stock, stockholder, officer, director or employee of the Company or the Trustee or of any predecessor or successor of the Company or the Trustee with respect to the Company’s obligations on the Securities or the obligations of the Company or the Trustee under this Indenture or any certificate or other writing delivered in connection herewith.</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116. WAIVER OF TRIAL JURY.</w:t>
      </w:r>
    </w:p>
    <w:p>
      <w:pPr>
        <w:spacing w:after="0" w:line="17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color w:val="auto"/>
        </w:rPr>
        <w:t>EACH OF THE COMPANY AND THE TRUSTEE HEREBY IRREVOCABLY WAIVES, TO THE FULLEST EXTENT PERMITTED BY APPLICABLE LAW, ANY AND ALL RIGHT TO TRIAL BY JURY IN ANY LEGAL PROCEEDING ARISING OUT OF OR RELATING TO THIS INDENTURE, THE NOTES OR THE TRANSACTION CONTEMPLATED HEREBY.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117. FORCE MAJEURE.</w:t>
      </w:r>
    </w:p>
    <w:p>
      <w:pPr>
        <w:spacing w:after="0" w:line="17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3"/>
          <w:szCs w:val="13"/>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0">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3"/>
          <w:szCs w:val="13"/>
          <w:b w:val="1"/>
          <w:bCs w:val="1"/>
          <w:color w:val="auto"/>
        </w:rPr>
        <w:t>ARTICLE II</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SECURITY FORMS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201. FORMS GENERALLY.</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The Securities of each series shall be Registered Securities and shall be in substantially such form or forms (including temporary or permanent global form) as shall be established by or pursuant to a Board Resolution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as may, consistently herewith, be determined by the officers executing such Securities, as evidenced by their execution of the Securities. If temporary Securities of any series are issued in global form as permitted by Section 304, the form thereof shall be established as provided in the preceding sentence. A copy of the Board Resolution establishing the form or forms of Securities of any series (or any such temporary global Security) shall be delivered to the Trustee at or prior to the delivery of the Company Order contemplated by Section 303 for the authentication and delivery of such Securities (or any such temporary global Security).</w:t>
      </w:r>
    </w:p>
    <w:p>
      <w:pPr>
        <w:spacing w:after="0" w:line="134"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color w:val="auto"/>
        </w:rPr>
        <w:t>The definitive Securities shall be printed, lithographed or engraved on steel engraved borders or may be produced in any other manner, all as determined by the officers executing such Securities, as evidenced by their execution thereof.</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9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SECTION 202. FORM OF TRUSTEE’S CERTIFICATE OF AUTHENTICATION.</w:t>
            </w:r>
          </w:p>
        </w:tc>
        <w:tc>
          <w:tcPr>
            <w:tcW w:w="140" w:type="dxa"/>
            <w:vAlign w:val="bottom"/>
          </w:tcPr>
          <w:p>
            <w:pPr>
              <w:spacing w:after="0"/>
              <w:rPr>
                <w:sz w:val="15"/>
                <w:szCs w:val="15"/>
                <w:color w:val="auto"/>
              </w:rPr>
            </w:pPr>
          </w:p>
        </w:tc>
        <w:tc>
          <w:tcPr>
            <w:tcW w:w="4260" w:type="dxa"/>
            <w:vAlign w:val="bottom"/>
          </w:tcPr>
          <w:p>
            <w:pPr>
              <w:spacing w:after="0"/>
              <w:rPr>
                <w:sz w:val="15"/>
                <w:szCs w:val="15"/>
                <w:color w:val="auto"/>
              </w:rPr>
            </w:pPr>
          </w:p>
        </w:tc>
      </w:tr>
      <w:tr>
        <w:trPr>
          <w:trHeight w:val="323"/>
        </w:trPr>
        <w:tc>
          <w:tcPr>
            <w:tcW w:w="5920" w:type="dxa"/>
            <w:vAlign w:val="bottom"/>
          </w:tcPr>
          <w:p>
            <w:pPr>
              <w:spacing w:after="0"/>
              <w:rPr>
                <w:sz w:val="20"/>
                <w:szCs w:val="20"/>
                <w:color w:val="auto"/>
              </w:rPr>
            </w:pPr>
            <w:r>
              <w:rPr>
                <w:rFonts w:ascii="Times New Roman" w:cs="Times New Roman" w:eastAsia="Times New Roman" w:hAnsi="Times New Roman"/>
                <w:sz w:val="13"/>
                <w:szCs w:val="13"/>
                <w:color w:val="auto"/>
              </w:rPr>
              <w:t>The Trustee’s certificate of authentication shall be in substantially the following form:</w:t>
            </w:r>
          </w:p>
        </w:tc>
        <w:tc>
          <w:tcPr>
            <w:tcW w:w="14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323"/>
        </w:trPr>
        <w:tc>
          <w:tcPr>
            <w:tcW w:w="5920" w:type="dxa"/>
            <w:vAlign w:val="bottom"/>
          </w:tcPr>
          <w:p>
            <w:pPr>
              <w:spacing w:after="0"/>
              <w:rPr>
                <w:sz w:val="20"/>
                <w:szCs w:val="20"/>
                <w:color w:val="auto"/>
              </w:rPr>
            </w:pPr>
            <w:r>
              <w:rPr>
                <w:rFonts w:ascii="Times New Roman" w:cs="Times New Roman" w:eastAsia="Times New Roman" w:hAnsi="Times New Roman"/>
                <w:sz w:val="13"/>
                <w:szCs w:val="13"/>
                <w:color w:val="auto"/>
              </w:rPr>
              <w:t>“This is one of the Securities of the series designated therein referred to in the within-mentioned Indenture.</w:t>
            </w:r>
          </w:p>
        </w:tc>
        <w:tc>
          <w:tcPr>
            <w:tcW w:w="14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323"/>
        </w:trPr>
        <w:tc>
          <w:tcPr>
            <w:tcW w:w="592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44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   </w:t>
            </w:r>
          </w:p>
        </w:tc>
      </w:tr>
      <w:tr>
        <w:trPr>
          <w:trHeight w:val="154"/>
        </w:trPr>
        <w:tc>
          <w:tcPr>
            <w:tcW w:w="5920" w:type="dxa"/>
            <w:vAlign w:val="bottom"/>
          </w:tcPr>
          <w:p>
            <w:pPr>
              <w:spacing w:after="0"/>
              <w:rPr>
                <w:sz w:val="20"/>
                <w:szCs w:val="20"/>
                <w:color w:val="auto"/>
              </w:rPr>
            </w:pPr>
            <w:r>
              <w:rPr>
                <w:rFonts w:ascii="Times New Roman" w:cs="Times New Roman" w:eastAsia="Times New Roman" w:hAnsi="Times New Roman"/>
                <w:sz w:val="13"/>
                <w:szCs w:val="13"/>
                <w:color w:val="auto"/>
              </w:rPr>
              <w:t>AUTHORIZED OFFICER”</w:t>
            </w:r>
          </w:p>
        </w:tc>
        <w:tc>
          <w:tcPr>
            <w:tcW w:w="140" w:type="dxa"/>
            <w:vAlign w:val="bottom"/>
          </w:tcPr>
          <w:p>
            <w:pPr>
              <w:spacing w:after="0"/>
              <w:rPr>
                <w:sz w:val="13"/>
                <w:szCs w:val="13"/>
                <w:color w:val="auto"/>
              </w:rPr>
            </w:pPr>
          </w:p>
        </w:tc>
        <w:tc>
          <w:tcPr>
            <w:tcW w:w="4260" w:type="dxa"/>
            <w:vAlign w:val="bottom"/>
            <w:tcBorders>
              <w:top w:val="single" w:sz="8" w:color="auto"/>
            </w:tcBorders>
          </w:tcPr>
          <w:p>
            <w:pPr>
              <w:spacing w:after="0"/>
              <w:rPr>
                <w:sz w:val="13"/>
                <w:szCs w:val="13"/>
                <w:color w:val="auto"/>
              </w:rPr>
            </w:pPr>
          </w:p>
        </w:tc>
      </w:tr>
      <w:tr>
        <w:trPr>
          <w:trHeight w:val="321"/>
        </w:trPr>
        <w:tc>
          <w:tcPr>
            <w:tcW w:w="59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SECTION 203. SECURITIES IN GLOBAL FORM.</w:t>
            </w:r>
          </w:p>
        </w:tc>
        <w:tc>
          <w:tcPr>
            <w:tcW w:w="140" w:type="dxa"/>
            <w:vAlign w:val="bottom"/>
          </w:tcPr>
          <w:p>
            <w:pPr>
              <w:spacing w:after="0"/>
              <w:rPr>
                <w:sz w:val="24"/>
                <w:szCs w:val="24"/>
                <w:color w:val="auto"/>
              </w:rPr>
            </w:pPr>
          </w:p>
        </w:tc>
        <w:tc>
          <w:tcPr>
            <w:tcW w:w="4260" w:type="dxa"/>
            <w:vAlign w:val="bottom"/>
          </w:tcPr>
          <w:p>
            <w:pPr>
              <w:spacing w:after="0"/>
              <w:rPr>
                <w:sz w:val="24"/>
                <w:szCs w:val="24"/>
                <w:color w:val="auto"/>
              </w:rPr>
            </w:pPr>
          </w:p>
        </w:tc>
      </w:tr>
    </w:tbl>
    <w:p>
      <w:pPr>
        <w:spacing w:after="0" w:line="14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3"/>
          <w:szCs w:val="13"/>
          <w:color w:val="auto"/>
        </w:rPr>
        <w:t>If Securities of a series are issuable in global form, as contemplated by Section 301, then, notwithstanding clause (10) of Section 301 and the provisions of Section 302, any such Security shall represent such of the Outstanding Securities of such series as shall be specified therein and may provide that it shall represent the aggregate amount of Outstanding Securities from time to time endorsed thereon and that the aggregate amount of Outstanding Securities represented thereby may from time to time be reduced to reflect exchanges. Any endorsement of a Security in global form to reflect the amount, or any increase or decrease in the amount, of Outstanding Securities represented thereby shall be made by the Trustee in such manner and upon instructions given by such Person or Persons as shall be specified in such Security or in a Company Order to be delivered to the Trustee pursuant to Section 303 or Section 304. Subject to the provisions of Section 303 and, if applicable, Section 304, the Trustee shall deliver and redeliver any Security in permanent global form in the manner and upon instructions given by the Person or Persons specified in such Security or in the applicable Company Order. If a Company Order pursuant to Section 303 or 304 has been, or simultaneously is, delivered, any instructions by the Company with respect to endorsement or delivery or redelivery of a Security in global form shall be in writing but need not comply with Section 103 and need not be accompanied by an Opinion of Counsel.</w:t>
      </w:r>
    </w:p>
    <w:p>
      <w:pPr>
        <w:spacing w:after="0" w:line="13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3"/>
          <w:szCs w:val="13"/>
          <w:color w:val="auto"/>
        </w:rPr>
        <w:t>The provisions of the last sentence of Section 303 shall apply to any Security in global form if such Security was never issued and sold by the Company and the Company delivers to the Trustee the Security in global form together with written instructions (which need not comply with Section 103 and need not be accompanied by an Opinion of Counsel) with regard to the reduction in the principal amount of Securities represented thereby, together with the written statement contemplated by the last sentence of Section 303.</w:t>
      </w:r>
    </w:p>
    <w:p>
      <w:pPr>
        <w:spacing w:after="0" w:line="125"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color w:val="auto"/>
        </w:rPr>
        <w:t>Notwithstanding the provisions of Sections 201 and 307, unless otherwise specified as contemplated by Section 301, payment of principal of (and premium, if any) and interest on any Security in permanent global form shall be made to the Person or Persons specified therein.</w:t>
      </w:r>
    </w:p>
    <w:p>
      <w:pPr>
        <w:spacing w:after="0" w:line="11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3"/>
          <w:szCs w:val="13"/>
          <w:color w:val="auto"/>
        </w:rPr>
        <w:t>Notwithstanding the provisions of Section 308 and except as provided in the preceding paragraph, the Company, the Trustee and any agent of the Company or of the Trustee shall treat a Person as the Holder of such principal amount of Outstanding Securities represented by a global Security as shall be specified in a written statement, if any, of the Holder of such global Security, which is produced to the Security Registrar by such Holder.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Global Securities may be issued in either temporary or permanent form. Permanent global Securities will be issued in definitive form.</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1">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3"/>
          <w:szCs w:val="13"/>
          <w:b w:val="1"/>
          <w:bCs w:val="1"/>
          <w:color w:val="auto"/>
        </w:rPr>
        <w:t>SECTION 204. BOOK-ENTRY SECURITIES.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Notwithstanding any provision of this Indenture to the contrary:</w:t>
      </w:r>
    </w:p>
    <w:p>
      <w:pPr>
        <w:spacing w:after="0" w:line="174" w:lineRule="exact"/>
        <w:rPr>
          <w:sz w:val="20"/>
          <w:szCs w:val="20"/>
          <w:color w:val="auto"/>
        </w:rPr>
      </w:pPr>
    </w:p>
    <w:p>
      <w:pPr>
        <w:jc w:val="both"/>
        <w:ind w:left="240" w:hanging="239"/>
        <w:spacing w:after="0" w:line="269" w:lineRule="auto"/>
        <w:tabs>
          <w:tab w:leader="none" w:pos="24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the discretion of the Company, any Registered Security may be issued from time to time, in whole or in part, in permanent global form registered in the name of a Depositary, or its nominee. Each such Registered Security in permanent global form is hereafter referred to as a “</w:t>
      </w:r>
      <w:r>
        <w:rPr>
          <w:rFonts w:ascii="Times New Roman" w:cs="Times New Roman" w:eastAsia="Times New Roman" w:hAnsi="Times New Roman"/>
          <w:sz w:val="13"/>
          <w:szCs w:val="13"/>
          <w:i w:val="1"/>
          <w:iCs w:val="1"/>
          <w:color w:val="auto"/>
        </w:rPr>
        <w:t>Book-Entry Security.</w:t>
      </w:r>
      <w:r>
        <w:rPr>
          <w:rFonts w:ascii="Times New Roman" w:cs="Times New Roman" w:eastAsia="Times New Roman" w:hAnsi="Times New Roman"/>
          <w:sz w:val="13"/>
          <w:szCs w:val="13"/>
          <w:color w:val="auto"/>
        </w:rPr>
        <w:t>” Subject to Section 303, upon such election, the Company shall execute, and the Trustee or an Authenticating Agent shall authenticate and deliver, one or more Book-Entry Securities that (i) are denominated in an amount equal to the aggregate principal amount of the Outstanding Securities of such series if elected in whole or such lesser amount if elected in part, (ii) are registered in the name of the Depositary or its nominee, (iii) are delivered by the Trustee or an Authenticating Agent to the Depositary or pursuant to the Depositary’s instructions and (iv) bear a legend in substantially the following form (or such other form as the Depositary and the Company may agree upon):</w:t>
      </w:r>
    </w:p>
    <w:p>
      <w:pPr>
        <w:spacing w:after="0" w:line="132" w:lineRule="exact"/>
        <w:rPr>
          <w:sz w:val="20"/>
          <w:szCs w:val="20"/>
          <w:color w:val="auto"/>
        </w:rPr>
      </w:pPr>
    </w:p>
    <w:p>
      <w:pPr>
        <w:jc w:val="both"/>
        <w:ind w:left="720"/>
        <w:spacing w:after="0" w:line="269" w:lineRule="auto"/>
        <w:rPr>
          <w:sz w:val="20"/>
          <w:szCs w:val="20"/>
          <w:color w:val="auto"/>
        </w:rPr>
      </w:pPr>
      <w:r>
        <w:rPr>
          <w:rFonts w:ascii="Times New Roman" w:cs="Times New Roman" w:eastAsia="Times New Roman" w:hAnsi="Times New Roman"/>
          <w:sz w:val="13"/>
          <w:szCs w:val="13"/>
          <w:color w:val="auto"/>
        </w:rPr>
        <w:t>UNLESS THIS SECURITY IS PRESENTED BY AN AUTHORIZED REPRESENTATIVE OF [THE DEPOSITARY], TO THE COMPANY OR ITS AGENT FOR REGISTRATION OF TRANSFER, EXCHANGE OR PAYMENT, AND ANY CERTIFICATE ISSUED IS REGISTERED IN THE NAME OF [NOMINEE OF THE DEPOSITARY] OR IN SUCH OTHER NAME AS IS REQUESTED BY AN AUTHORIZED REPRESENTATIVE OF [THE DEPOSITARY] (AND ANY PAYMENT IS MADE TO [NOMINEE OF THE DEPOSITARY] OR TO SUCH OTHER ENTITY AS IS REQUESTED BY AN AUTHORIZED REPRESENTATIVE OF [THE DEPOSITARY]), ANY TRANSFER, PLEDGE OR OTHER USE HEREOF FOR VALUE OR OTHERWISE BY OR TO ANY PERSON IS WRONGFUL INASMUCH AS THE REGISTERED OWNER HEREOF, [NOMINEE OF THE DEPOSITARY], HAS AN INTEREST HEREIN.</w:t>
      </w:r>
    </w:p>
    <w:p>
      <w:pPr>
        <w:spacing w:after="0" w:line="132" w:lineRule="exact"/>
        <w:rPr>
          <w:sz w:val="20"/>
          <w:szCs w:val="20"/>
          <w:color w:val="auto"/>
        </w:rPr>
      </w:pPr>
    </w:p>
    <w:p>
      <w:pPr>
        <w:jc w:val="both"/>
        <w:ind w:left="240" w:hanging="239"/>
        <w:spacing w:after="0" w:line="279" w:lineRule="auto"/>
        <w:tabs>
          <w:tab w:leader="none" w:pos="24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Book-Entry Security shall be initially executed and delivered as provided in Section 303. Notwithstanding any other provision of this Indenture, unless and until it is exchanged in whole or in part for Registered Securities not issued in global form, a Book-Entry Security may not be transferred except as a whole by the Depositary to a nominee of such Depositary, by a nominee of such Depositary to such Depositary or another nominee of such Depositary, or by such Depositary or any such nominee to a successor Depositary or a nominee of such successor Depositary.</w:t>
      </w:r>
    </w:p>
    <w:p>
      <w:pPr>
        <w:spacing w:after="0" w:line="125" w:lineRule="exact"/>
        <w:rPr>
          <w:rFonts w:ascii="Times New Roman" w:cs="Times New Roman" w:eastAsia="Times New Roman" w:hAnsi="Times New Roman"/>
          <w:sz w:val="13"/>
          <w:szCs w:val="13"/>
          <w:color w:val="auto"/>
        </w:rPr>
      </w:pPr>
    </w:p>
    <w:p>
      <w:pPr>
        <w:jc w:val="both"/>
        <w:ind w:left="240" w:hanging="239"/>
        <w:spacing w:after="0" w:line="272" w:lineRule="auto"/>
        <w:tabs>
          <w:tab w:leader="none" w:pos="24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at any time the Depositary notifies the Company or the Trustee that it is unwilling or unable to continue as Depositary for any Book-Entry Securities, the Company shall appoint a successor Depositary, whereupon the retiring Depositary shall surrender or cause the surrender of its Book-Entry Security or Securities to the Trustee. The Trustee shall promptly notify the Company upon receipt of such notice. If a successor Depositary has not been so appointed by the effective date of the resignation of the Depositary, the Book-Entry Securities will be issued as Registered Securities not issued in global form, in an aggregate principal amount equal to the principal amount of the Book-Entry Security or Securities theretofore held by the Depositary.</w:t>
      </w:r>
    </w:p>
    <w:p>
      <w:pPr>
        <w:spacing w:after="0" w:line="131" w:lineRule="exact"/>
        <w:rPr>
          <w:sz w:val="20"/>
          <w:szCs w:val="20"/>
          <w:color w:val="auto"/>
        </w:rPr>
      </w:pPr>
    </w:p>
    <w:p>
      <w:pPr>
        <w:jc w:val="both"/>
        <w:ind w:left="720"/>
        <w:spacing w:after="0" w:line="276" w:lineRule="auto"/>
        <w:rPr>
          <w:sz w:val="20"/>
          <w:szCs w:val="20"/>
          <w:color w:val="auto"/>
        </w:rPr>
      </w:pPr>
      <w:r>
        <w:rPr>
          <w:rFonts w:ascii="Times New Roman" w:cs="Times New Roman" w:eastAsia="Times New Roman" w:hAnsi="Times New Roman"/>
          <w:sz w:val="13"/>
          <w:szCs w:val="13"/>
          <w:color w:val="auto"/>
        </w:rPr>
        <w:t>The Company may at any time and in its sole discretion determine that the Securities shall no longer be Book-Entry Securities represented by a global certificate or certificates, and will so notify the Depositary. Upon receipt of such notice, the Depositary shall promptly surrender or cause the surrender of its Book-Entry Security or Securities to the Trustee. Concurrently therewith, Registered Securities not issued in global form will be issued in an aggregate principal amount equal to the principal amount of the Book-Entry Security or Securities theretofore held by the Depositary.</w:t>
      </w:r>
    </w:p>
    <w:p>
      <w:pPr>
        <w:spacing w:after="0" w:line="293" w:lineRule="exact"/>
        <w:rPr>
          <w:sz w:val="20"/>
          <w:szCs w:val="20"/>
          <w:color w:val="auto"/>
        </w:rPr>
      </w:pPr>
    </w:p>
    <w:p>
      <w:pPr>
        <w:jc w:val="both"/>
        <w:ind w:left="720"/>
        <w:spacing w:after="0" w:line="272" w:lineRule="auto"/>
        <w:rPr>
          <w:sz w:val="20"/>
          <w:szCs w:val="20"/>
          <w:color w:val="auto"/>
        </w:rPr>
      </w:pPr>
      <w:r>
        <w:rPr>
          <w:rFonts w:ascii="Times New Roman" w:cs="Times New Roman" w:eastAsia="Times New Roman" w:hAnsi="Times New Roman"/>
          <w:sz w:val="13"/>
          <w:szCs w:val="13"/>
          <w:color w:val="auto"/>
        </w:rPr>
        <w:t>Upon any exchange of Book-Entry Securities for Registered Securities not issued in global form as set forth in this Section 204(c), such Book-Entry Securities shall be cancelled by the Trustee, and Securities issued in exchange for such Book-Entry Securities pursuant to this Section shall be registered in such names and in such authorized denominations as the Depositary for such Book-Entry Securities, pursuant to instructions from its direct or indirect participants or otherwise, shall instruct the Trustee. The Trustee or any Authenticating Agent shall deliver such Securities to the Persons in whose names such Securities are so registered.</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2">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107" w:name="page108"/>
    <w:bookmarkEnd w:id="107"/>
    <w:p>
      <w:pPr>
        <w:jc w:val="both"/>
        <w:ind w:left="240" w:hanging="239"/>
        <w:spacing w:after="0" w:line="264" w:lineRule="auto"/>
        <w:tabs>
          <w:tab w:leader="none" w:pos="24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Company and the Trustee shall be entitled to treat the Person in whose name any Book-Entry Security is registered as the Holder thereof for all purposes of the Indenture and any applicable laws, notwithstanding any notice to the contrary received by the Trustee or the Company; and the Trustee and the Company shall have no responsibility for transmitting payments to, communication with, notifying, or otherwise dealing with any beneficial owners of any Book-Entry Security. Neither the Company nor the Trustee shall have any responsibility or obligations, legal or otherwise, to the beneficial owners or to any other party including the Depositary, except for the Holder of any Book-Entry Security;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notwithstanding anything herein to the contrary, (i) for the purposes of determining whether the requisite principal amount of Outstanding Securities have given, made or taken any request, demand, authorization, direction, notice, consent, waiver, instruction or other action hereunder as of any date, the Trustee shall treat any Person specified in a written statement of the Depositary with respect to any Book-Entry Securities as the Holder of the principal amount of such Securities set forth therein and (ii) nothing herein shall prevent the Company, the Trustee, or any agent of the Company or Trustee, from giving effect to any written certification, proxy or other authorization furnished by a Depositary with respect to any Book-Entry Securities, or impair, as between a Depositary and holders of beneficial interests in such Securities, the operation of customary practices governing the exercise of the rights of the Depositary as Holder of such Securities.</w:t>
      </w:r>
    </w:p>
    <w:p>
      <w:pPr>
        <w:spacing w:after="0" w:line="136" w:lineRule="exact"/>
        <w:rPr>
          <w:rFonts w:ascii="Times New Roman" w:cs="Times New Roman" w:eastAsia="Times New Roman" w:hAnsi="Times New Roman"/>
          <w:sz w:val="13"/>
          <w:szCs w:val="13"/>
          <w:color w:val="auto"/>
        </w:rPr>
      </w:pPr>
    </w:p>
    <w:p>
      <w:pPr>
        <w:ind w:left="240" w:hanging="239"/>
        <w:spacing w:after="0" w:line="298" w:lineRule="auto"/>
        <w:tabs>
          <w:tab w:leader="none" w:pos="24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So long as any Book-Entry Security is registered in the name of a Depositary or its nominee, all payments of the principal of (and premium, if any) and interest on such Book-Entry Security and redemption thereof and all notices with respect to such Book-Entry Security shall be made and given, respectively, in the manner provided in the arrangements of the Company with such Depositary.</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III</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THE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301. AMOUNT UNLIMITED; ISSUABLE IN SERIES.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aggregate principal amount of Securities that may be authenticated and delivered under this Indenture is unlimited.</w:t>
      </w:r>
    </w:p>
    <w:p>
      <w:pPr>
        <w:spacing w:after="0" w:line="174"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3"/>
          <w:szCs w:val="13"/>
          <w:color w:val="auto"/>
        </w:rPr>
        <w:t>The Securities may be issued in one or more series. There shall be established in or pursuant to a Board Resolution, and set forth in an Officers’ Certificate, or established in one or more indentures supplemental hereto, prior to the issuance of Securities of any series:</w:t>
      </w:r>
    </w:p>
    <w:p>
      <w:pPr>
        <w:spacing w:after="0" w:line="114" w:lineRule="exact"/>
        <w:rPr>
          <w:sz w:val="20"/>
          <w:szCs w:val="20"/>
          <w:color w:val="auto"/>
        </w:rPr>
      </w:pPr>
    </w:p>
    <w:p>
      <w:pPr>
        <w:ind w:left="240" w:hanging="239"/>
        <w:spacing w:after="0"/>
        <w:tabs>
          <w:tab w:leader="none" w:pos="24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title of the Securities of the series (which shall distinguish the Securities of the series from all other Securities);</w:t>
      </w:r>
    </w:p>
    <w:p>
      <w:pPr>
        <w:spacing w:after="0" w:line="173" w:lineRule="exact"/>
        <w:rPr>
          <w:rFonts w:ascii="Times New Roman" w:cs="Times New Roman" w:eastAsia="Times New Roman" w:hAnsi="Times New Roman"/>
          <w:sz w:val="13"/>
          <w:szCs w:val="13"/>
          <w:color w:val="auto"/>
        </w:rPr>
      </w:pPr>
    </w:p>
    <w:p>
      <w:pPr>
        <w:ind w:left="240" w:hanging="239"/>
        <w:spacing w:after="0" w:line="298" w:lineRule="auto"/>
        <w:tabs>
          <w:tab w:leader="none" w:pos="24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limit, if any, upon the aggregate principal amount of the Securities of the series that may be authenticated and delivered under this Indenture (except for Securities authenticated and delivered upon registration or transfer of, or in exchange for, or in lieu of, other Securities of the series pursuant to Section 304, 305, 306, 905 or 1107);</w:t>
      </w:r>
    </w:p>
    <w:p>
      <w:pPr>
        <w:spacing w:after="0" w:line="113" w:lineRule="exact"/>
        <w:rPr>
          <w:rFonts w:ascii="Times New Roman" w:cs="Times New Roman" w:eastAsia="Times New Roman" w:hAnsi="Times New Roman"/>
          <w:sz w:val="13"/>
          <w:szCs w:val="13"/>
          <w:color w:val="auto"/>
        </w:rPr>
      </w:pPr>
    </w:p>
    <w:p>
      <w:pPr>
        <w:jc w:val="both"/>
        <w:ind w:left="240" w:hanging="239"/>
        <w:spacing w:after="0" w:line="272" w:lineRule="auto"/>
        <w:tabs>
          <w:tab w:leader="none" w:pos="24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Securities of the series are to be issuable as Registered Securities, whether any Securities of the series are to be issuable initially in temporary global form and whether any Securities of the series are to be issuable in permanent global form, as Book-Entry Securities or otherwise, and, if so, whether beneficial owners of interests in any such permanent global Security may exchange such interests for Securities of such series and of like tenor of any authorized form and denomination and the circumstances under which any such exchanges may occur, if other than in the manner provided in Section 305, and the Depositary for any global Security or Securities;</w:t>
      </w:r>
    </w:p>
    <w:p>
      <w:pPr>
        <w:spacing w:after="0" w:line="130" w:lineRule="exact"/>
        <w:rPr>
          <w:rFonts w:ascii="Times New Roman" w:cs="Times New Roman" w:eastAsia="Times New Roman" w:hAnsi="Times New Roman"/>
          <w:sz w:val="13"/>
          <w:szCs w:val="13"/>
          <w:color w:val="auto"/>
        </w:rPr>
      </w:pPr>
    </w:p>
    <w:p>
      <w:pPr>
        <w:ind w:left="240" w:hanging="239"/>
        <w:spacing w:after="0"/>
        <w:tabs>
          <w:tab w:leader="none" w:pos="24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manner in which any interest payable on a temporary global Security on any Interest Payment Date will be paid if other than in the manner provided in Section 304;</w:t>
      </w:r>
    </w:p>
    <w:p>
      <w:pPr>
        <w:spacing w:after="0" w:line="173" w:lineRule="exact"/>
        <w:rPr>
          <w:rFonts w:ascii="Times New Roman" w:cs="Times New Roman" w:eastAsia="Times New Roman" w:hAnsi="Times New Roman"/>
          <w:sz w:val="13"/>
          <w:szCs w:val="13"/>
          <w:color w:val="auto"/>
        </w:rPr>
      </w:pPr>
    </w:p>
    <w:p>
      <w:pPr>
        <w:ind w:left="240" w:hanging="239"/>
        <w:spacing w:after="0"/>
        <w:tabs>
          <w:tab w:leader="none" w:pos="24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date or dates on which the principal of (and premium, if any, on) the Securities of the series is payable or the method of determination thereof;</w:t>
      </w:r>
    </w:p>
    <w:p>
      <w:pPr>
        <w:spacing w:after="0" w:line="173" w:lineRule="exact"/>
        <w:rPr>
          <w:rFonts w:ascii="Times New Roman" w:cs="Times New Roman" w:eastAsia="Times New Roman" w:hAnsi="Times New Roman"/>
          <w:sz w:val="13"/>
          <w:szCs w:val="13"/>
          <w:color w:val="auto"/>
        </w:rPr>
      </w:pPr>
    </w:p>
    <w:p>
      <w:pPr>
        <w:jc w:val="both"/>
        <w:ind w:left="240" w:hanging="239"/>
        <w:spacing w:after="0" w:line="279" w:lineRule="auto"/>
        <w:tabs>
          <w:tab w:leader="none" w:pos="24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rate or rates, or the method of determination thereof, at which the Securities of the series shall bear interest, if any, whether and under what circumstances Additional Amounts with respect to such Securities shall be payable, the date or dates from which such interest shall accrue, the Interest Payment Dates on which such interest shall be payable and, if other than as set forth in Section 101, the Regular Record Date for the interest payable on any Registered Securities on any Interest Payment Date;</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3">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3" w:right="319" w:bottom="1440" w:gutter="0" w:footer="0" w:header="0"/>
        </w:sectPr>
      </w:pPr>
    </w:p>
    <w:bookmarkStart w:id="108" w:name="page109"/>
    <w:bookmarkEnd w:id="108"/>
    <w:p>
      <w:pPr>
        <w:ind w:left="240" w:hanging="239"/>
        <w:spacing w:after="0" w:line="298" w:lineRule="auto"/>
        <w:tabs>
          <w:tab w:leader="none" w:pos="240"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other than the Corporate Trust Office of the Trustee, the place or places where, subject to the provisions of Section 1002, the principal of (and premium, if any), any interest on and any Additional Amounts with respect to the Securities of the series shall be payable;</w:t>
      </w:r>
    </w:p>
    <w:p>
      <w:pPr>
        <w:spacing w:after="0" w:line="113" w:lineRule="exact"/>
        <w:rPr>
          <w:rFonts w:ascii="Times New Roman" w:cs="Times New Roman" w:eastAsia="Times New Roman" w:hAnsi="Times New Roman"/>
          <w:sz w:val="13"/>
          <w:szCs w:val="13"/>
          <w:color w:val="auto"/>
        </w:rPr>
      </w:pPr>
    </w:p>
    <w:p>
      <w:pPr>
        <w:ind w:left="240" w:hanging="239"/>
        <w:spacing w:after="0" w:line="298" w:lineRule="auto"/>
        <w:tabs>
          <w:tab w:leader="none" w:pos="240"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period or periods within which, the price or prices (whether denominated in cash, securities or otherwise) at which and the terms and conditions upon which Securities of the series may be redeemed, in whole or in part, at the option of the Company, if the Company is to have that option, and the manner in which the Company must exercise any such option;</w:t>
      </w:r>
    </w:p>
    <w:p>
      <w:pPr>
        <w:spacing w:after="0" w:line="113" w:lineRule="exact"/>
        <w:rPr>
          <w:rFonts w:ascii="Times New Roman" w:cs="Times New Roman" w:eastAsia="Times New Roman" w:hAnsi="Times New Roman"/>
          <w:sz w:val="13"/>
          <w:szCs w:val="13"/>
          <w:color w:val="auto"/>
        </w:rPr>
      </w:pPr>
    </w:p>
    <w:p>
      <w:pPr>
        <w:jc w:val="both"/>
        <w:ind w:left="240" w:hanging="239"/>
        <w:spacing w:after="0" w:line="279" w:lineRule="auto"/>
        <w:tabs>
          <w:tab w:leader="none" w:pos="240"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obligation, if any, of the Company to redeem or purchase Securities of the series pursuant to any sinking fund or analogous provisions or at the option of a Holder thereof and the period or periods within which, the price or prices (whether denominated in cash, securities or otherwise) at which and the terms and conditions upon which Securities of the series shall be redeemed or purchased in whole or in part pursuant to such obligation;</w:t>
      </w:r>
    </w:p>
    <w:p>
      <w:pPr>
        <w:spacing w:after="0" w:line="125" w:lineRule="exact"/>
        <w:rPr>
          <w:rFonts w:ascii="Times New Roman" w:cs="Times New Roman" w:eastAsia="Times New Roman" w:hAnsi="Times New Roman"/>
          <w:sz w:val="13"/>
          <w:szCs w:val="13"/>
          <w:color w:val="auto"/>
        </w:rPr>
      </w:pPr>
    </w:p>
    <w:p>
      <w:pPr>
        <w:ind w:left="240" w:hanging="239"/>
        <w:spacing w:after="0"/>
        <w:tabs>
          <w:tab w:leader="none" w:pos="240"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denomination in which any Registered Securities of that series shall be issuable, if other than denominations of $2,000 and any integral multiple of $1,000 in excess thereof;</w:t>
      </w:r>
    </w:p>
    <w:p>
      <w:pPr>
        <w:spacing w:after="0" w:line="173" w:lineRule="exact"/>
        <w:rPr>
          <w:rFonts w:ascii="Times New Roman" w:cs="Times New Roman" w:eastAsia="Times New Roman" w:hAnsi="Times New Roman"/>
          <w:sz w:val="13"/>
          <w:szCs w:val="13"/>
          <w:color w:val="auto"/>
        </w:rPr>
      </w:pPr>
    </w:p>
    <w:p>
      <w:pPr>
        <w:ind w:left="240" w:hanging="239"/>
        <w:spacing w:after="0" w:line="298" w:lineRule="auto"/>
        <w:tabs>
          <w:tab w:leader="none" w:pos="240"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currency or currencies (including composite currencies) in which payment of the principal of (and premium, if any), any interest on and any Additional Amounts with respect to the Securities of the series shall be payable if other than the currency of the United States of America;</w:t>
      </w:r>
    </w:p>
    <w:p>
      <w:pPr>
        <w:spacing w:after="0" w:line="113" w:lineRule="exact"/>
        <w:rPr>
          <w:rFonts w:ascii="Times New Roman" w:cs="Times New Roman" w:eastAsia="Times New Roman" w:hAnsi="Times New Roman"/>
          <w:sz w:val="13"/>
          <w:szCs w:val="13"/>
          <w:color w:val="auto"/>
        </w:rPr>
      </w:pPr>
    </w:p>
    <w:p>
      <w:pPr>
        <w:jc w:val="both"/>
        <w:ind w:left="240" w:hanging="239"/>
        <w:spacing w:after="0" w:line="276" w:lineRule="auto"/>
        <w:tabs>
          <w:tab w:leader="none" w:pos="240"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principal of (and premium, if any) or interest on the Securities of the series are to be payable, at the election of the Company or a Holder thereof, in a currency or currencies (including composite currencies) other than that in which the Securities are stated to be payable, the currency or currencies (including composite currencies) in which payment of the principal of (and premium, if any) and interest on and any Additional Amounts with respect to Securities of such series as to which such election is made shall be payable, and the periods within which and the terms and conditions upon which such election is to be made;</w:t>
      </w:r>
    </w:p>
    <w:p>
      <w:pPr>
        <w:spacing w:after="0" w:line="292" w:lineRule="exact"/>
        <w:rPr>
          <w:rFonts w:ascii="Times New Roman" w:cs="Times New Roman" w:eastAsia="Times New Roman" w:hAnsi="Times New Roman"/>
          <w:sz w:val="13"/>
          <w:szCs w:val="13"/>
          <w:color w:val="auto"/>
        </w:rPr>
      </w:pPr>
    </w:p>
    <w:p>
      <w:pPr>
        <w:ind w:left="240" w:hanging="239"/>
        <w:spacing w:after="0" w:line="298" w:lineRule="auto"/>
        <w:tabs>
          <w:tab w:leader="none" w:pos="240"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amount of payments of principal of (and premium, if any), any interest on and any Additional Amounts with respect to the Securities of the series may be determined with reference to any commodities, currencies or indices, or values, rates or prices, the manner in which such amounts shall be determined;</w:t>
      </w:r>
    </w:p>
    <w:p>
      <w:pPr>
        <w:spacing w:after="0" w:line="113" w:lineRule="exact"/>
        <w:rPr>
          <w:rFonts w:ascii="Times New Roman" w:cs="Times New Roman" w:eastAsia="Times New Roman" w:hAnsi="Times New Roman"/>
          <w:sz w:val="13"/>
          <w:szCs w:val="13"/>
          <w:color w:val="auto"/>
        </w:rPr>
      </w:pPr>
    </w:p>
    <w:p>
      <w:pPr>
        <w:ind w:left="240" w:hanging="239"/>
        <w:spacing w:after="0" w:line="269" w:lineRule="auto"/>
        <w:tabs>
          <w:tab w:leader="none" w:pos="240"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other than the entire principal amount thereof, the portion of the principal amount of Securities of the series that shall be payable upon declaration of acceleration of the Maturity thereof pursuant to Section 502;</w:t>
      </w:r>
    </w:p>
    <w:p>
      <w:pPr>
        <w:spacing w:after="0" w:line="317" w:lineRule="exact"/>
        <w:rPr>
          <w:rFonts w:ascii="Times New Roman" w:cs="Times New Roman" w:eastAsia="Times New Roman" w:hAnsi="Times New Roman"/>
          <w:sz w:val="13"/>
          <w:szCs w:val="13"/>
          <w:color w:val="auto"/>
        </w:rPr>
      </w:pPr>
    </w:p>
    <w:p>
      <w:pPr>
        <w:ind w:left="240" w:hanging="239"/>
        <w:spacing w:after="0" w:line="298" w:lineRule="auto"/>
        <w:tabs>
          <w:tab w:leader="none" w:pos="240"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additional means of satisfaction and discharge of this Indenture with respect to Securities of the series pursuant to Section 401, any additional conditions to discharge pursuant to Section 401, 402, 403, 404, or 405, and the application, if any, of Section 403 and 404;</w:t>
      </w:r>
    </w:p>
    <w:p>
      <w:pPr>
        <w:spacing w:after="0" w:line="113" w:lineRule="exact"/>
        <w:rPr>
          <w:rFonts w:ascii="Times New Roman" w:cs="Times New Roman" w:eastAsia="Times New Roman" w:hAnsi="Times New Roman"/>
          <w:sz w:val="13"/>
          <w:szCs w:val="13"/>
          <w:color w:val="auto"/>
        </w:rPr>
      </w:pPr>
    </w:p>
    <w:p>
      <w:pPr>
        <w:ind w:left="240" w:hanging="239"/>
        <w:spacing w:after="0" w:line="298" w:lineRule="auto"/>
        <w:tabs>
          <w:tab w:leader="none" w:pos="240"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deletions or modifications of or additions to the Events of Default set forth in Section 501, the right of the Trustee or the requisite Holders of such Securities to declare the principal amount thereof due and payable pursuant to Section 502, or the covenants of the Company set forth in Article X pertaining to the Securities of the series;</w:t>
      </w:r>
    </w:p>
    <w:p>
      <w:pPr>
        <w:spacing w:after="0" w:line="113" w:lineRule="exact"/>
        <w:rPr>
          <w:rFonts w:ascii="Times New Roman" w:cs="Times New Roman" w:eastAsia="Times New Roman" w:hAnsi="Times New Roman"/>
          <w:sz w:val="13"/>
          <w:szCs w:val="13"/>
          <w:color w:val="auto"/>
        </w:rPr>
      </w:pPr>
    </w:p>
    <w:p>
      <w:pPr>
        <w:ind w:left="240" w:hanging="239"/>
        <w:spacing w:after="0" w:line="298" w:lineRule="auto"/>
        <w:tabs>
          <w:tab w:leader="none" w:pos="240"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terms, if any, on which the Securities of any series may be converted into or exchanged for stock or other securities of the Company or other entities, any specific terms relating to the adjustment thereof and the period during which such Securities may be so converted or exchanged;</w:t>
      </w:r>
    </w:p>
    <w:p>
      <w:pPr>
        <w:spacing w:after="0" w:line="113" w:lineRule="exact"/>
        <w:rPr>
          <w:rFonts w:ascii="Times New Roman" w:cs="Times New Roman" w:eastAsia="Times New Roman" w:hAnsi="Times New Roman"/>
          <w:sz w:val="13"/>
          <w:szCs w:val="13"/>
          <w:color w:val="auto"/>
        </w:rPr>
      </w:pPr>
    </w:p>
    <w:p>
      <w:pPr>
        <w:ind w:left="240" w:hanging="239"/>
        <w:spacing w:after="0"/>
        <w:tabs>
          <w:tab w:leader="none" w:pos="240"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the Securities of a series will be issued as part of units consisting of Securities and other securities of the Company or another issuer; and</w:t>
      </w:r>
    </w:p>
    <w:p>
      <w:pPr>
        <w:spacing w:after="0" w:line="173" w:lineRule="exact"/>
        <w:rPr>
          <w:rFonts w:ascii="Times New Roman" w:cs="Times New Roman" w:eastAsia="Times New Roman" w:hAnsi="Times New Roman"/>
          <w:sz w:val="13"/>
          <w:szCs w:val="13"/>
          <w:color w:val="auto"/>
        </w:rPr>
      </w:pPr>
    </w:p>
    <w:p>
      <w:pPr>
        <w:ind w:left="240" w:hanging="239"/>
        <w:spacing w:after="0"/>
        <w:tabs>
          <w:tab w:leader="none" w:pos="240"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terms of the series permitted under the provisions of the Trust Indenture Act.</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4">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3" w:right="319" w:bottom="1440" w:gutter="0" w:footer="0" w:header="0"/>
        </w:sectPr>
      </w:pPr>
    </w:p>
    <w:bookmarkStart w:id="109" w:name="page110"/>
    <w:bookmarkEnd w:id="109"/>
    <w:p>
      <w:pPr>
        <w:jc w:val="both"/>
        <w:spacing w:after="0" w:line="298" w:lineRule="auto"/>
        <w:rPr>
          <w:sz w:val="20"/>
          <w:szCs w:val="20"/>
          <w:color w:val="auto"/>
        </w:rPr>
      </w:pPr>
      <w:r>
        <w:rPr>
          <w:rFonts w:ascii="Times New Roman" w:cs="Times New Roman" w:eastAsia="Times New Roman" w:hAnsi="Times New Roman"/>
          <w:sz w:val="13"/>
          <w:szCs w:val="13"/>
          <w:color w:val="auto"/>
        </w:rPr>
        <w:t>All Securities of any one series shall be substantially identical except, in the case of Registered Securities, as to denomination and except as may otherwise be provided in or pursuant to the Board Resolution referred to above and (subject to Section 303) set forth, or determined in the manner provided, in the Officers’ Certificate referred to above or in any such indenture supplemental hereto.</w:t>
      </w:r>
    </w:p>
    <w:p>
      <w:pPr>
        <w:spacing w:after="0" w:line="114"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color w:val="auto"/>
        </w:rPr>
        <w:t>All Securities of any one series need not be issued at the same time and, unless otherwise provided in such Board Resolution or supplemental indenture, a series may be reopened for issuances of additional Securities of such series pursuant to a Board Resolution or in any indenture supplemental hereto.</w:t>
      </w:r>
    </w:p>
    <w:p>
      <w:pPr>
        <w:spacing w:after="0" w:line="114"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color w:val="auto"/>
        </w:rPr>
        <w:t>At the option of the Company, interest on the Registered Securities of any series that bears interest may be paid by mailing a check or otherwise transmitting payment to the address of any Holder as such address shall appear in the Security Register.</w:t>
      </w:r>
    </w:p>
    <w:p>
      <w:pPr>
        <w:spacing w:after="0" w:line="114"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color w:val="auto"/>
        </w:rPr>
        <w:t>If any of the terms of the series are established by action taken pursuant to a Board Resolution, a copy of an appropriate record of such action together with such Board Resolution shall be certified by the Secretary or an Assistant Secretary of the Company and delivered to the Trustee at or prior to the delivery of the Officers’ Certificate setting forth the terms of the series.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302. DENOMINATIONS.</w:t>
      </w:r>
    </w:p>
    <w:p>
      <w:pPr>
        <w:spacing w:after="0" w:line="17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3"/>
          <w:szCs w:val="13"/>
          <w:color w:val="auto"/>
        </w:rPr>
        <w:t>The Securities of each series shall be issuable in such denominations as shall be specified as contemplated by Section 301. In the absence of any such provisions with respect to the Securities of any series, the Registered Securities of such series denominated in Dollars shall be issuable in denominations of $2,000 and any integral multiple of $1,000 in excess thereof. Unless otherwise provided as contemplated by Section 301 with respect to any series of Securities, any Securities of a series denominated in a currency other than Dollars shall be issuable in denominations that are the equivalent, as determined by the Company by reference to the noon buying rate in the City of New York for cable transfers for such currency, as such rate is reported or otherwise made available by the Federal Reserve Bank of New York, on the applicable issue date for such Securities, of $2,000 and any integral multiple of $1,000 in excess thereof.</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303. EXECUTION, AUTHENTICATION, DELIVERY AND DATING.</w:t>
      </w:r>
    </w:p>
    <w:p>
      <w:pPr>
        <w:spacing w:after="0" w:line="17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3"/>
          <w:szCs w:val="13"/>
          <w:color w:val="auto"/>
        </w:rPr>
        <w:t>The Securities shall be executed on behalf of the Company by its Chairman of the Board, its Chief Executive Officer, its President, its Chief Financial Officer, its Treasurer or one of its Vice Presidents, under its corporate seal reproduced thereon or affixed thereto attested by its Secretary or one of its Assistant Secretaries. The signature of any of these officers on the Securities may be manual or facsimile. Coupons shall bear the facsimile signature of the Chairman of the Board, President, Treasurer or any Vice President of the Company.</w:t>
      </w:r>
    </w:p>
    <w:p>
      <w:pPr>
        <w:spacing w:after="0" w:line="125"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color w:val="auto"/>
        </w:rPr>
        <w:t>Securities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1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3"/>
          <w:szCs w:val="13"/>
          <w:color w:val="auto"/>
        </w:rPr>
        <w:t>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the Trustee in accordance with the Company Order shall authenticate and deliver such Securities as in this Indenture provided and not otherwise.</w:t>
      </w:r>
    </w:p>
    <w:p>
      <w:pPr>
        <w:spacing w:after="0" w:line="12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3"/>
          <w:szCs w:val="13"/>
          <w:color w:val="auto"/>
        </w:rPr>
        <w:t>If the form or terms of the Securities of the series have been established in or pursuant to one or more Board Resolutions or Officer’s Certificate as permitted by Sections 201 and 301, in authenticating such Securities, and accepting the additional responsibilities under this Indenture in relation to such Securities, the Trustee shall be given (in addition to the other documents required by Section 103 hereof), and (subject to Section 601) shall be fully protected in relying upon, an Opinion of Counsel stating,</w:t>
      </w:r>
    </w:p>
    <w:p>
      <w:pPr>
        <w:spacing w:after="0" w:line="125" w:lineRule="exact"/>
        <w:rPr>
          <w:sz w:val="20"/>
          <w:szCs w:val="20"/>
          <w:color w:val="auto"/>
        </w:rPr>
      </w:pPr>
    </w:p>
    <w:p>
      <w:pPr>
        <w:ind w:left="240" w:hanging="239"/>
        <w:spacing w:after="0"/>
        <w:tabs>
          <w:tab w:leader="none" w:pos="24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form of such Securities has been established by or pursuant to Board Resolution as permitted by Section 201, that such form has been established in conformity with the provisions of this Indenture;</w:t>
      </w:r>
    </w:p>
    <w:p>
      <w:pPr>
        <w:spacing w:after="0" w:line="173" w:lineRule="exact"/>
        <w:rPr>
          <w:rFonts w:ascii="Times New Roman" w:cs="Times New Roman" w:eastAsia="Times New Roman" w:hAnsi="Times New Roman"/>
          <w:sz w:val="13"/>
          <w:szCs w:val="13"/>
          <w:color w:val="auto"/>
        </w:rPr>
      </w:pPr>
    </w:p>
    <w:p>
      <w:pPr>
        <w:ind w:left="240" w:hanging="239"/>
        <w:spacing w:after="0" w:line="269" w:lineRule="auto"/>
        <w:tabs>
          <w:tab w:leader="none" w:pos="24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terms of such Securities have been established by or pursuant to Board Resolution as permitted by Section 301, that such terms have been established in conformity with the provisions of this Indenture; and</w:t>
      </w:r>
    </w:p>
    <w:p>
      <w:pPr>
        <w:spacing w:after="0" w:line="317" w:lineRule="exact"/>
        <w:rPr>
          <w:rFonts w:ascii="Times New Roman" w:cs="Times New Roman" w:eastAsia="Times New Roman" w:hAnsi="Times New Roman"/>
          <w:sz w:val="13"/>
          <w:szCs w:val="13"/>
          <w:color w:val="auto"/>
        </w:rPr>
      </w:pPr>
    </w:p>
    <w:p>
      <w:pPr>
        <w:jc w:val="both"/>
        <w:ind w:left="240" w:hanging="239"/>
        <w:spacing w:after="0" w:line="272" w:lineRule="auto"/>
        <w:tabs>
          <w:tab w:leader="none" w:pos="24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that such Securities, when authenticated and delivered by the Trustee and issued by the Company in the manner and subject to any conditions specified in such Opinion of Counsel, will constitute legal, valid and binding obligations of the Company, enforceable in accordance with their terms, except as such enforcement is subject to the effect of bankruptcy, insolvency, fraudulent conveyance, reorganization or other laws relating to or affecting creditors’ rights, and general principles of equity (regardless of whether such enforcement is considered in a proceeding in equity or at law);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such Opinion of Counsel need express no opinion as to whether a court in the United States would render a money judgment in currency other than that of the United States.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5">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3" w:right="319" w:bottom="1440" w:gutter="0" w:footer="0" w:header="0"/>
        </w:sectPr>
      </w:pPr>
    </w:p>
    <w:bookmarkStart w:id="110" w:name="page111"/>
    <w:bookmarkEnd w:id="110"/>
    <w:p>
      <w:pPr>
        <w:jc w:val="both"/>
        <w:spacing w:after="0" w:line="298" w:lineRule="auto"/>
        <w:rPr>
          <w:sz w:val="20"/>
          <w:szCs w:val="20"/>
          <w:color w:val="auto"/>
        </w:rPr>
      </w:pPr>
      <w:r>
        <w:rPr>
          <w:rFonts w:ascii="Times New Roman" w:cs="Times New Roman" w:eastAsia="Times New Roman" w:hAnsi="Times New Roman"/>
          <w:sz w:val="13"/>
          <w:szCs w:val="13"/>
          <w:color w:val="auto"/>
        </w:rPr>
        <w:t>If such form or terms have been so established, the Trustee shall not be required to authenticate such Securities if the issue of such Securities pursuant to this Indenture will affect the Trustee’s own rights, duties or immunities under the Securities and this Indenture or otherwise in a manner not reasonably acceptable to the Trustee.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Each Security shall be dated the date of its authentication.</w:t>
      </w:r>
    </w:p>
    <w:p>
      <w:pPr>
        <w:spacing w:after="0" w:line="17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3"/>
          <w:szCs w:val="13"/>
          <w:color w:val="auto"/>
        </w:rPr>
        <w:t>No Security shall be entitled to any benefit under this Indenture or be valid or obligatory for any purpose unless there appears on such Security a certificate of authentication substantially in the form provided for herein executed by the Trustee by manual signature, and such certificate upon any Security shall be conclusive evidence, and the only evidence, that such Security has been duly authenticated and delivered hereunder. Notwithstanding the foregoing, if any Security shall have been authenticated and delivered hereunder but never issued and sold by the Company, and the Company shall deliver such Security to the Trustee for cancellation as provided in Section 309 together with a written statement (which need not comply with Section 103 and need not be accompanied by an Opinion of Counsel) stating that such Security has never been issued and sold by the Company, for all purposes of this Indenture such Security shall be deemed never to have been authenticated and delivered hereunder and shall never be entitled to the benefits of this Indenture.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304. TEMPORARY SECURITIES.</w:t>
      </w:r>
    </w:p>
    <w:p>
      <w:pPr>
        <w:spacing w:after="0" w:line="17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3"/>
          <w:szCs w:val="13"/>
          <w:color w:val="auto"/>
        </w:rPr>
        <w:t>Pending the preparation of definitive Securities of any series, the Company may execute, and upon Company Order, the Trustee shall authenticate and deliver, temporary Securities that are printed, lithographed, typewritten, mimeographed or otherwise produced, in any authorized denomination, substantially of the tenor of the definitive Securities in lieu of which they are issued, in registered form and with such appropriate insertions, omissions, substitutions and other variations as the officers of the Company executing such Securities may determine, as evidenced by their execution of such Securities.</w:t>
      </w:r>
    </w:p>
    <w:p>
      <w:pPr>
        <w:spacing w:after="0" w:line="1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3"/>
          <w:szCs w:val="13"/>
          <w:color w:val="auto"/>
        </w:rPr>
        <w:t>Except in the case of temporary Securities in global form (which shall be exchanged in accordance with the provisions of the following paragraphs), 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the Company shall execute and the Trustee shall authenticate and deliver in exchange therefor a like principal amount of definitive Securities of the same series of authorized denominations. Until so exchanged, the temporary Securities of any series shall in all respects be entitled to the same benefits under this Indenture as definitive Securities of such series.</w:t>
      </w:r>
    </w:p>
    <w:p>
      <w:pPr>
        <w:spacing w:after="0" w:line="297"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color w:val="auto"/>
        </w:rPr>
        <w:t>All Outstanding temporary Securities of any series shall in all respects be entitled to the same benefits under this Indenture as definitive Securities of the same series and of like tenor authenticated and delivered hereunder.</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305. REGISTRATION, REGISTRATION OF TRANSFER AND EXCHANGE.</w:t>
      </w:r>
    </w:p>
    <w:p>
      <w:pPr>
        <w:spacing w:after="0" w:line="17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3"/>
          <w:szCs w:val="13"/>
          <w:color w:val="auto"/>
        </w:rPr>
        <w:t>The Company shall cause to be kept for each series of Securities at one of the offices or agencies maintained pursuant to Section 1002 a register (the register maintained in such office and in any other office or agency of the Company in a Place of Payment being herein sometimes collectively referred to as the “</w:t>
      </w:r>
      <w:r>
        <w:rPr>
          <w:rFonts w:ascii="Times New Roman" w:cs="Times New Roman" w:eastAsia="Times New Roman" w:hAnsi="Times New Roman"/>
          <w:sz w:val="13"/>
          <w:szCs w:val="13"/>
          <w:i w:val="1"/>
          <w:iCs w:val="1"/>
          <w:color w:val="auto"/>
        </w:rPr>
        <w:t>Security Register</w:t>
      </w:r>
      <w:r>
        <w:rPr>
          <w:rFonts w:ascii="Times New Roman" w:cs="Times New Roman" w:eastAsia="Times New Roman" w:hAnsi="Times New Roman"/>
          <w:sz w:val="13"/>
          <w:szCs w:val="13"/>
          <w:color w:val="auto"/>
        </w:rPr>
        <w:t>”) in which, subject to such reasonable regulations as it may prescribe, the Company shall provide for the registration of Registered Securities and of transfers of Registered Securities of such series. The Trustee is hereby initially appointed “</w:t>
      </w:r>
      <w:r>
        <w:rPr>
          <w:rFonts w:ascii="Times New Roman" w:cs="Times New Roman" w:eastAsia="Times New Roman" w:hAnsi="Times New Roman"/>
          <w:sz w:val="13"/>
          <w:szCs w:val="13"/>
          <w:i w:val="1"/>
          <w:iCs w:val="1"/>
          <w:color w:val="auto"/>
        </w:rPr>
        <w:t>Security Registrar</w:t>
      </w:r>
      <w:r>
        <w:rPr>
          <w:rFonts w:ascii="Times New Roman" w:cs="Times New Roman" w:eastAsia="Times New Roman" w:hAnsi="Times New Roman"/>
          <w:sz w:val="13"/>
          <w:szCs w:val="13"/>
          <w:color w:val="auto"/>
        </w:rPr>
        <w:t>” for the purpose of registering Securities and transfers of Securities as herein provided.</w:t>
      </w:r>
    </w:p>
    <w:p>
      <w:pPr>
        <w:spacing w:after="0" w:line="13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3"/>
          <w:szCs w:val="13"/>
          <w:color w:val="auto"/>
        </w:rPr>
        <w:t>Upon surrender for registration of transfer of any Registered Security of any series at the office or agency in a Place of Payment for that series, the Company shall execute, and the Trustee shall authenticate and deliver, in the name of the designated transferee or transferees, one or more new Registered Securities of the same series and of like tenor, of any authorized denominations and of a like aggregate principal amount.</w:t>
      </w:r>
    </w:p>
    <w:p>
      <w:pPr>
        <w:spacing w:after="0" w:line="28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3"/>
          <w:szCs w:val="13"/>
          <w:color w:val="auto"/>
        </w:rPr>
        <w:t>At the option of the Holder, Registered Securities of any series may be exchanged for other Registered Securities of the same series and of like tenor, of any authorized denominations and of a like aggregate principal amount, upon surrender of the Securities to be exchanged at such office or agency. Whenever any Securities are so surrendered for exchange, the Company shall execute, and the Trustee shall authenticate and deliver, the Securities that the Holder making the exchange is entitled to receive.</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6">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3" w:right="319" w:bottom="1440" w:gutter="0" w:footer="0" w:header="0"/>
        </w:sectPr>
      </w:pPr>
    </w:p>
    <w:bookmarkStart w:id="111" w:name="page112"/>
    <w:bookmarkEnd w:id="111"/>
    <w:p>
      <w:pPr>
        <w:jc w:val="both"/>
        <w:spacing w:after="0" w:line="262" w:lineRule="auto"/>
        <w:rPr>
          <w:sz w:val="20"/>
          <w:szCs w:val="20"/>
          <w:color w:val="auto"/>
        </w:rPr>
      </w:pPr>
      <w:r>
        <w:rPr>
          <w:rFonts w:ascii="Times New Roman" w:cs="Times New Roman" w:eastAsia="Times New Roman" w:hAnsi="Times New Roman"/>
          <w:sz w:val="13"/>
          <w:szCs w:val="13"/>
          <w:color w:val="auto"/>
        </w:rPr>
        <w:t xml:space="preserve">Notwithstanding the foregoing, except as otherwise specified as contemplated by Section 301, any permanent global Security shall be exchangeable only as provided in this paragraph. If the beneficial owners of interests in a permanent global Security are entitled to exchange such interest for Securities of such series and of like tenor and principal amount of another authorized form and denomination, as specified as contemplated by Section 301, then without unnecessary delay but in any event not later than the earliest date on which such interests may be so exchanged, the Company shall deliver to the Trustee definitive Securities of that series in an aggregate principal amount equal to the principal amount of such permanent global Security, executed by the Company. On or after the earliest date on which such interests may be so exchanged, such permanent global Security shall be surrendered from time to time in accordance with instructions given to the Trustee and the Depositary (which instructions shall be in writing but need not comply with Section 103 or be accompanied by an Opinion of Counsel) or such other depositary as shall be specified in the Company Order with respect thereto to the Trustee, as the Company’s agent for such purpose, to be exchanged, in whole or in part, for definitive Securities of the same series without charge and the Trustee shall authenticate and deliver, in exchange for each portion of such permanent global Security, a like aggregate principal amount of other definitive Securities of the same series of authorized denominations and of like tenor as the portion of such permanent global Security to be exchanged;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however</w:t>
      </w:r>
      <w:r>
        <w:rPr>
          <w:rFonts w:ascii="Times New Roman" w:cs="Times New Roman" w:eastAsia="Times New Roman" w:hAnsi="Times New Roman"/>
          <w:sz w:val="13"/>
          <w:szCs w:val="13"/>
          <w:color w:val="auto"/>
        </w:rPr>
        <w:t>, that no such exchanges may occur during a period beginning at the opening of business 15 days before any selection of Securities of that series is to be redeemed and ending on the relevant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Redemption Date. Promptly following any such exchange in part, such permanent global Security marked to evidence the partial exchange shall be returned by the Trustee to the Depositary or such other depositary referred to above in accordance with the instructions of the Company referred to above. If a Registered Security is issued in exchange for any portion of a permanent global Security after the close of business at the office or agency where such exchange occurs on (i) any Regular Record Date and before the opening of business at such office or agency on the relevant Interest Payment Date, or (ii) any Special Record Date and before the opening of business at such office or agency on the related proposed date for payment of Defaulted Interest, interest or Defaulted Interest, as the case may be, will not be payable on such Interest Payment Date or proposed date for payment, as the case may be, in respect of such Registered Security, but will be payable on such Interest Payment Date or proposed date for payment, as the case may be, only to the Person to whom interest in respect of such portion of such permanent global Security is payable in accordance with the provisions of this Indenture.</w:t>
      </w:r>
    </w:p>
    <w:p>
      <w:pPr>
        <w:spacing w:after="0" w:line="139"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114"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color w:val="auto"/>
        </w:rPr>
        <w:t>Every Registered Security presented or surrendered for registration of transfer or for exchange shall (if so required by the Company or the Trustee) be duly endorsed, or be accompanied by a written instrument of transfer in form satisfactory to the Company and the Security Registrar duly executed, by the Holder thereof or his attorney duly authorized in writing.</w:t>
      </w:r>
    </w:p>
    <w:p>
      <w:pPr>
        <w:spacing w:after="0" w:line="114"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color w:val="auto"/>
        </w:rPr>
        <w:t>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 pursuant to Section 304, 905 or 1107 not involving any transfer.</w:t>
      </w:r>
    </w:p>
    <w:p>
      <w:pPr>
        <w:spacing w:after="0" w:line="11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3"/>
          <w:szCs w:val="13"/>
          <w:color w:val="auto"/>
        </w:rPr>
        <w:t>The Company shall not be required (i) to issue, register the transfer of or exchange Securities of any series during a period beginning at the opening of business 15 days before the day of the mailing of a notice of redemption of Securities of such series selected for redemption and ending at the close of business on the day of the mailing of the relevant notice of redemption or (ii) to register the transfer of or exchange any Registered Security so selected for redemption in whole or in part, except the unredeemed portion of any Security being redeemed in part.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306. MUTILATED, DESTROYED, LOST AND STOLEN SECURITIES.</w:t>
      </w:r>
    </w:p>
    <w:p>
      <w:pPr>
        <w:spacing w:after="0" w:line="17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11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3"/>
          <w:szCs w:val="13"/>
          <w:color w:val="auto"/>
        </w:rPr>
        <w:t>If there shall be delivered to the Company and the Trustee (i) evidence to their satisfaction of the destruction, loss or theft of any Security and (ii) such security or indemnity as may be required by them to save each of them and any agent of either of them harmless, then, in the absence of notice to the Company or the Trustee that such Security has been acquired by a bona fide purchaser, the Company shall execute and upon its request the Trustee shall authenticate and deliver, in lieu of any such destroyed, lost or stolen Security, a new Security of the same series and of like tenor and principal amount and bearing a number not contemporaneously Outstanding.</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7">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3" w:right="3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3"/>
          <w:szCs w:val="13"/>
          <w:color w:val="auto"/>
        </w:rPr>
        <w:t>In case any such mutilated, destroyed, lost or stolen Security has become or is about to become due and payable, the Company in its discretion may, instead of issuing a new Security, pay such Security.</w:t>
      </w:r>
    </w:p>
    <w:p>
      <w:pPr>
        <w:spacing w:after="0" w:line="174"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color w:val="auto"/>
        </w:rPr>
        <w:t>Upon the issuance of any new Security under this Section, the Company may require the payment of a sum sufficient to cover any tax or other governmental charge that may be imposed in relation thereto and any other expenses (including the fee and expenses of the Trustee) connected therewith.</w:t>
      </w:r>
    </w:p>
    <w:p>
      <w:pPr>
        <w:spacing w:after="0" w:line="11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3"/>
          <w:szCs w:val="13"/>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provisions of this Section are exclusive and shall preclude (to the extent lawful) all other rights and remedies with respect to the replacement or payment of mutilated, destroyed, lost or stolen Securities.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307. PAYMENT OF INTEREST; INTEREST RIGHTS PRESERVED.</w:t>
      </w:r>
    </w:p>
    <w:p>
      <w:pPr>
        <w:spacing w:after="0" w:line="17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3"/>
          <w:szCs w:val="13"/>
          <w:color w:val="auto"/>
        </w:rPr>
        <w:t>Interest on any Registered Security which is payable, and is punctually paid or duly provided for, on any Interest Payment Date shall be paid to the Person in whose name that Security (or one or more Predecessor Securities) is registered at the close of business on the Regular Record Date for such interest. Unless otherwise provided with respect to the Securities of any series, payment of interest may be made at the option of the Company by check mailed or delivered to the address of any Person entitled thereto as such address shall appear in the Security Register.</w:t>
      </w:r>
    </w:p>
    <w:p>
      <w:pPr>
        <w:spacing w:after="0" w:line="12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3"/>
          <w:szCs w:val="13"/>
          <w:color w:val="auto"/>
        </w:rPr>
        <w:t>Any interest on any Registered Security of any series which is payable, but is not punctually paid or duly provided for, on any Interest Payment Date (herein called “</w:t>
      </w:r>
      <w:r>
        <w:rPr>
          <w:rFonts w:ascii="Times New Roman" w:cs="Times New Roman" w:eastAsia="Times New Roman" w:hAnsi="Times New Roman"/>
          <w:sz w:val="13"/>
          <w:szCs w:val="13"/>
          <w:i w:val="1"/>
          <w:iCs w:val="1"/>
          <w:color w:val="auto"/>
        </w:rPr>
        <w:t>Defaulted Interest</w:t>
      </w:r>
      <w:r>
        <w:rPr>
          <w:rFonts w:ascii="Times New Roman" w:cs="Times New Roman" w:eastAsia="Times New Roman" w:hAnsi="Times New Roman"/>
          <w:sz w:val="13"/>
          <w:szCs w:val="13"/>
          <w:color w:val="auto"/>
        </w:rPr>
        <w:t>”) shall forthwith cease to be payable to the Holder on the relevant Regular Record Date by virtue of having been such Holder, and such Defaulted Interest may be paid by the Company, at its election in each case, as provided in clause (1) or (2) below:</w:t>
      </w:r>
    </w:p>
    <w:p>
      <w:pPr>
        <w:spacing w:after="0" w:line="125" w:lineRule="exact"/>
        <w:rPr>
          <w:sz w:val="20"/>
          <w:szCs w:val="20"/>
          <w:color w:val="auto"/>
        </w:rPr>
      </w:pPr>
    </w:p>
    <w:p>
      <w:pPr>
        <w:jc w:val="both"/>
        <w:ind w:left="240" w:hanging="239"/>
        <w:spacing w:after="0" w:line="263" w:lineRule="auto"/>
        <w:tabs>
          <w:tab w:leader="none" w:pos="24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may elect to make payment of any Defaulted Interest to the Persons in whose names the Registered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Registered Security of such series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each Holder of Registered Securities of such series at his address as it appears in the Security Register, not less than 10 days prior to such Special Record Date. The Trustee may, in its discretion, in the name and at the expense of the Company, cause a similar notice to be published at least once in an Authorized Newspaper, but such publication shall not be a condition precedent to the establishment of such Special Record Date. Notice of the proposed payment of such Defaulted Interest and the Special Record Date therefor having been so mailed, such Defaulted Interest shall be paid to the Persons in whose names the Registered Securities of such series (or their respective Predecessor Securities) are registered at the close of business on such Special Record Date and shall no longer be payable pursuant to the following clause (2).</w:t>
      </w:r>
    </w:p>
    <w:p>
      <w:pPr>
        <w:spacing w:after="0" w:line="135" w:lineRule="exact"/>
        <w:rPr>
          <w:rFonts w:ascii="Times New Roman" w:cs="Times New Roman" w:eastAsia="Times New Roman" w:hAnsi="Times New Roman"/>
          <w:sz w:val="13"/>
          <w:szCs w:val="13"/>
          <w:color w:val="auto"/>
        </w:rPr>
      </w:pPr>
    </w:p>
    <w:p>
      <w:pPr>
        <w:jc w:val="both"/>
        <w:ind w:left="240" w:hanging="239"/>
        <w:spacing w:after="0" w:line="279" w:lineRule="auto"/>
        <w:tabs>
          <w:tab w:leader="none" w:pos="24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may make payment of any Defaulted Interest on the Registered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25"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3"/>
          <w:szCs w:val="13"/>
          <w:color w:val="auto"/>
        </w:rPr>
        <w:t>Subject to the foregoing provisions of this Section, each Security delivered under this Indenture, upon registration of transfer of, in exchange for or in lieu of, any other Security, shall carry the rights to interest accrued and unpaid, and to accrue, which were carried by such other Security.</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8">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3" w:right="3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3"/>
          <w:szCs w:val="13"/>
          <w:b w:val="1"/>
          <w:bCs w:val="1"/>
          <w:color w:val="auto"/>
        </w:rPr>
        <w:t>SECTION 308. PERSONS DEEMED OWNERS.</w:t>
      </w:r>
    </w:p>
    <w:p>
      <w:pPr>
        <w:spacing w:after="0" w:line="17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3"/>
          <w:szCs w:val="13"/>
          <w:color w:val="auto"/>
        </w:rPr>
        <w:t>Prior to due presentment of a Registered Security for registration of transfer, the Company, the Trustee and any agent of the Company or the Trustee may treat the Person in whose name such Registered Security is registered as the owner of such Registered Security for the purpose of receiving payment of principal of (and premium, if any) and (subject to Sections 305 and 307) interest on such Registered Security and for all other purposes whatsoever, whether or not such Security be overdue, and neither the Company, the Trustee nor any agent of the Company or the Trustee shall be affected by notice to the contrary.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309. CANCELLATION.</w:t>
      </w:r>
    </w:p>
    <w:p>
      <w:pPr>
        <w:spacing w:after="0" w:line="17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3"/>
          <w:szCs w:val="13"/>
          <w:color w:val="auto"/>
        </w:rPr>
        <w:t>All Securities surrendered for payment, redemption, registration of transfer or exchange or for credit against any sinking fund payment shall, if surrendered to any Person other than the Trustee, be delivered to the Trustee. All Registered Securities so delivered shall be promptly cancelled by the Trustee. The Company may at any time deliver to the Trustee for cancellation any Securities previously authenticated and delivered hereunder which the Company may have acquired in any manner whatsoever, and all Securities so delivered shall be promptly cancelled by the Trustee. No Securities shall be authenticated in lieu of or in exchange for any Securities cancelled as provided in this Section, except as expressly permitted by this Indenture. All cancelled Securities held by the Trustee shall be disposed of in its customary manner.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310. COMPUTATION OF INTEREST.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Except as otherwise specified as contemplated by Section 301 for Securities of any series, interest on the Securities of each series shall be computed on the basis of a year comprising twelve 30-day months.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311. CUSIP NUMBERS.</w:t>
      </w:r>
    </w:p>
    <w:p>
      <w:pPr>
        <w:spacing w:after="0" w:line="17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3"/>
          <w:szCs w:val="13"/>
          <w:color w:val="auto"/>
        </w:rPr>
        <w:t xml:space="preserve">The Company, in issuing the Securities, may use “CUSIP” numbers (if then generally in use), and, if so, the Trustee shall use “CUSIP” numbers in notices of redemption as a convenience to Holders;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IV</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SATISFACTION AND DISCHARGE; LEGAL DEFEASANCE AND COVENANT DEFEASANCE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401. SATISFACTION AND DISCHARGE OF INDENTURE.</w:t>
      </w:r>
    </w:p>
    <w:p>
      <w:pPr>
        <w:spacing w:after="0" w:line="17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3"/>
          <w:szCs w:val="13"/>
          <w:color w:val="auto"/>
        </w:rPr>
        <w:t>This Indenture shall upon Company Request cease to be of further effect with respect to Securities of any series (except as to any surviving rights of registration of transfer, exchange or replacement of such series of Securities herein expressly provided for), and the Trustee, at the expense of the Company, shall execute proper instruments acknowledging satisfaction and discharge of this Indenture with respect to such Securities, when</w:t>
      </w:r>
    </w:p>
    <w:p>
      <w:pPr>
        <w:spacing w:after="0" w:line="125" w:lineRule="exact"/>
        <w:rPr>
          <w:sz w:val="20"/>
          <w:szCs w:val="20"/>
          <w:color w:val="auto"/>
        </w:rPr>
      </w:pPr>
    </w:p>
    <w:p>
      <w:pPr>
        <w:jc w:val="both"/>
        <w:ind w:left="240" w:hanging="239"/>
        <w:spacing w:after="0" w:line="264" w:lineRule="auto"/>
        <w:tabs>
          <w:tab w:leader="none" w:pos="24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Either: (A) all such Securities of such series theretofore authenticated and delivered (other than (i) such Securities which have been destroyed, lost or stolen and which have been replaced or paid as provided in Section 306 and (ii) such Securities of such series for whose payment money has theretofore been deposited in trust or segregated and held in trust by the Company and thereafter repaid to the Company or discharged from such trust, as provided in Section 1003) have been delivered to the Trustee for cancellation; or (B) all such Securities of such series not theretofore delivered to the Trustee for cancellation (i) have become due and payable, or (ii) will become due and payable at their Stated Maturity within one year, or (iii) are to be called for redemption within one year under arrangements satisfactory to the Trustee for the giving of notice of redemption by the Trustee in the name, and at the expense, of the Company, and the Company, in the case of (B)(i), (ii) or (iii) above, has deposited or caused to be deposited with the Trustee, as funds in trust for such purpose, an amount in the currency or currencies or currency unit or units in which such Securities of such series are payable or U.S. Government Obligations maturing as to principal and interest in such amounts and at such times as will, together with any interest thereon, be sufficient to pay and discharge the entire indebtedness on such Securities of such series not theretofore delivered to the Trustee for cancellation, for principal and any premium and interest to the date of such deposit (in the case of Securities which have become due and payable) or to the Stated Maturity or Redemption Date, as the case may be;</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9">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114" w:name="page115"/>
    <w:bookmarkEnd w:id="114"/>
    <w:p>
      <w:pPr>
        <w:ind w:left="240" w:hanging="239"/>
        <w:spacing w:after="0"/>
        <w:tabs>
          <w:tab w:leader="none" w:pos="24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paid or caused to be paid all other sums payable hereunder by the Company; and</w:t>
      </w:r>
    </w:p>
    <w:p>
      <w:pPr>
        <w:spacing w:after="0" w:line="173" w:lineRule="exact"/>
        <w:rPr>
          <w:rFonts w:ascii="Times New Roman" w:cs="Times New Roman" w:eastAsia="Times New Roman" w:hAnsi="Times New Roman"/>
          <w:sz w:val="13"/>
          <w:szCs w:val="13"/>
          <w:color w:val="auto"/>
        </w:rPr>
      </w:pPr>
    </w:p>
    <w:p>
      <w:pPr>
        <w:ind w:left="240" w:hanging="239"/>
        <w:spacing w:after="0" w:line="298" w:lineRule="auto"/>
        <w:tabs>
          <w:tab w:leader="none" w:pos="24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delivered to the Trustee an Officers’ Certificate and an Opinion of Counsel, each stating that all conditions precedent herein provided for relating to the satisfaction and discharge of this Indenture with respect to such series of Securities have been complied with.</w:t>
      </w:r>
    </w:p>
    <w:p>
      <w:pPr>
        <w:spacing w:after="0" w:line="11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3"/>
          <w:szCs w:val="13"/>
          <w:color w:val="auto"/>
        </w:rPr>
        <w:t>Notwithstanding the satisfaction and discharge of this Indenture with respect to the Outstanding Securities of such series pursuant to this Section 401, the obligations of the Company to the Trustee under Section 607 and to any Authenticating Agent under Section 614 and, if money or U.S. Government Obligations shall have been deposited with the Trustee pursuant to subclause (B) of Clause (1) of this Section, the obligations of the Trustee under Section 406, Article VI and the last paragraph of Section 1003 shall survive such satisfaction and discharge.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402. OPTION TO EFFECT LEGAL DEFEASANCE OR COVENANT DEFEASANCE.</w:t>
      </w:r>
    </w:p>
    <w:p>
      <w:pPr>
        <w:spacing w:after="0" w:line="17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3"/>
          <w:szCs w:val="13"/>
          <w:color w:val="auto"/>
        </w:rPr>
        <w:t>In addition to the Company’s rights under Section 401 (which shall not be affected by this Section 402), the Company may, at the option of its Board of Directors evidenced by a resolution set forth in an Officers’ Certificate, at any time, elect to have either Section 403 or 404 hereof applied to all Outstanding Securities of any series upon compliance with the conditions set forth in Sections 403 through 406 hereof.</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403. LEGAL DEFEASANCE AND DISCHARGE.</w:t>
      </w:r>
    </w:p>
    <w:p>
      <w:pPr>
        <w:spacing w:after="0" w:line="17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Upon the Company’s exercise under Section 402 hereof of the option applicable to this Section 403, the Company and the Guarantors shall, subject to the satisfaction of the conditions set forth in Section 405 hereof, be deemed to have been discharged from their obligations with respect to all Outstanding Securities of a series on the date the conditions set forth below are satisfied (hereinafter, “</w:t>
      </w:r>
      <w:r>
        <w:rPr>
          <w:rFonts w:ascii="Times New Roman" w:cs="Times New Roman" w:eastAsia="Times New Roman" w:hAnsi="Times New Roman"/>
          <w:sz w:val="13"/>
          <w:szCs w:val="13"/>
          <w:i w:val="1"/>
          <w:iCs w:val="1"/>
          <w:color w:val="auto"/>
        </w:rPr>
        <w:t>Legal Defeasance</w:t>
      </w:r>
      <w:r>
        <w:rPr>
          <w:rFonts w:ascii="Times New Roman" w:cs="Times New Roman" w:eastAsia="Times New Roman" w:hAnsi="Times New Roman"/>
          <w:sz w:val="13"/>
          <w:szCs w:val="13"/>
          <w:color w:val="auto"/>
        </w:rPr>
        <w:t>”). For this purpose, Legal Defeasance means that the Company shall be deemed to have paid and discharged the entire Indebtedness represented by the Outstanding Securities of a series, which shall thereafter be deemed to be “outstanding” only for the purposes of Section 406 hereof and the other Sections of this Indenture referred to in (a) and (b) below, and to have satisfied all its other obligations under such Securities and this Indenture (and the Trustee, on demand of and at the expense of the Company, shall execute proper instruments acknowledging the same), except for the following provisions which shall survive until otherwise terminated or discharged hereunder: (a) the rights of Holders of Outstanding Securities of any series to receive payments in respect of the principal of, premium, if any, and interest, if any, on such Securities when such payments are due from the trust referred to in Section 405, (b) the Company’s obligations with respect to such Securities under Sections 304, 305, 306 and 1002 of this Indenture, (c) the rights, powers, trusts, duties and immunities of the Trustee hereunder and the Company’s obligations in connection therewith and (d) this Article IV. Subject to compliance with Sections 402 through 406 hereof, the Company may exercise its option under this Section 403 notwithstanding the prior exercise of its option under Section 404 hereof.</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404. COVENANT DEFEASANCE.</w:t>
      </w:r>
    </w:p>
    <w:p>
      <w:pPr>
        <w:spacing w:after="0" w:line="17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Upon the Company’s exercise under Section 402 hereof of the option applicable to this Section 404, the Company shall, subject to the satisfaction of the conditions set forth in Section 405 hereof, be released from the operation of Section 801 hereof with respect to the Outstanding Securities of a series and any other covenant contained in the Board Resolution or supplemental indenture relating to such series on and after the date the conditions set forth in Section 405 are satisfied (hereinafter, “</w:t>
      </w:r>
      <w:r>
        <w:rPr>
          <w:rFonts w:ascii="Times New Roman" w:cs="Times New Roman" w:eastAsia="Times New Roman" w:hAnsi="Times New Roman"/>
          <w:sz w:val="13"/>
          <w:szCs w:val="13"/>
          <w:i w:val="1"/>
          <w:iCs w:val="1"/>
          <w:color w:val="auto"/>
        </w:rPr>
        <w:t>Covenant Defeasance</w:t>
      </w:r>
      <w:r>
        <w:rPr>
          <w:rFonts w:ascii="Times New Roman" w:cs="Times New Roman" w:eastAsia="Times New Roman" w:hAnsi="Times New Roman"/>
          <w:sz w:val="13"/>
          <w:szCs w:val="13"/>
          <w:color w:val="auto"/>
        </w:rPr>
        <w:t>”), and the Securities of such series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Securities shall not be deemed outstanding for accounting purposes). For this purpose, Covenant Defeasance means that, with respect to the Outstanding Securities of such series, the Company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501 hereof, but, except as specified above, the remainder of this Indenture and such series of Securities shall be unaffected thereby. In addition, upon the Company’s exercise under Section 402 hereof of the option applicable to this Section 404 hereof, subject to the satisfaction of the conditions set forth in Section 405 hereof, Sections 501(3) through 501(6) and Section 501(9) hereof shall not constitute Events of Default.</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0">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3" w:right="3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3"/>
          <w:szCs w:val="13"/>
          <w:b w:val="1"/>
          <w:bCs w:val="1"/>
          <w:color w:val="auto"/>
        </w:rPr>
        <w:t>SECTION 405. CONDITIONS TO LEGAL OR COVENANT DEFEASANCE.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shall be the conditions to the application of either Section 403 or 404 hereof to the Outstanding Securities of any series: In order to exercise either Legal Defeasance or Covenant Defeasance:</w:t>
      </w:r>
    </w:p>
    <w:p>
      <w:pPr>
        <w:spacing w:after="0" w:line="174" w:lineRule="exact"/>
        <w:rPr>
          <w:sz w:val="20"/>
          <w:szCs w:val="20"/>
          <w:color w:val="auto"/>
        </w:rPr>
      </w:pPr>
    </w:p>
    <w:p>
      <w:pPr>
        <w:jc w:val="both"/>
        <w:ind w:left="240" w:hanging="239"/>
        <w:spacing w:after="0" w:line="279" w:lineRule="auto"/>
        <w:tabs>
          <w:tab w:leader="none" w:pos="24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must irrevocably deposit with the Trustee, in trust, for the benefit of the Holders of the Securities, cash in United States dollars, U.S. Government Obligations, or a combination thereof, in such amounts as will be sufficient, to pay the principal of, or interest and premium, if any, on the Outstanding Securities of such series on the Stated Maturity or on the applicable redemption date, as the case may be, and the Company must specify whether the Securities are being defeased to maturity or to a particular redemption date;</w:t>
      </w:r>
    </w:p>
    <w:p>
      <w:pPr>
        <w:spacing w:after="0" w:line="125" w:lineRule="exact"/>
        <w:rPr>
          <w:rFonts w:ascii="Times New Roman" w:cs="Times New Roman" w:eastAsia="Times New Roman" w:hAnsi="Times New Roman"/>
          <w:sz w:val="13"/>
          <w:szCs w:val="13"/>
          <w:color w:val="auto"/>
        </w:rPr>
      </w:pPr>
    </w:p>
    <w:p>
      <w:pPr>
        <w:jc w:val="both"/>
        <w:ind w:left="240" w:hanging="239"/>
        <w:spacing w:after="0" w:line="272" w:lineRule="auto"/>
        <w:tabs>
          <w:tab w:leader="none" w:pos="24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case of Legal Defeasance, the Company shall have delivered to the Trustee an Opinion of Counsel reasonably acceptable to the Trustee confirming that (i) the Company has received from, or there has been published by, the Internal Revenue Service a ruling or (ii) since the date of this Indenture, there has been a change in the applicable federal income tax law, in either case to the effect that, and based thereon such Opinion of Counsel shall confirm that, the Holders of the Outstanding Securities of such series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130" w:lineRule="exact"/>
        <w:rPr>
          <w:rFonts w:ascii="Times New Roman" w:cs="Times New Roman" w:eastAsia="Times New Roman" w:hAnsi="Times New Roman"/>
          <w:sz w:val="13"/>
          <w:szCs w:val="13"/>
          <w:color w:val="auto"/>
        </w:rPr>
      </w:pPr>
    </w:p>
    <w:p>
      <w:pPr>
        <w:jc w:val="both"/>
        <w:ind w:left="240" w:hanging="239"/>
        <w:spacing w:after="0" w:line="279" w:lineRule="auto"/>
        <w:tabs>
          <w:tab w:leader="none" w:pos="24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case of Covenant Defeasance, the Company shall have delivered to the Trustee an Opinion of Counsel reasonably acceptable to the Trustee confirming that the Holders of the Outstanding Securities of such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25" w:lineRule="exact"/>
        <w:rPr>
          <w:rFonts w:ascii="Times New Roman" w:cs="Times New Roman" w:eastAsia="Times New Roman" w:hAnsi="Times New Roman"/>
          <w:sz w:val="13"/>
          <w:szCs w:val="13"/>
          <w:color w:val="auto"/>
        </w:rPr>
      </w:pPr>
    </w:p>
    <w:p>
      <w:pPr>
        <w:ind w:left="240" w:hanging="239"/>
        <w:spacing w:after="0" w:line="298" w:lineRule="auto"/>
        <w:tabs>
          <w:tab w:leader="none" w:pos="24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Default or Event of Default shall have occurred and be continuing either: (i) on the date of such deposit (other than a Default or Event of Default resulting from the borrowing of funds to be applied to such deposit); or (ii) insofar as Events of Default from bankruptcy or insolvency events are concerned, at any time in the period ending on the 91st day after the date of deposit;</w:t>
      </w:r>
    </w:p>
    <w:p>
      <w:pPr>
        <w:spacing w:after="0" w:line="114" w:lineRule="exact"/>
        <w:rPr>
          <w:sz w:val="20"/>
          <w:szCs w:val="20"/>
          <w:color w:val="auto"/>
        </w:rPr>
      </w:pPr>
    </w:p>
    <w:p>
      <w:pPr>
        <w:ind w:left="160" w:hanging="151"/>
        <w:spacing w:after="0" w:line="298" w:lineRule="auto"/>
        <w:rPr>
          <w:sz w:val="20"/>
          <w:szCs w:val="20"/>
          <w:color w:val="auto"/>
        </w:rPr>
      </w:pPr>
      <w:r>
        <w:rPr>
          <w:rFonts w:ascii="Times New Roman" w:cs="Times New Roman" w:eastAsia="Times New Roman" w:hAnsi="Times New Roman"/>
          <w:sz w:val="13"/>
          <w:szCs w:val="13"/>
          <w:color w:val="auto"/>
        </w:rPr>
        <w:t>(e)such Legal Defeasance or Covenant Defeasance will not result in a breach or violation of, or constitute a default under any material agreement or instrument (other than this Indenture) to which the Company is a party or by which the Company is bound;</w:t>
      </w:r>
    </w:p>
    <w:p>
      <w:pPr>
        <w:spacing w:after="0" w:line="114" w:lineRule="exact"/>
        <w:rPr>
          <w:sz w:val="20"/>
          <w:szCs w:val="20"/>
          <w:color w:val="auto"/>
        </w:rPr>
      </w:pPr>
    </w:p>
    <w:p>
      <w:pPr>
        <w:jc w:val="both"/>
        <w:ind w:left="240" w:hanging="239"/>
        <w:spacing w:after="0" w:line="279" w:lineRule="auto"/>
        <w:tabs>
          <w:tab w:leader="none" w:pos="24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must have delivered to the Trustee an Opinion of Counsel to the effect that, assuming no intervening bankruptcy of the Company or any Guarantor between the date of deposit and the 91st day following the deposit and assuming that no Holder is an “insider” of the Company under applicable bankruptcy law, after the 91st day following the deposit, the trust funds will not be subject to the effect of any applicable bankruptcy, insolvency, reorganization or similar laws affecting creditors’ rights generally;</w:t>
      </w:r>
    </w:p>
    <w:p>
      <w:pPr>
        <w:spacing w:after="0" w:line="125" w:lineRule="exact"/>
        <w:rPr>
          <w:sz w:val="20"/>
          <w:szCs w:val="20"/>
          <w:color w:val="auto"/>
        </w:rPr>
      </w:pPr>
    </w:p>
    <w:p>
      <w:pPr>
        <w:ind w:left="160" w:hanging="161"/>
        <w:spacing w:after="0" w:line="298" w:lineRule="auto"/>
        <w:rPr>
          <w:sz w:val="20"/>
          <w:szCs w:val="20"/>
          <w:color w:val="auto"/>
        </w:rPr>
      </w:pPr>
      <w:r>
        <w:rPr>
          <w:rFonts w:ascii="Times New Roman" w:cs="Times New Roman" w:eastAsia="Times New Roman" w:hAnsi="Times New Roman"/>
          <w:sz w:val="13"/>
          <w:szCs w:val="13"/>
          <w:color w:val="auto"/>
        </w:rPr>
        <w:t>(g)the Company must deliver to the Trustee an Officers’ Certificate stating that the deposit was not made by the Company with the intent of preferring the Holders of Securities over the other creditors of the Company with the intent of defeating, hindering, delaying or defrauding creditors of the Company or others; and</w:t>
      </w:r>
    </w:p>
    <w:p>
      <w:pPr>
        <w:spacing w:after="0" w:line="114" w:lineRule="exact"/>
        <w:rPr>
          <w:sz w:val="20"/>
          <w:szCs w:val="20"/>
          <w:color w:val="auto"/>
        </w:rPr>
      </w:pPr>
    </w:p>
    <w:p>
      <w:pPr>
        <w:ind w:left="160" w:hanging="161"/>
        <w:spacing w:after="0" w:line="298" w:lineRule="auto"/>
        <w:rPr>
          <w:sz w:val="20"/>
          <w:szCs w:val="20"/>
          <w:color w:val="auto"/>
        </w:rPr>
      </w:pPr>
      <w:r>
        <w:rPr>
          <w:rFonts w:ascii="Times New Roman" w:cs="Times New Roman" w:eastAsia="Times New Roman" w:hAnsi="Times New Roman"/>
          <w:sz w:val="13"/>
          <w:szCs w:val="13"/>
          <w:color w:val="auto"/>
        </w:rPr>
        <w:t>(h)the Company must deliver to the Trustee an Officers’ Certificate and an Opinion of Counsel, each stating that all conditions precedent relating to the Legal Defeasance or the Covenant Defeasance have been complied with.</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1">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3"/>
          <w:szCs w:val="13"/>
          <w:b w:val="1"/>
          <w:bCs w:val="1"/>
          <w:color w:val="auto"/>
        </w:rPr>
        <w:t>SECTION 406. DEPOSITED MONEY AND U.S. GOVERNMENT OBLIGATIONS TO BE HELD IN TRUST; OTHER MISCELLANEOUS PROVISIONS.</w:t>
      </w:r>
    </w:p>
    <w:p>
      <w:pPr>
        <w:spacing w:after="0" w:line="17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3"/>
          <w:szCs w:val="13"/>
          <w:color w:val="auto"/>
        </w:rPr>
        <w:t>Subject to Section 407 hereof, all money and non-callable U.S. Government Obligations (including the proceeds thereof) deposited with the Trustee (or other qualifying trustee, collectively for purposes of this Section 406, the “</w:t>
      </w:r>
      <w:r>
        <w:rPr>
          <w:rFonts w:ascii="Times New Roman" w:cs="Times New Roman" w:eastAsia="Times New Roman" w:hAnsi="Times New Roman"/>
          <w:sz w:val="13"/>
          <w:szCs w:val="13"/>
          <w:i w:val="1"/>
          <w:iCs w:val="1"/>
          <w:color w:val="auto"/>
        </w:rPr>
        <w:t>Trustee</w:t>
      </w:r>
      <w:r>
        <w:rPr>
          <w:rFonts w:ascii="Times New Roman" w:cs="Times New Roman" w:eastAsia="Times New Roman" w:hAnsi="Times New Roman"/>
          <w:sz w:val="13"/>
          <w:szCs w:val="13"/>
          <w:color w:val="auto"/>
        </w:rPr>
        <w:t>”) pursuant to Section 401 or 404 hereof in respect of the Outstanding Securities of any series shall be held in trust and applied by the Trustee, in accordance with the provisions of such Securities and this Indenture, to the payment, either directly or through any paying agent (including the Company acting as paying agent) as the Trustee may determine, to the Holders of such Securities of all sums due and to become due thereon in respect of principal, premium on , if any, and interest, but such money need not be segregated from other funds except to the extent required by law.</w:t>
      </w:r>
    </w:p>
    <w:p>
      <w:pPr>
        <w:spacing w:after="0" w:line="13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color w:val="auto"/>
        </w:rPr>
        <w:t>The Company shall pay and indemnify the Trustee against any tax, fee or other charge imposed on or assessed against the cash or non-callable U.S. Government Obligations deposited pursuant to Section 401 or 404 hereof or the principal and interest received in respect thereof other than any such tax, fee or other charge which by law is for the account of the Holders of the Outstanding Securities.</w:t>
      </w:r>
    </w:p>
    <w:p>
      <w:pPr>
        <w:spacing w:after="0" w:line="11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3"/>
          <w:szCs w:val="13"/>
          <w:color w:val="auto"/>
        </w:rPr>
        <w:t>Anything in this Article IV to the contrary notwithstanding, the Trustee shall deliver or pay to the Company from time to time upon the written request of the Company any money or non-callable U.S. Government Obligations held by it as provided in Section 401 or 404 hereof which, in the opinion of a nationally recognized firm of independent public accountants expressed in a written certification thereof delivered to the Trustee, are in excess of the amount thereof that would then be required to be deposited to effect an equivalent Legal Defeasance or Covenant Defeasance or satisfaction and discharge of this Indenture.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407. REPAYMENT TO COMPANY.</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 xml:space="preserve">Any money deposited with the Trustee or any paying agent, or then held by the Company, in trust for the payment of the principal of, premium on, if any, or interest on any Securities and remaining unclaimed for two years after such principal, and premium, if any, or interest has become due and payable shall be paid to the Company on its written request or (if then held by the Company) shall be discharged from such trust; and the Holder of such Securities shall thereafter, as an unsecured creditor, look only to the Company for payment thereof, and all liability of the Trustee or such paying agent with respect to such trust money, and all liability of the Company as trustee thereof, shall thereupon cease;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the Trustee or such paying agent, before being required to make any such repayment, may at the expense of the Company cause to be published once, in the New York Times and The Wall Street Journal (national edition), notice that such money remains unclaimed and that, after a date specified therein, which shall not be less than 30 days from the date of such notification or publication, any unclaimed balance of such money then remaining will be repaid to the Company.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408. REINSTATEMENT.</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 xml:space="preserve">If the Trustee or Paying Agent is unable to apply any money or U.S. Government Obligations deposited with respect to Securities of any series in accordance with Section 401, 403 or 404 hereof, as the case may be, by reason of any order or judgment of any court or governmental authority enjoining, restraining or otherwise prohibiting such application, then the Company’s obligations under this Indenture with respect to the Securities of such series and the Securities of such series shall be revived and reinstated as though no deposit had occurred pursuant to Section 401, 403 or 404 hereof until such time as the Trustee or Paying Agent is permitted to apply all such money or U.S. Government Obligations in accordance with Section 401, 403 or 404 hereof, as the case may be;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if the Company makes any payment of principal of, premium on, if any, or interest on any Securities following the reinstatement of its obligations, the Company shall be subrogated to the rights of the Holders of such Securities to receive such payment from the money or U.S. Government Obligations held by the Trustee or Paying Agent.</w:t>
      </w:r>
    </w:p>
    <w:p>
      <w:pPr>
        <w:spacing w:after="0" w:line="13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ARTICLE V</w:t>
      </w:r>
    </w:p>
    <w:p>
      <w:pPr>
        <w:spacing w:after="0" w:line="2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REMEDIES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501. EVENTS OF DEFAULT.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An “</w:t>
      </w:r>
      <w:r>
        <w:rPr>
          <w:rFonts w:ascii="Times New Roman" w:cs="Times New Roman" w:eastAsia="Times New Roman" w:hAnsi="Times New Roman"/>
          <w:sz w:val="13"/>
          <w:szCs w:val="13"/>
          <w:i w:val="1"/>
          <w:iCs w:val="1"/>
          <w:color w:val="auto"/>
        </w:rPr>
        <w:t>Event of Default</w:t>
      </w:r>
      <w:r>
        <w:rPr>
          <w:rFonts w:ascii="Times New Roman" w:cs="Times New Roman" w:eastAsia="Times New Roman" w:hAnsi="Times New Roman"/>
          <w:sz w:val="13"/>
          <w:szCs w:val="13"/>
          <w:color w:val="auto"/>
        </w:rPr>
        <w:t>” on a series occurs if:</w:t>
      </w:r>
    </w:p>
    <w:p>
      <w:pPr>
        <w:spacing w:after="0" w:line="176" w:lineRule="exact"/>
        <w:rPr>
          <w:sz w:val="20"/>
          <w:szCs w:val="20"/>
          <w:color w:val="auto"/>
        </w:rPr>
      </w:pPr>
    </w:p>
    <w:p>
      <w:pPr>
        <w:ind w:left="240" w:hanging="239"/>
        <w:spacing w:after="0"/>
        <w:tabs>
          <w:tab w:leader="none" w:pos="240"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defaults in the payment of interest on any Security of such series when the same becomes due and payable and the Default continues for a period of 30 days;</w:t>
      </w:r>
    </w:p>
    <w:p>
      <w:pPr>
        <w:spacing w:after="0" w:line="173" w:lineRule="exact"/>
        <w:rPr>
          <w:rFonts w:ascii="Times New Roman" w:cs="Times New Roman" w:eastAsia="Times New Roman" w:hAnsi="Times New Roman"/>
          <w:sz w:val="13"/>
          <w:szCs w:val="13"/>
          <w:color w:val="auto"/>
        </w:rPr>
      </w:pPr>
    </w:p>
    <w:p>
      <w:pPr>
        <w:ind w:left="240" w:hanging="239"/>
        <w:spacing w:after="0"/>
        <w:tabs>
          <w:tab w:leader="none" w:pos="240"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defaults in the payment of the principal of any Security of such series when the same becomes due and payable at maturity, upon redemption or otherwise;</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2">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117" w:name="page118"/>
    <w:bookmarkEnd w:id="117"/>
    <w:p>
      <w:pPr>
        <w:jc w:val="both"/>
        <w:ind w:left="240" w:hanging="239"/>
        <w:spacing w:after="0" w:line="279" w:lineRule="auto"/>
        <w:tabs>
          <w:tab w:leader="none" w:pos="24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fails to comply with any of its other agreements in the Securities of such series or this Indenture (as they relate thereto) and the Default continues for the period and after the notice specified below (except in the case of a default with respect to any Change of Control Provisions or Article VIII (or any replacement provisions contemplated by Article VIII), which will constitute Events of Default with notice but without passage of time);</w:t>
      </w:r>
    </w:p>
    <w:p>
      <w:pPr>
        <w:spacing w:after="0" w:line="125" w:lineRule="exact"/>
        <w:rPr>
          <w:rFonts w:ascii="Times New Roman" w:cs="Times New Roman" w:eastAsia="Times New Roman" w:hAnsi="Times New Roman"/>
          <w:sz w:val="13"/>
          <w:szCs w:val="13"/>
          <w:color w:val="auto"/>
        </w:rPr>
      </w:pPr>
    </w:p>
    <w:p>
      <w:pPr>
        <w:ind w:left="240" w:hanging="239"/>
        <w:spacing w:after="0" w:line="298" w:lineRule="auto"/>
        <w:tabs>
          <w:tab w:leader="none" w:pos="24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acceleration of any Indebtedness of the Company in an amount of $50 million or more, individually or in the aggregate, and such acceleration does not cease to exist, or such Indebtedness is not satisfied, in either case within five days after such acceleration;</w:t>
      </w:r>
    </w:p>
    <w:p>
      <w:pPr>
        <w:spacing w:after="0" w:line="113" w:lineRule="exact"/>
        <w:rPr>
          <w:rFonts w:ascii="Times New Roman" w:cs="Times New Roman" w:eastAsia="Times New Roman" w:hAnsi="Times New Roman"/>
          <w:sz w:val="13"/>
          <w:szCs w:val="13"/>
          <w:color w:val="auto"/>
        </w:rPr>
      </w:pPr>
    </w:p>
    <w:p>
      <w:pPr>
        <w:ind w:left="240" w:hanging="239"/>
        <w:spacing w:after="0" w:line="298" w:lineRule="auto"/>
        <w:tabs>
          <w:tab w:leader="none" w:pos="24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failure by the Company to make any principal or interest payment in an amount of $50 million or more, individually or in the aggregate, in respect of Indebtedness of the Company within five days of such principal or interest becoming due and payable (after giving effect to any applicable grace period set forth in the documents governing such Indebtedness);</w:t>
      </w:r>
    </w:p>
    <w:p>
      <w:pPr>
        <w:spacing w:after="0" w:line="113" w:lineRule="exact"/>
        <w:rPr>
          <w:rFonts w:ascii="Times New Roman" w:cs="Times New Roman" w:eastAsia="Times New Roman" w:hAnsi="Times New Roman"/>
          <w:sz w:val="13"/>
          <w:szCs w:val="13"/>
          <w:color w:val="auto"/>
        </w:rPr>
      </w:pPr>
    </w:p>
    <w:p>
      <w:pPr>
        <w:ind w:left="240" w:hanging="239"/>
        <w:spacing w:after="0" w:line="298" w:lineRule="auto"/>
        <w:tabs>
          <w:tab w:leader="none" w:pos="24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final judgment or judgments in an amount of $50 million or more, individually or in the aggregate, for the payment of money having been entered by a court or courts of competent jurisdiction against the Company and such judgment or judgments is not satisfied, stayed, annulled or rescinded within 90 days after being entered;</w:t>
      </w:r>
    </w:p>
    <w:p>
      <w:pPr>
        <w:spacing w:after="0" w:line="113" w:lineRule="exact"/>
        <w:rPr>
          <w:rFonts w:ascii="Times New Roman" w:cs="Times New Roman" w:eastAsia="Times New Roman" w:hAnsi="Times New Roman"/>
          <w:sz w:val="13"/>
          <w:szCs w:val="13"/>
          <w:color w:val="auto"/>
        </w:rPr>
      </w:pPr>
    </w:p>
    <w:p>
      <w:pPr>
        <w:ind w:left="240" w:hanging="239"/>
        <w:spacing w:after="0" w:line="298" w:lineRule="auto"/>
        <w:tabs>
          <w:tab w:leader="none" w:pos="24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pursuant to or within the meaning of any Bankruptcy Law: (a) commences a voluntary case, (b) consents to the entry of an order for relief against it in an involuntary case, (c) consents to the appointment of a Custodian of it or for all or substantially all of its property, or (d) makes a general assignment for the benefit of creditors;</w:t>
      </w:r>
    </w:p>
    <w:p>
      <w:pPr>
        <w:spacing w:after="0" w:line="113" w:lineRule="exact"/>
        <w:rPr>
          <w:rFonts w:ascii="Times New Roman" w:cs="Times New Roman" w:eastAsia="Times New Roman" w:hAnsi="Times New Roman"/>
          <w:sz w:val="13"/>
          <w:szCs w:val="13"/>
          <w:color w:val="auto"/>
        </w:rPr>
      </w:pPr>
    </w:p>
    <w:p>
      <w:pPr>
        <w:ind w:left="240" w:hanging="239"/>
        <w:spacing w:after="0" w:line="298" w:lineRule="auto"/>
        <w:tabs>
          <w:tab w:leader="none" w:pos="24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court of competent jurisdiction enters into an order or decree under any Bankruptcy Law that: (a) is for relief against the Company in an involuntary case, (b) appoints a Custodian of the Company or for all or substantially all of its property, or (c) orders the liquidation of the Company, and the order or decree remains unstayed and in effect for 60 days; or</w:t>
      </w:r>
    </w:p>
    <w:p>
      <w:pPr>
        <w:spacing w:after="0" w:line="113" w:lineRule="exact"/>
        <w:rPr>
          <w:rFonts w:ascii="Times New Roman" w:cs="Times New Roman" w:eastAsia="Times New Roman" w:hAnsi="Times New Roman"/>
          <w:sz w:val="13"/>
          <w:szCs w:val="13"/>
          <w:color w:val="auto"/>
        </w:rPr>
      </w:pPr>
    </w:p>
    <w:p>
      <w:pPr>
        <w:ind w:left="240" w:hanging="239"/>
        <w:spacing w:after="0"/>
        <w:tabs>
          <w:tab w:leader="none" w:pos="24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Event of Default occurs with respect to Securities of that series as provided in the supplemental indenture or Board Resolutions establishing such series of Securities.</w:t>
      </w:r>
    </w:p>
    <w:p>
      <w:pPr>
        <w:spacing w:after="0" w:line="172"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3"/>
          <w:szCs w:val="13"/>
          <w:color w:val="auto"/>
        </w:rPr>
        <w:t>The term “</w:t>
      </w:r>
      <w:r>
        <w:rPr>
          <w:rFonts w:ascii="Times New Roman" w:cs="Times New Roman" w:eastAsia="Times New Roman" w:hAnsi="Times New Roman"/>
          <w:sz w:val="13"/>
          <w:szCs w:val="13"/>
          <w:i w:val="1"/>
          <w:iCs w:val="1"/>
          <w:color w:val="auto"/>
        </w:rPr>
        <w:t>Bankruptcy Law</w:t>
      </w:r>
      <w:r>
        <w:rPr>
          <w:rFonts w:ascii="Times New Roman" w:cs="Times New Roman" w:eastAsia="Times New Roman" w:hAnsi="Times New Roman"/>
          <w:sz w:val="13"/>
          <w:szCs w:val="13"/>
          <w:color w:val="auto"/>
        </w:rPr>
        <w:t>” means the Bankruptcy Act or any similar Federal or State law for the relief of debtors. The term “</w:t>
      </w:r>
      <w:r>
        <w:rPr>
          <w:rFonts w:ascii="Times New Roman" w:cs="Times New Roman" w:eastAsia="Times New Roman" w:hAnsi="Times New Roman"/>
          <w:sz w:val="13"/>
          <w:szCs w:val="13"/>
          <w:i w:val="1"/>
          <w:iCs w:val="1"/>
          <w:color w:val="auto"/>
        </w:rPr>
        <w:t>Custodian</w:t>
      </w:r>
      <w:r>
        <w:rPr>
          <w:rFonts w:ascii="Times New Roman" w:cs="Times New Roman" w:eastAsia="Times New Roman" w:hAnsi="Times New Roman"/>
          <w:sz w:val="13"/>
          <w:szCs w:val="13"/>
          <w:color w:val="auto"/>
        </w:rPr>
        <w:t>” means any receiver, trustee, assignee, liquidator or similar official under any Bankruptcy Law.</w:t>
      </w:r>
    </w:p>
    <w:p>
      <w:pPr>
        <w:spacing w:after="0" w:line="11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3"/>
          <w:szCs w:val="13"/>
          <w:color w:val="auto"/>
        </w:rPr>
        <w:t>A Default under clause (3) above is not an Event of Default until the Trustee notifies the Company, or the Holders of at least 25% in principal amount of the Securities of the applicable series notify the Company and the Trustee of the Default and (except in the case of a default with respect to any provisions of any supplemental indenture or Board Resolution establishing such series of Securities giving the Holders of Securities of such series the right to require the Company to repurchase or redeem such Securities of such series upon the occurrence of a change of control prior to the final maturity date of such Securities of such series (“</w:t>
      </w:r>
      <w:r>
        <w:rPr>
          <w:rFonts w:ascii="Times New Roman" w:cs="Times New Roman" w:eastAsia="Times New Roman" w:hAnsi="Times New Roman"/>
          <w:sz w:val="13"/>
          <w:szCs w:val="13"/>
          <w:i w:val="1"/>
          <w:iCs w:val="1"/>
          <w:color w:val="auto"/>
        </w:rPr>
        <w:t>Change of Control Provisions</w:t>
      </w:r>
      <w:r>
        <w:rPr>
          <w:rFonts w:ascii="Times New Roman" w:cs="Times New Roman" w:eastAsia="Times New Roman" w:hAnsi="Times New Roman"/>
          <w:sz w:val="13"/>
          <w:szCs w:val="13"/>
          <w:color w:val="auto"/>
        </w:rPr>
        <w:t>”) or Article VIII (or any replacement provisions contemplated by Article VIII)) the Company does not cure the Default within 90 days after receipt of the notice. The notice must specify the Default, demand that it be remedied and state that the notice is a “Notice of Default.”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502. ACCELERATION.</w:t>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3"/>
          <w:szCs w:val="13"/>
          <w:color w:val="auto"/>
        </w:rPr>
        <w:t>If any Event of Default (other than an Event of Default specified in clause (7) or (8) of Section 501 hereof) with respect to Securities of any series occurs and is continuing, either the Trustee or the Holders of at least 25% in principal amount of the then Outstanding Securities of that series may declare all the Securities of that series to be due and payable immediately. Upon any such declaration, the Securities of that series shall become due and payable immediately, by a notice in writing to the Company (and to the Trustee if given by Holders). Notwithstanding the foregoing, if an Event of Default specified in clause (7) or</w:t>
      </w:r>
    </w:p>
    <w:p>
      <w:pPr>
        <w:jc w:val="both"/>
        <w:ind w:firstLine="1"/>
        <w:spacing w:after="0" w:line="269" w:lineRule="auto"/>
        <w:tabs>
          <w:tab w:leader="none" w:pos="200"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of Section 501 hereof occurs with respect to any series of Securities, all outstanding Securities of that series shall become due and payable without further action or notice. The Holders of a majority in aggregate principal amount of Securities of any series then Outstanding by notice to the Trustee may on behalf of the Holders of all of the Securities of that series waive any existing Default or Event of Default and its consequences under this Indenture except a continuing Default or Event of Default in the payment of interest or premium, if any, on, or the principal of, the Securities of that series.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3">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3" w:right="31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3"/>
          <w:szCs w:val="13"/>
          <w:b w:val="1"/>
          <w:bCs w:val="1"/>
          <w:color w:val="auto"/>
        </w:rPr>
        <w:t>SECTION 503. OTHER REMEDIES.</w:t>
      </w:r>
    </w:p>
    <w:p>
      <w:pPr>
        <w:spacing w:after="0" w:line="17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color w:val="auto"/>
        </w:rPr>
        <w:t>If an Event of Default with respect to Securities of any series occurs and is continuing, the Trustee may pursue any available remedy to collect the payment of principal, premium, if any, and interest on the Securities of that series or to enforce the performance of any provision of the Securities of that series or this Indenture.</w:t>
      </w:r>
    </w:p>
    <w:p>
      <w:pPr>
        <w:spacing w:after="0" w:line="11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3"/>
          <w:szCs w:val="13"/>
          <w:color w:val="auto"/>
        </w:rPr>
        <w:t>The Trustee may maintain a proceeding even if it does not possess any of the Securities in a series or does not produce any of them in the proceeding. A delay or omission by the Trustee or any Holder of a Security in exercising any right or remedy accruing upon an Event of Default shall not impair the right or remedy or constitute a waiver of or acquiescence in the Event of Default. All remedies are cumulative to the extent permitted by law.</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504. WAIVER OF PAST DEFAULTS.</w:t>
      </w:r>
    </w:p>
    <w:p>
      <w:pPr>
        <w:spacing w:after="0" w:line="17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3"/>
          <w:szCs w:val="13"/>
          <w:color w:val="auto"/>
        </w:rPr>
        <w:t>Holders of not less than a majority in aggregate principal amount of the then outstanding Securities in any series by notice to the Trustee may on behalf of the Holders of all of the Securities of that series waive any existing Default or Event of Default and its consequences hereunder, except a continuing Default or Event of Default in the payment of the principal of, premium, if any, or interest on, the Securities of that series (including in connection with an offer to purchase)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the Holders of a majority in aggregate principal amount of the then outstanding Securities of any series may rescind an acceleration and its consequences, including any related payment default that resulted from such acceleration, with respect to that series).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505. CONTROL BY MAJORITY.</w:t>
      </w:r>
    </w:p>
    <w:p>
      <w:pPr>
        <w:spacing w:after="0" w:line="17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3"/>
          <w:szCs w:val="13"/>
          <w:color w:val="auto"/>
        </w:rPr>
        <w:t>With respect to any series of Securities, Holders of a majority in principal amount of the then outstanding Securities of that series may direct the time, method and place of conducting any proceeding for exercising any remedy available to the Trustee or exercising any trust or power conferred on it. However, the Trustee may refuse to follow any direction that conflicts with law or this Indenture that the Trustee determines may be unduly prejudicial to the rights of other Holders of Securities of any series or that may involve the Trustee in personal liability.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506. LIMITATION ON SUITS.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 Holder of a Security of any series may pursue a remedy with respect to this Indenture or the Securities of that series only if:</w:t>
      </w:r>
    </w:p>
    <w:p>
      <w:pPr>
        <w:spacing w:after="0" w:line="174" w:lineRule="exact"/>
        <w:rPr>
          <w:sz w:val="20"/>
          <w:szCs w:val="20"/>
          <w:color w:val="auto"/>
        </w:rPr>
      </w:pPr>
    </w:p>
    <w:p>
      <w:pPr>
        <w:ind w:left="240" w:hanging="239"/>
        <w:spacing w:after="0"/>
        <w:tabs>
          <w:tab w:leader="none" w:pos="240"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Holder of a Security of that series gives to the Trustee written notice of a continuing Event of Default;</w:t>
      </w:r>
    </w:p>
    <w:p>
      <w:pPr>
        <w:spacing w:after="0" w:line="173" w:lineRule="exact"/>
        <w:rPr>
          <w:rFonts w:ascii="Times New Roman" w:cs="Times New Roman" w:eastAsia="Times New Roman" w:hAnsi="Times New Roman"/>
          <w:sz w:val="13"/>
          <w:szCs w:val="13"/>
          <w:color w:val="auto"/>
        </w:rPr>
      </w:pPr>
    </w:p>
    <w:p>
      <w:pPr>
        <w:ind w:left="240" w:hanging="239"/>
        <w:spacing w:after="0"/>
        <w:tabs>
          <w:tab w:leader="none" w:pos="240"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Holders of at least 25% in principal amount of the then outstanding Securities of that series make a written request to the Trustee to pursue the remedy;</w:t>
      </w:r>
    </w:p>
    <w:p>
      <w:pPr>
        <w:spacing w:after="0" w:line="173" w:lineRule="exact"/>
        <w:rPr>
          <w:rFonts w:ascii="Times New Roman" w:cs="Times New Roman" w:eastAsia="Times New Roman" w:hAnsi="Times New Roman"/>
          <w:sz w:val="13"/>
          <w:szCs w:val="13"/>
          <w:color w:val="auto"/>
        </w:rPr>
      </w:pPr>
    </w:p>
    <w:p>
      <w:pPr>
        <w:ind w:left="240" w:hanging="239"/>
        <w:spacing w:after="0"/>
        <w:tabs>
          <w:tab w:leader="none" w:pos="240"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Holder of a Security or Holders of Securities offer and, if requested, provide to the Trustee indemnity satisfactory to the Trustee against any loss, liability or expense;</w:t>
      </w:r>
    </w:p>
    <w:p>
      <w:pPr>
        <w:spacing w:after="0" w:line="173" w:lineRule="exact"/>
        <w:rPr>
          <w:rFonts w:ascii="Times New Roman" w:cs="Times New Roman" w:eastAsia="Times New Roman" w:hAnsi="Times New Roman"/>
          <w:sz w:val="13"/>
          <w:szCs w:val="13"/>
          <w:color w:val="auto"/>
        </w:rPr>
      </w:pPr>
    </w:p>
    <w:p>
      <w:pPr>
        <w:ind w:left="240" w:hanging="239"/>
        <w:spacing w:after="0"/>
        <w:tabs>
          <w:tab w:leader="none" w:pos="240"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does not comply with the request within 60 days after receipt of the request and the offer and, if requested, the provision of indemnity; and</w:t>
      </w:r>
    </w:p>
    <w:p>
      <w:pPr>
        <w:spacing w:after="0" w:line="173" w:lineRule="exact"/>
        <w:rPr>
          <w:rFonts w:ascii="Times New Roman" w:cs="Times New Roman" w:eastAsia="Times New Roman" w:hAnsi="Times New Roman"/>
          <w:sz w:val="13"/>
          <w:szCs w:val="13"/>
          <w:color w:val="auto"/>
        </w:rPr>
      </w:pPr>
    </w:p>
    <w:p>
      <w:pPr>
        <w:ind w:right="1100" w:firstLine="1"/>
        <w:spacing w:after="0" w:line="515" w:lineRule="auto"/>
        <w:tabs>
          <w:tab w:leader="none" w:pos="243"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such 60-day period the Holders of a majority in principal amount of the then outstanding Securities of that series do not give the Trustee a direction inconsistent with the request. A Holder of a Security may not use this Indenture to prejudice the rights of another Holder of a Security or to obtain a preference or priority over another Holder of a Security.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507. RIGHTS OF HOLDERS OF SECURITIES TO RECEIVE PAYMENT.</w:t>
      </w:r>
    </w:p>
    <w:p>
      <w:pPr>
        <w:spacing w:after="0" w:line="17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3"/>
          <w:szCs w:val="13"/>
          <w:color w:val="auto"/>
        </w:rPr>
        <w:t>Notwithstanding any other provision of this Indenture, the right of any Holder of a Security of any series to receive payment of principal, premium, if any, and interest on the Security, on or after the respective due dates expressed in the Security (including in connection with an offer to purchase), or to bring suit for the enforcement of any such payment on or after such respective dates, shall not be impaired or affected without the consent of such Holder.</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4">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3"/>
          <w:szCs w:val="13"/>
          <w:b w:val="1"/>
          <w:bCs w:val="1"/>
          <w:color w:val="auto"/>
        </w:rPr>
        <w:t>SECTION 508. COLLECTION SUIT BY TRUSTEE.</w:t>
      </w:r>
    </w:p>
    <w:p>
      <w:pPr>
        <w:spacing w:after="0" w:line="17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3"/>
          <w:szCs w:val="13"/>
          <w:color w:val="auto"/>
        </w:rPr>
        <w:t>With respect to the Securities of any series, if an Event of Default specified in clause (1) or (2) of Section 501 hereof occurs and is continuing, the Trustee is authorized to recover judgment in its own name and as trustee of an express trust against the Company for the whole amount of principal of, premium on, if any, and interest remaining unpaid on the Securities of that series and interest on overdue principal and, to the extent lawful, interest and such further amount as shall be sufficient to cover the costs and expenses of collection, including the reasonable compensation, expenses, disbursements and advances of the Trustee, its agents and counsel.</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509. TRUSTEE MAY FILE PROOFS OF CLAIM.</w:t>
      </w:r>
    </w:p>
    <w:p>
      <w:pPr>
        <w:spacing w:after="0" w:line="17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3"/>
          <w:szCs w:val="13"/>
          <w:color w:val="auto"/>
        </w:rPr>
        <w:t>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of the Securities of any series allowed in any judicial proceedings relative to the Company (or any other obligor upon the Securities), its creditors or its property and shall be entitled and empowered to collect, receive and distribute any money or other property payable or deliverable on any such claims and any custodian in any such judicial proceeding is hereby authorized by each Holder of that series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607 of this Indenture. To the extent that the payment of any such compensation, expenses, disbursements and advances of the Trustee, its agents and counsel, and any other amounts due the Trustee under Section 607 of this Indenture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of any series of Securities any plan of reorganization, arrangement, adjustment or composition affecting the Securities of that series or the rights of any Holder, or to authorize the Trustee to vote in respect of the claim of any Holder in any such proceeding.</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510. PRIORITIES.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If the Trustee collects any money pursuant to this Article, it shall pay out the money in the following order:</w:t>
      </w:r>
    </w:p>
    <w:p>
      <w:pPr>
        <w:spacing w:after="0" w:line="174" w:lineRule="exact"/>
        <w:rPr>
          <w:sz w:val="20"/>
          <w:szCs w:val="20"/>
          <w:color w:val="auto"/>
        </w:rPr>
      </w:pPr>
    </w:p>
    <w:p>
      <w:pPr>
        <w:ind w:left="240" w:hanging="239"/>
        <w:spacing w:after="0" w:line="298" w:lineRule="auto"/>
        <w:tabs>
          <w:tab w:leader="none" w:pos="24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First: to the Trustee, its agents and attorneys for amounts due under Section 607 of this Indenture, including payment of all compensation, expense and liabilities incurred, and all advances made, by the Trustee and the costs and expenses of collection;</w:t>
      </w:r>
    </w:p>
    <w:p>
      <w:pPr>
        <w:spacing w:after="0" w:line="113" w:lineRule="exact"/>
        <w:rPr>
          <w:rFonts w:ascii="Times New Roman" w:cs="Times New Roman" w:eastAsia="Times New Roman" w:hAnsi="Times New Roman"/>
          <w:sz w:val="13"/>
          <w:szCs w:val="13"/>
          <w:color w:val="auto"/>
        </w:rPr>
      </w:pPr>
    </w:p>
    <w:p>
      <w:pPr>
        <w:ind w:left="240" w:hanging="239"/>
        <w:spacing w:after="0" w:line="298" w:lineRule="auto"/>
        <w:tabs>
          <w:tab w:leader="none" w:pos="24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Second: to Holders of Securities for amounts due and unpaid on the Securities for principal, premium, if any, and interest, ratably, without preference or priority of any kind, according to the amounts due and payable on the Securities for principal, premium, if any, and interest, respectively; and</w:t>
      </w:r>
    </w:p>
    <w:p>
      <w:pPr>
        <w:spacing w:after="0" w:line="113" w:lineRule="exact"/>
        <w:rPr>
          <w:rFonts w:ascii="Times New Roman" w:cs="Times New Roman" w:eastAsia="Times New Roman" w:hAnsi="Times New Roman"/>
          <w:sz w:val="13"/>
          <w:szCs w:val="13"/>
          <w:color w:val="auto"/>
        </w:rPr>
      </w:pPr>
    </w:p>
    <w:p>
      <w:pPr>
        <w:ind w:left="240" w:hanging="239"/>
        <w:spacing w:after="0"/>
        <w:tabs>
          <w:tab w:leader="none" w:pos="24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Third: to the Company or to such party as a court of competent jurisdiction shall direct.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Trustee may fix a record date and payment date for any payment to Holders of Securities pursuant to this Section 510.</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511. UNDERTAKING FOR COSTS.</w:t>
      </w:r>
    </w:p>
    <w:p>
      <w:pPr>
        <w:spacing w:after="0" w:line="17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3"/>
          <w:szCs w:val="13"/>
          <w:color w:val="auto"/>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does not apply to a suit by the Trustee, a suit by a Holder of a Security pursuant to Section 507 hereof, or a suit by Holders of more than 10% in principal amount of the then outstanding Securities of any series.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5">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3"/>
          <w:szCs w:val="13"/>
          <w:b w:val="1"/>
          <w:bCs w:val="1"/>
          <w:color w:val="auto"/>
        </w:rPr>
        <w:t>ARTICLE VI</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THE TRUSTEE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601. CERTAIN DUTIES AND RESPONSIBILITIES.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  Except during the continuance of an Event of Default with respect to the Securities of any series:</w:t>
      </w:r>
    </w:p>
    <w:p>
      <w:pPr>
        <w:spacing w:after="0" w:line="174" w:lineRule="exact"/>
        <w:rPr>
          <w:sz w:val="20"/>
          <w:szCs w:val="20"/>
          <w:color w:val="auto"/>
        </w:rPr>
      </w:pPr>
    </w:p>
    <w:p>
      <w:pPr>
        <w:ind w:left="240" w:hanging="239"/>
        <w:spacing w:after="0" w:line="269" w:lineRule="auto"/>
        <w:tabs>
          <w:tab w:leader="none" w:pos="240"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undertakes to perform such duties and only such duties as are specifically set forth in this Indenture, and no implied covenants or obligations shall be read into this Indenture against the Trustee; and</w:t>
      </w:r>
    </w:p>
    <w:p>
      <w:pPr>
        <w:spacing w:after="0" w:line="317" w:lineRule="exact"/>
        <w:rPr>
          <w:rFonts w:ascii="Times New Roman" w:cs="Times New Roman" w:eastAsia="Times New Roman" w:hAnsi="Times New Roman"/>
          <w:sz w:val="13"/>
          <w:szCs w:val="13"/>
          <w:color w:val="auto"/>
        </w:rPr>
      </w:pPr>
    </w:p>
    <w:p>
      <w:pPr>
        <w:jc w:val="both"/>
        <w:ind w:left="240" w:hanging="239"/>
        <w:spacing w:after="0" w:line="272" w:lineRule="auto"/>
        <w:tabs>
          <w:tab w:leader="none" w:pos="240"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they conform to the requirements of this Indenture (but need not confirm or investigate the accuracy of mathematical calculation or other facts stated therein).</w:t>
      </w:r>
    </w:p>
    <w:p>
      <w:pPr>
        <w:spacing w:after="0" w:line="131" w:lineRule="exact"/>
        <w:rPr>
          <w:sz w:val="20"/>
          <w:szCs w:val="20"/>
          <w:color w:val="auto"/>
        </w:rPr>
      </w:pPr>
    </w:p>
    <w:p>
      <w:pPr>
        <w:ind w:left="240" w:hanging="239"/>
        <w:spacing w:after="0" w:line="298" w:lineRule="auto"/>
        <w:tabs>
          <w:tab w:leader="none" w:pos="240"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case an Event of Default has occurred and is continuing with respect to the Securities of any series, the Trustee shall exercise such of the rights and powers vested in it by this Indenture, and use the same degree of care and skill in their exercise, as a prudent person would exercise or use under the circumstances in the conduct of his or her own affairs.</w:t>
      </w:r>
    </w:p>
    <w:p>
      <w:pPr>
        <w:spacing w:after="0" w:line="113" w:lineRule="exact"/>
        <w:rPr>
          <w:rFonts w:ascii="Times New Roman" w:cs="Times New Roman" w:eastAsia="Times New Roman" w:hAnsi="Times New Roman"/>
          <w:sz w:val="13"/>
          <w:szCs w:val="13"/>
          <w:color w:val="auto"/>
        </w:rPr>
      </w:pPr>
    </w:p>
    <w:p>
      <w:pPr>
        <w:ind w:left="240" w:hanging="239"/>
        <w:spacing w:after="0"/>
        <w:tabs>
          <w:tab w:leader="none" w:pos="240"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provision of this Indenture shall be construed to relieve the Trustee from liability for its own negligent action, its own negligent failure to act or its own willful misconduct, except that:</w:t>
      </w:r>
    </w:p>
    <w:p>
      <w:pPr>
        <w:spacing w:after="0" w:line="174" w:lineRule="exact"/>
        <w:rPr>
          <w:sz w:val="20"/>
          <w:szCs w:val="20"/>
          <w:color w:val="auto"/>
        </w:rPr>
      </w:pPr>
    </w:p>
    <w:p>
      <w:pPr>
        <w:ind w:left="240" w:hanging="239"/>
        <w:spacing w:after="0"/>
        <w:tabs>
          <w:tab w:leader="none" w:pos="240"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Subsection shall not be construed to limit the effect of Subsection (a) of this Section;</w:t>
      </w:r>
    </w:p>
    <w:p>
      <w:pPr>
        <w:spacing w:after="0" w:line="173" w:lineRule="exact"/>
        <w:rPr>
          <w:rFonts w:ascii="Times New Roman" w:cs="Times New Roman" w:eastAsia="Times New Roman" w:hAnsi="Times New Roman"/>
          <w:sz w:val="13"/>
          <w:szCs w:val="13"/>
          <w:color w:val="auto"/>
        </w:rPr>
      </w:pPr>
    </w:p>
    <w:p>
      <w:pPr>
        <w:ind w:left="240" w:hanging="239"/>
        <w:spacing w:after="0"/>
        <w:tabs>
          <w:tab w:leader="none" w:pos="240"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shall not be liable for any error of judgment made in good faith by a Responsible Officer, unless it shall be proved that the Trustee was negligent in ascertaining the pertinent facts;</w:t>
      </w:r>
    </w:p>
    <w:p>
      <w:pPr>
        <w:spacing w:after="0" w:line="173" w:lineRule="exact"/>
        <w:rPr>
          <w:rFonts w:ascii="Times New Roman" w:cs="Times New Roman" w:eastAsia="Times New Roman" w:hAnsi="Times New Roman"/>
          <w:sz w:val="13"/>
          <w:szCs w:val="13"/>
          <w:color w:val="auto"/>
        </w:rPr>
      </w:pPr>
    </w:p>
    <w:p>
      <w:pPr>
        <w:jc w:val="both"/>
        <w:ind w:left="240" w:hanging="239"/>
        <w:spacing w:after="0" w:line="279" w:lineRule="auto"/>
        <w:tabs>
          <w:tab w:leader="none" w:pos="240"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shall not be liable with respect to any action it takes or omits to take in good faith in accordance with the direction of the Holders of a majority in principal amount of the Outstanding Securities of any series or of all series, determined as provided in Section 505, relating to the time, method and place of conducting any proceeding for any remedy available to the Trustee, or exercising any trust or power conferred upon the Trustee, under this Indenture with respect to the Securities of such series; and</w:t>
      </w:r>
    </w:p>
    <w:p>
      <w:pPr>
        <w:spacing w:after="0" w:line="125" w:lineRule="exact"/>
        <w:rPr>
          <w:rFonts w:ascii="Times New Roman" w:cs="Times New Roman" w:eastAsia="Times New Roman" w:hAnsi="Times New Roman"/>
          <w:sz w:val="13"/>
          <w:szCs w:val="13"/>
          <w:color w:val="auto"/>
        </w:rPr>
      </w:pPr>
    </w:p>
    <w:p>
      <w:pPr>
        <w:ind w:left="240" w:hanging="239"/>
        <w:spacing w:after="0" w:line="298" w:lineRule="auto"/>
        <w:tabs>
          <w:tab w:leader="none" w:pos="240"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indemnity satisfactory to it against such risk or liability is not assured to it.</w:t>
      </w:r>
    </w:p>
    <w:p>
      <w:pPr>
        <w:spacing w:after="0" w:line="114" w:lineRule="exact"/>
        <w:rPr>
          <w:sz w:val="20"/>
          <w:szCs w:val="20"/>
          <w:color w:val="auto"/>
        </w:rPr>
      </w:pPr>
    </w:p>
    <w:p>
      <w:pPr>
        <w:ind w:left="240" w:hanging="239"/>
        <w:spacing w:after="0" w:line="298" w:lineRule="auto"/>
        <w:tabs>
          <w:tab w:leader="none" w:pos="240"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or not therein expressly so provided, every provision of this Indenture relating to the conduct or affecting the liability of or affording protection to the Trustee shall be subject to the provisions of this Section.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602. NOTICE OF DEFAULTS.</w:t>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3"/>
          <w:szCs w:val="13"/>
          <w:color w:val="auto"/>
        </w:rPr>
        <w:t xml:space="preserve">Within 90 days after the occurrence of any Default or Event of Default with respect to the Securities of any series, the Trustee shall give notice of such Default or Event of Default known to the Trustee to all Holders of Securities of such series in the manner provided in Section 107 and in compliance with the Trust Indenture Act, unless such Default or Event of Default shall have been cured or waived;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except in the case of a Default or Event of Default in the payment of the principal of (or premium, if any) or interest on or any Additional Amounts with respect to any Security of such series or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in the payment of any sinking fund installment with respect to Securities of such series, the Trustee shall be protected in withholding such notice if and so long as the board of directors, the executive committee or a trust committee of directors and/or Responsible Officers of the Trustee in good faith determines that the withholding of such notice is in the interest of the Holders of Securities of such series; and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further</w:t>
      </w:r>
      <w:r>
        <w:rPr>
          <w:rFonts w:ascii="Times New Roman" w:cs="Times New Roman" w:eastAsia="Times New Roman" w:hAnsi="Times New Roman"/>
          <w:sz w:val="13"/>
          <w:szCs w:val="13"/>
          <w:color w:val="auto"/>
        </w:rPr>
        <w:t>, that in the case of any Default or Event of Default of the character specified in Section 501(3) with respect to Securities of such series, no such notice to Holders shall be given until at least 30 days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after the occurrence thereof.</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6">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3"/>
          <w:szCs w:val="13"/>
          <w:b w:val="1"/>
          <w:bCs w:val="1"/>
          <w:color w:val="auto"/>
        </w:rPr>
        <w:t>SECTION 603. CERTAIN RIGHTS OF TRUSTEE.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Subject to the provisions of Section 601:</w:t>
      </w:r>
    </w:p>
    <w:p>
      <w:pPr>
        <w:spacing w:after="0" w:line="174" w:lineRule="exact"/>
        <w:rPr>
          <w:sz w:val="20"/>
          <w:szCs w:val="20"/>
          <w:color w:val="auto"/>
        </w:rPr>
      </w:pPr>
    </w:p>
    <w:p>
      <w:pPr>
        <w:ind w:left="240" w:hanging="239"/>
        <w:spacing w:after="0" w:line="298" w:lineRule="auto"/>
        <w:tabs>
          <w:tab w:leader="none" w:pos="240"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may conclusively rely and shall be protected in acting or refraining from acting upon any resolution, certificate, statement, instrument, opinion, report, notice, request, direction, consent, order, bond, debenture, note, coupon, other evidence of indebtedness or other paper or document believed by it to be genuine and to have been signed or presented by the proper party or parties;</w:t>
      </w:r>
    </w:p>
    <w:p>
      <w:pPr>
        <w:spacing w:after="0" w:line="113" w:lineRule="exact"/>
        <w:rPr>
          <w:rFonts w:ascii="Times New Roman" w:cs="Times New Roman" w:eastAsia="Times New Roman" w:hAnsi="Times New Roman"/>
          <w:sz w:val="13"/>
          <w:szCs w:val="13"/>
          <w:color w:val="auto"/>
        </w:rPr>
      </w:pPr>
    </w:p>
    <w:p>
      <w:pPr>
        <w:ind w:left="240" w:hanging="239"/>
        <w:spacing w:after="0" w:line="298" w:lineRule="auto"/>
        <w:tabs>
          <w:tab w:leader="none" w:pos="240"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request or direction of the Company mentioned herein shall be sufficiently evidenced by a Company Request or Company Order and any resolution of the Board of Directors may be sufficiently evidenced by a Board Resolution;</w:t>
      </w:r>
    </w:p>
    <w:p>
      <w:pPr>
        <w:spacing w:after="0" w:line="113" w:lineRule="exact"/>
        <w:rPr>
          <w:rFonts w:ascii="Times New Roman" w:cs="Times New Roman" w:eastAsia="Times New Roman" w:hAnsi="Times New Roman"/>
          <w:sz w:val="13"/>
          <w:szCs w:val="13"/>
          <w:color w:val="auto"/>
        </w:rPr>
      </w:pPr>
    </w:p>
    <w:p>
      <w:pPr>
        <w:ind w:left="240" w:hanging="239"/>
        <w:spacing w:after="0" w:line="298" w:lineRule="auto"/>
        <w:tabs>
          <w:tab w:leader="none" w:pos="240"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w:t>
      </w:r>
    </w:p>
    <w:p>
      <w:pPr>
        <w:spacing w:after="0" w:line="113" w:lineRule="exact"/>
        <w:rPr>
          <w:rFonts w:ascii="Times New Roman" w:cs="Times New Roman" w:eastAsia="Times New Roman" w:hAnsi="Times New Roman"/>
          <w:sz w:val="13"/>
          <w:szCs w:val="13"/>
          <w:color w:val="auto"/>
        </w:rPr>
      </w:pPr>
    </w:p>
    <w:p>
      <w:pPr>
        <w:ind w:left="240" w:hanging="239"/>
        <w:spacing w:after="0" w:line="298" w:lineRule="auto"/>
        <w:tabs>
          <w:tab w:leader="none" w:pos="240"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may consult with counsel of its selection and the advice of such counsel or any Opinion of Counsel shall be full and complete authorization and protection in respect of any action taken, suffered or omitted by it hereunder in good faith and in reliance thereon;</w:t>
      </w:r>
    </w:p>
    <w:p>
      <w:pPr>
        <w:spacing w:after="0" w:line="113" w:lineRule="exact"/>
        <w:rPr>
          <w:rFonts w:ascii="Times New Roman" w:cs="Times New Roman" w:eastAsia="Times New Roman" w:hAnsi="Times New Roman"/>
          <w:sz w:val="13"/>
          <w:szCs w:val="13"/>
          <w:color w:val="auto"/>
        </w:rPr>
      </w:pPr>
    </w:p>
    <w:p>
      <w:pPr>
        <w:ind w:left="240" w:hanging="239"/>
        <w:spacing w:after="0" w:line="298" w:lineRule="auto"/>
        <w:tabs>
          <w:tab w:leader="none" w:pos="240"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shall be under no obligation to exercise any of the rights or powers vested in it by this Indenture at the request or direction of any of the Holders pursuant to this Indenture, unless such Holders shall have offered to the Trustee security or indemnity satisfactory to it against the costs, expenses and liabilities that might be incurred by it in compliance with such request or direction;</w:t>
      </w:r>
    </w:p>
    <w:p>
      <w:pPr>
        <w:spacing w:after="0" w:line="113" w:lineRule="exact"/>
        <w:rPr>
          <w:rFonts w:ascii="Times New Roman" w:cs="Times New Roman" w:eastAsia="Times New Roman" w:hAnsi="Times New Roman"/>
          <w:sz w:val="13"/>
          <w:szCs w:val="13"/>
          <w:color w:val="auto"/>
        </w:rPr>
      </w:pPr>
    </w:p>
    <w:p>
      <w:pPr>
        <w:jc w:val="both"/>
        <w:ind w:left="240" w:hanging="239"/>
        <w:spacing w:after="0" w:line="272" w:lineRule="auto"/>
        <w:tabs>
          <w:tab w:leader="none" w:pos="240"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shall not be bound to make any investigation into the facts or matters stated in any resolution, certificate, statement, instrument, opinion, report, notice, request, direction, consent, order, bond, debenture, note, coupon,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sole cost of the Company and shall incur no liability or additional liability of any kind by reason of such inquiry or investigation;</w:t>
      </w:r>
    </w:p>
    <w:p>
      <w:pPr>
        <w:spacing w:after="0" w:line="130" w:lineRule="exact"/>
        <w:rPr>
          <w:rFonts w:ascii="Times New Roman" w:cs="Times New Roman" w:eastAsia="Times New Roman" w:hAnsi="Times New Roman"/>
          <w:sz w:val="13"/>
          <w:szCs w:val="13"/>
          <w:color w:val="auto"/>
        </w:rPr>
      </w:pPr>
    </w:p>
    <w:p>
      <w:pPr>
        <w:ind w:left="240" w:hanging="239"/>
        <w:spacing w:after="0" w:line="298" w:lineRule="auto"/>
        <w:tabs>
          <w:tab w:leader="none" w:pos="240"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may execute any of the trusts or powers hereunder or perform any duties hereunder either directly or by or through agents or attorneys and, except for any Affiliates of the Trustee, the Trustee shall not be responsible for any misconduct or negligence on the part of any agent or attorney appointed with due care by it hereunder;</w:t>
      </w:r>
    </w:p>
    <w:p>
      <w:pPr>
        <w:spacing w:after="0" w:line="113" w:lineRule="exact"/>
        <w:rPr>
          <w:rFonts w:ascii="Times New Roman" w:cs="Times New Roman" w:eastAsia="Times New Roman" w:hAnsi="Times New Roman"/>
          <w:sz w:val="13"/>
          <w:szCs w:val="13"/>
          <w:color w:val="auto"/>
        </w:rPr>
      </w:pPr>
    </w:p>
    <w:p>
      <w:pPr>
        <w:jc w:val="both"/>
        <w:ind w:left="240" w:hanging="239"/>
        <w:spacing w:after="0" w:line="279" w:lineRule="auto"/>
        <w:tabs>
          <w:tab w:leader="none" w:pos="240"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shall not be charged with knowledge of any Default or Event of Default with respect to the Securities of any series for which it is acting as Trustee unless either (1) a Responsible Officer shall have actual knowledge of such Default or Event of Default or (2) written notice of such Default or Event of Default which is in fact such a default shall have been received by the Trustee at the Corporate Trust Office of the Trustee and such notice references the Securities and this Indenture by the Company or any other obligor on such Securities or by any Holder of such Securities;</w:t>
      </w:r>
    </w:p>
    <w:p>
      <w:pPr>
        <w:spacing w:after="0" w:line="125" w:lineRule="exact"/>
        <w:rPr>
          <w:rFonts w:ascii="Times New Roman" w:cs="Times New Roman" w:eastAsia="Times New Roman" w:hAnsi="Times New Roman"/>
          <w:sz w:val="13"/>
          <w:szCs w:val="13"/>
          <w:color w:val="auto"/>
        </w:rPr>
      </w:pPr>
    </w:p>
    <w:p>
      <w:pPr>
        <w:ind w:left="240" w:hanging="239"/>
        <w:spacing w:after="0"/>
        <w:tabs>
          <w:tab w:leader="none" w:pos="240"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shall not be liable for any action taken, suffered or omitted by it in good faith and believed by it to be authorized or within the discretion or rights or powers conferred upon it by this Indenture.</w:t>
      </w:r>
    </w:p>
    <w:p>
      <w:pPr>
        <w:spacing w:after="0" w:line="173" w:lineRule="exact"/>
        <w:rPr>
          <w:rFonts w:ascii="Times New Roman" w:cs="Times New Roman" w:eastAsia="Times New Roman" w:hAnsi="Times New Roman"/>
          <w:sz w:val="13"/>
          <w:szCs w:val="13"/>
          <w:color w:val="auto"/>
        </w:rPr>
      </w:pPr>
    </w:p>
    <w:p>
      <w:pPr>
        <w:ind w:left="240" w:hanging="239"/>
        <w:spacing w:after="0" w:line="298" w:lineRule="auto"/>
        <w:tabs>
          <w:tab w:leader="none" w:pos="240"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w:t>
      </w:r>
    </w:p>
    <w:p>
      <w:pPr>
        <w:spacing w:after="0" w:line="113" w:lineRule="exact"/>
        <w:rPr>
          <w:rFonts w:ascii="Times New Roman" w:cs="Times New Roman" w:eastAsia="Times New Roman" w:hAnsi="Times New Roman"/>
          <w:sz w:val="13"/>
          <w:szCs w:val="13"/>
          <w:color w:val="auto"/>
        </w:rPr>
      </w:pPr>
    </w:p>
    <w:p>
      <w:pPr>
        <w:ind w:left="240" w:hanging="239"/>
        <w:spacing w:after="0" w:line="298" w:lineRule="auto"/>
        <w:tabs>
          <w:tab w:leader="none" w:pos="240"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 and</w:t>
      </w:r>
    </w:p>
    <w:p>
      <w:pPr>
        <w:spacing w:after="0" w:line="113" w:lineRule="exact"/>
        <w:rPr>
          <w:rFonts w:ascii="Times New Roman" w:cs="Times New Roman" w:eastAsia="Times New Roman" w:hAnsi="Times New Roman"/>
          <w:sz w:val="13"/>
          <w:szCs w:val="13"/>
          <w:color w:val="auto"/>
        </w:rPr>
      </w:pPr>
    </w:p>
    <w:p>
      <w:pPr>
        <w:ind w:left="240" w:hanging="239"/>
        <w:spacing w:after="0"/>
        <w:tabs>
          <w:tab w:leader="none" w:pos="240"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may request that the Company deliver a certificate setting forth the names of individuals and/or titles of officers authorized at such time to take specified actions pursuant to this Indenture.</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7">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3"/>
          <w:szCs w:val="13"/>
          <w:b w:val="1"/>
          <w:bCs w:val="1"/>
          <w:color w:val="auto"/>
        </w:rPr>
        <w:t>SECTION 604. NOT RESPONSIBLE FOR RECITALS OR ISSUANCE OF SECURITIES.</w:t>
      </w:r>
    </w:p>
    <w:p>
      <w:pPr>
        <w:spacing w:after="0" w:line="17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3"/>
          <w:szCs w:val="13"/>
          <w:color w:val="auto"/>
        </w:rPr>
        <w:t>The recitals contained herein and in the Securities, except the Trustee’s certificates of authentication, shall be taken as the statements of the Company, and the Trustee assumes no responsibility for their correctness. The Trustee makes no representations as to the validity or sufficiency of this Indenture or of the Securities. The Trustee shall not be accountable for the use or application by the Company of Securities or the proceeds thereof.</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605. MAY HOLD SECURITIES.</w:t>
      </w:r>
    </w:p>
    <w:p>
      <w:pPr>
        <w:spacing w:after="0" w:line="17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color w:val="auto"/>
        </w:rPr>
        <w:t>The Trustee, any Authenticating Agent, any Paying Agent, any Security Registrar or any other agent of the Company, in its individual or any other capacity, may become the owner or pledgee of Securities and, subject to Sections 608 and 613, may otherwise deal with the Company with the same rights it would have if it were not the Trustee, Authenticating Agent, Paying Agent, Security Registrar or such other agent.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606. MONEY HELD IN TRUST.</w:t>
      </w:r>
    </w:p>
    <w:p>
      <w:pPr>
        <w:spacing w:after="0" w:line="17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color w:val="auto"/>
        </w:rPr>
        <w:t>Money held by the Trustee in trust hereunder need not be segregated from other funds except to the extent required by law. The Trustee shall be under no liability for interest on any money received by it hereunder except as otherwise agreed with the Company.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607. COMPENSATION AND REIMBURSEMENT.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Company agrees:</w:t>
      </w:r>
    </w:p>
    <w:p>
      <w:pPr>
        <w:spacing w:after="0" w:line="174" w:lineRule="exact"/>
        <w:rPr>
          <w:sz w:val="20"/>
          <w:szCs w:val="20"/>
          <w:color w:val="auto"/>
        </w:rPr>
      </w:pPr>
    </w:p>
    <w:p>
      <w:pPr>
        <w:ind w:left="240" w:hanging="239"/>
        <w:spacing w:after="0" w:line="298" w:lineRule="auto"/>
        <w:tabs>
          <w:tab w:leader="none" w:pos="240"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pay to the Trustee from time to time compensation for all services rendered by it hereunder (which compensation shall not be limited by any provision of law in regard to the compensation of a trustee of an express trust);</w:t>
      </w:r>
    </w:p>
    <w:p>
      <w:pPr>
        <w:spacing w:after="0" w:line="113" w:lineRule="exact"/>
        <w:rPr>
          <w:rFonts w:ascii="Times New Roman" w:cs="Times New Roman" w:eastAsia="Times New Roman" w:hAnsi="Times New Roman"/>
          <w:sz w:val="13"/>
          <w:szCs w:val="13"/>
          <w:color w:val="auto"/>
        </w:rPr>
      </w:pPr>
    </w:p>
    <w:p>
      <w:pPr>
        <w:jc w:val="both"/>
        <w:ind w:left="240" w:hanging="239"/>
        <w:spacing w:after="0" w:line="279" w:lineRule="auto"/>
        <w:tabs>
          <w:tab w:leader="none" w:pos="240"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otherwise expressly provided herein, to reimburse the Trustee upon its request for all reasonable expenses, disbursements and advances incurred or made by the Trustee in accordance with any provision of this Indenture (including the compensation and the reasonable expenses and disbursements of its agents and counsel), except any such expense, disbursement or advance as shall be determined to have been caused by its own negligence or willful misconduct; and</w:t>
      </w:r>
    </w:p>
    <w:p>
      <w:pPr>
        <w:spacing w:after="0" w:line="125" w:lineRule="exact"/>
        <w:rPr>
          <w:rFonts w:ascii="Times New Roman" w:cs="Times New Roman" w:eastAsia="Times New Roman" w:hAnsi="Times New Roman"/>
          <w:sz w:val="13"/>
          <w:szCs w:val="13"/>
          <w:color w:val="auto"/>
        </w:rPr>
      </w:pPr>
    </w:p>
    <w:p>
      <w:pPr>
        <w:jc w:val="both"/>
        <w:ind w:left="240" w:hanging="239"/>
        <w:spacing w:after="0" w:line="279" w:lineRule="auto"/>
        <w:tabs>
          <w:tab w:leader="none" w:pos="240"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indemnify the Trustee and each of its directors, officers, employees, agents and/or representatives for, and to hold each of them harmless against, any loss, liability or expense incurred without negligence or willful misconduct on each of their part, arising out of or in connection with the acceptance or administration of the trust or trusts hereunder, including the costs and expenses of defending themselves against any claim or liability in connection with the exercise or performance of any of the Trustee’s powers or duties hereunder.</w:t>
      </w:r>
    </w:p>
    <w:p>
      <w:pPr>
        <w:spacing w:after="0" w:line="125"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3"/>
          <w:szCs w:val="13"/>
          <w:color w:val="auto"/>
        </w:rPr>
        <w:t>As security for the performance of the obligations of the Company under this Section 607, the Trustee shall have a lien prior to the Securities on all property and funds held or collected by the Trustee as such, except funds held in trust for the payment of principal of, premium, if any, or interest, if any, on or any Additional Amounts with respect to particular Securities.</w:t>
      </w:r>
    </w:p>
    <w:p>
      <w:pPr>
        <w:spacing w:after="0" w:line="114"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3"/>
          <w:szCs w:val="13"/>
          <w:color w:val="auto"/>
        </w:rPr>
        <w:t>Any expenses and compensation for any services rendered by the Trustee after the occurrence of an Event of Default (including the reasonable charges and expenses of its counsel) specified in clause (7) or (8) of Section 501 shall constitute expenses and compensation for services of administration under all applicable federal or state bankruptcy, insolvency, reorganization or other similar laws.</w:t>
      </w:r>
    </w:p>
    <w:p>
      <w:pPr>
        <w:spacing w:after="0" w:line="114"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3"/>
          <w:szCs w:val="13"/>
          <w:color w:val="auto"/>
        </w:rPr>
        <w:t>The provisions of this Section 607 and any lien arising hereunder shall survive the resignation or removal of the Trustee or the discharge of the Company’s obligations under this Indenture and the termination of this Indenture.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608. DISQUALIFICATION; CONFLICTING INTERESTS.</w:t>
      </w:r>
    </w:p>
    <w:p>
      <w:pPr>
        <w:spacing w:after="0" w:line="178" w:lineRule="exact"/>
        <w:rPr>
          <w:sz w:val="20"/>
          <w:szCs w:val="20"/>
          <w:color w:val="auto"/>
        </w:rPr>
      </w:pPr>
    </w:p>
    <w:p>
      <w:pPr>
        <w:ind w:left="240" w:hanging="239"/>
        <w:spacing w:after="0" w:line="298" w:lineRule="auto"/>
        <w:tabs>
          <w:tab w:leader="none" w:pos="240"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Trustee has or shall acquire any conflicting interest, as defined in this Section 608, with respect to the Securities of any series, it shall, within 90 days after ascertaining that it has such conflicting interest, either eliminate such conflicting interest or resign with respect to the Securities of that series in the manner and with the effect hereinafter specified in this Article.</w:t>
      </w:r>
    </w:p>
    <w:p>
      <w:pPr>
        <w:spacing w:after="0" w:line="113" w:lineRule="exact"/>
        <w:rPr>
          <w:rFonts w:ascii="Times New Roman" w:cs="Times New Roman" w:eastAsia="Times New Roman" w:hAnsi="Times New Roman"/>
          <w:sz w:val="13"/>
          <w:szCs w:val="13"/>
          <w:color w:val="auto"/>
        </w:rPr>
      </w:pPr>
    </w:p>
    <w:p>
      <w:pPr>
        <w:jc w:val="both"/>
        <w:ind w:left="240" w:hanging="239"/>
        <w:spacing w:after="0" w:line="292" w:lineRule="auto"/>
        <w:tabs>
          <w:tab w:leader="none" w:pos="240"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event that the Trustee shall fail to comply with the provisions of Subsection (a) of this Section 608 with respect to the Securities of any series, the Trustee shall, within 10 days after the expiration of such 90-day period, transmit by mail to all Holders of Securities of that series, as their names and addresses appear in the Security Register, notice of such failure in compliance with the Trust Indenture Act.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8">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123" w:name="page124"/>
    <w:bookmarkEnd w:id="123"/>
    <w:p>
      <w:pPr>
        <w:jc w:val="both"/>
        <w:ind w:left="240" w:hanging="239"/>
        <w:spacing w:after="0" w:line="273" w:lineRule="auto"/>
        <w:tabs>
          <w:tab w:leader="none" w:pos="240" w:val="left"/>
        </w:tabs>
        <w:numPr>
          <w:ilvl w:val="0"/>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purposes of this Section, the term “</w:t>
      </w:r>
      <w:r>
        <w:rPr>
          <w:rFonts w:ascii="Times New Roman" w:cs="Times New Roman" w:eastAsia="Times New Roman" w:hAnsi="Times New Roman"/>
          <w:sz w:val="13"/>
          <w:szCs w:val="13"/>
          <w:i w:val="1"/>
          <w:iCs w:val="1"/>
          <w:color w:val="auto"/>
        </w:rPr>
        <w:t>conflicting interest</w:t>
      </w:r>
      <w:r>
        <w:rPr>
          <w:rFonts w:ascii="Times New Roman" w:cs="Times New Roman" w:eastAsia="Times New Roman" w:hAnsi="Times New Roman"/>
          <w:sz w:val="13"/>
          <w:szCs w:val="13"/>
          <w:color w:val="auto"/>
        </w:rPr>
        <w:t xml:space="preserve">” shall have the meaning specified in Section 310(b) of the Trust Indenture Act and the Trustee shall comply with Section 310(b) of the Trust Indenture Act;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that there shall be excluded from the operation of Section 310(b)(1) of the Trust Indenture Act with respect to the Securities of any series any indenture or indentures under which other securities, or certificates of interest or participation in other securities, of the Company are outstanding, if the requirements for such exclusion set forth in Section 310(b)(1) of the Trust Indenture Act are met. For purposes of the preceding sentence, the optional provision permitted by the second sentence of Section 310(b)(1) of the Trust Indenture Act shall be applicable.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609. CORPORATE TRUSTEE REQUIRED; ELIGIBILITY.</w:t>
      </w:r>
    </w:p>
    <w:p>
      <w:pPr>
        <w:spacing w:after="0" w:line="17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3"/>
          <w:szCs w:val="13"/>
          <w:color w:val="auto"/>
        </w:rPr>
        <w:t>There shall at all times be a Trustee hereunder which shall be a corporation organized and doing business under the laws of the United States of America, any State thereof or the District of Columbia, authorized under such laws to exercise corporate trust powers, having a combined capital and surplus of at least $50 million and subject to supervision or examination by Federal or State (or the District of Columbia) authority. If such corporation publishes reports of condition at least annually, pursuant to law or to the requirements of said supervising or examining authority, then for the purposes of this Section 609, the combined capital and surplus of such corporation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Indenture shall always have a Trustee who satisfies the requirements of Sections 310(a)(1), 310(a)(2) and 310(a)(5) of the Trust Indenture Act.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610. RESIGNATION AND REMOVAL; APPOINTMENT OF SUCCESSOR.</w:t>
      </w:r>
    </w:p>
    <w:p>
      <w:pPr>
        <w:spacing w:after="0" w:line="178" w:lineRule="exact"/>
        <w:rPr>
          <w:sz w:val="20"/>
          <w:szCs w:val="20"/>
          <w:color w:val="auto"/>
        </w:rPr>
      </w:pPr>
    </w:p>
    <w:p>
      <w:pPr>
        <w:ind w:left="240" w:hanging="239"/>
        <w:spacing w:after="0" w:line="298" w:lineRule="auto"/>
        <w:tabs>
          <w:tab w:leader="none" w:pos="240"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resignation or removal of the Trustee and no appointment of a successor Trustee pursuant to this Article shall become effective until the acceptance of appointment by the successor Trustee in accordance with the applicable requirements of Section 611.</w:t>
      </w:r>
    </w:p>
    <w:p>
      <w:pPr>
        <w:spacing w:after="0" w:line="113" w:lineRule="exact"/>
        <w:rPr>
          <w:rFonts w:ascii="Times New Roman" w:cs="Times New Roman" w:eastAsia="Times New Roman" w:hAnsi="Times New Roman"/>
          <w:sz w:val="13"/>
          <w:szCs w:val="13"/>
          <w:color w:val="auto"/>
        </w:rPr>
      </w:pPr>
    </w:p>
    <w:p>
      <w:pPr>
        <w:jc w:val="both"/>
        <w:ind w:left="240" w:hanging="239"/>
        <w:spacing w:after="0" w:line="279" w:lineRule="auto"/>
        <w:tabs>
          <w:tab w:leader="none" w:pos="240"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may resign at any time with respect to the Securities of one or more series by giving written notice thereof to the Company. If the instrument of acceptance by a successor Trustee required by Section 611 shall not have been delivered to the resigning Trustee within 30 days after the giving of such notice of resignation, the resigning Trustee may petition at the expense of the Company any court of competent jurisdiction for the appointment of a successor Trustee with respect to the Securities of such series.</w:t>
      </w:r>
    </w:p>
    <w:p>
      <w:pPr>
        <w:spacing w:after="0" w:line="125" w:lineRule="exact"/>
        <w:rPr>
          <w:rFonts w:ascii="Times New Roman" w:cs="Times New Roman" w:eastAsia="Times New Roman" w:hAnsi="Times New Roman"/>
          <w:sz w:val="13"/>
          <w:szCs w:val="13"/>
          <w:color w:val="auto"/>
        </w:rPr>
      </w:pPr>
    </w:p>
    <w:p>
      <w:pPr>
        <w:jc w:val="both"/>
        <w:ind w:left="240" w:hanging="239"/>
        <w:spacing w:after="0" w:line="276" w:lineRule="auto"/>
        <w:tabs>
          <w:tab w:leader="none" w:pos="240"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may be removed at any time with respect to the Securities of any series by Act of the Holders of a majority in principal amount of the Outstanding Securities of such series, delivered to the Trustee and to the Company. If the instrument of acceptance by a successor Trustee required by Section 611 shall not have been delivered to the resigning Trustee within 30 days after the giving of such notice of resignation, the resigning Trustee may petition at the expense of the Company any court of competent jurisdiction for the appointment of a successor Trustee with respect to the Securities of such series.</w:t>
      </w:r>
    </w:p>
    <w:p>
      <w:pPr>
        <w:spacing w:after="0" w:line="292" w:lineRule="exact"/>
        <w:rPr>
          <w:rFonts w:ascii="Times New Roman" w:cs="Times New Roman" w:eastAsia="Times New Roman" w:hAnsi="Times New Roman"/>
          <w:sz w:val="13"/>
          <w:szCs w:val="13"/>
          <w:color w:val="auto"/>
        </w:rPr>
      </w:pPr>
    </w:p>
    <w:p>
      <w:pPr>
        <w:ind w:left="240" w:hanging="239"/>
        <w:spacing w:after="0"/>
        <w:tabs>
          <w:tab w:leader="none" w:pos="240"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at any time:</w:t>
      </w:r>
    </w:p>
    <w:p>
      <w:pPr>
        <w:spacing w:after="0" w:line="174" w:lineRule="exact"/>
        <w:rPr>
          <w:sz w:val="20"/>
          <w:szCs w:val="20"/>
          <w:color w:val="auto"/>
        </w:rPr>
      </w:pPr>
    </w:p>
    <w:p>
      <w:pPr>
        <w:ind w:left="240" w:hanging="239"/>
        <w:spacing w:after="0"/>
        <w:tabs>
          <w:tab w:leader="none" w:pos="240"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shall fail to comply with Section 608(a) after written request therefor by the Company or by any Holder who has been a bona fide Holder of a Security for at least six months, or</w:t>
      </w:r>
    </w:p>
    <w:p>
      <w:pPr>
        <w:spacing w:after="0" w:line="173" w:lineRule="exact"/>
        <w:rPr>
          <w:rFonts w:ascii="Times New Roman" w:cs="Times New Roman" w:eastAsia="Times New Roman" w:hAnsi="Times New Roman"/>
          <w:sz w:val="13"/>
          <w:szCs w:val="13"/>
          <w:color w:val="auto"/>
        </w:rPr>
      </w:pPr>
    </w:p>
    <w:p>
      <w:pPr>
        <w:ind w:left="240" w:hanging="239"/>
        <w:spacing w:after="0"/>
        <w:tabs>
          <w:tab w:leader="none" w:pos="240"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shall cease to be eligible under Section 609 and shall fail to resign after written request therefor by the Company or by any such Holder of Securities, or</w:t>
      </w:r>
    </w:p>
    <w:p>
      <w:pPr>
        <w:spacing w:after="0" w:line="173" w:lineRule="exact"/>
        <w:rPr>
          <w:rFonts w:ascii="Times New Roman" w:cs="Times New Roman" w:eastAsia="Times New Roman" w:hAnsi="Times New Roman"/>
          <w:sz w:val="13"/>
          <w:szCs w:val="13"/>
          <w:color w:val="auto"/>
        </w:rPr>
      </w:pPr>
    </w:p>
    <w:p>
      <w:pPr>
        <w:jc w:val="both"/>
        <w:ind w:left="240" w:hanging="239"/>
        <w:spacing w:after="0" w:line="272" w:lineRule="auto"/>
        <w:tabs>
          <w:tab w:leader="none" w:pos="240"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 then, in any such case, (i) the Company by a Board Resolution may remove the Trustee with respect to all Securities, or (ii) subject to Section 505, any Holder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9">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1" w:right="319" w:bottom="1440" w:gutter="0" w:footer="0" w:header="0"/>
        </w:sectPr>
      </w:pPr>
    </w:p>
    <w:bookmarkStart w:id="124" w:name="page125"/>
    <w:bookmarkEnd w:id="124"/>
    <w:p>
      <w:pPr>
        <w:jc w:val="both"/>
        <w:ind w:left="240" w:hanging="239"/>
        <w:spacing w:after="0" w:line="267" w:lineRule="auto"/>
        <w:tabs>
          <w:tab w:leader="none" w:pos="240"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Trustee shall resign, be removed or become incapable of acting, or if a vacancy shall occur in the office of Trustee for any cause, with respect to the Securities of one or more series, the Company, by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and such successor Trustee or Trustees shall comply with the applicable requirements of Section 611. If no successor Trustee with respect to the Securities of any series shall have been so appointed by the Company and accepted appointment in the manner required by Section 611, any Holder who has been a bona fide Holder of a Security of such series for at least six months may, on behalf of himself and all others similarly situated, petition any court of competent jurisdiction for the appointment of a successor Trustee with respect to the Securities of such series.</w:t>
      </w:r>
    </w:p>
    <w:p>
      <w:pPr>
        <w:spacing w:after="0" w:line="133" w:lineRule="exact"/>
        <w:rPr>
          <w:rFonts w:ascii="Times New Roman" w:cs="Times New Roman" w:eastAsia="Times New Roman" w:hAnsi="Times New Roman"/>
          <w:sz w:val="13"/>
          <w:szCs w:val="13"/>
          <w:color w:val="auto"/>
        </w:rPr>
      </w:pPr>
    </w:p>
    <w:p>
      <w:pPr>
        <w:jc w:val="both"/>
        <w:ind w:left="240" w:hanging="239"/>
        <w:spacing w:after="0" w:line="279" w:lineRule="auto"/>
        <w:tabs>
          <w:tab w:leader="none" w:pos="240"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give notice of each resignation and each removal of the Trustee with respect to the Securities of any series and each appointment of a successor Trustee with respect to the Securities of any series by mailing written notice of such event by first-class mail, postage prepaid, to all Holders of Securities of such series as their names and addresses appear in the Security Register. Each notice shall include the name of the successor Trustee with respect to the Securities of such series and the address of its Corporate Trust Office.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611. ACCEPTANCE OF APPOINTMENT BY SUCCESSOR.</w:t>
      </w:r>
    </w:p>
    <w:p>
      <w:pPr>
        <w:spacing w:after="0" w:line="178" w:lineRule="exact"/>
        <w:rPr>
          <w:sz w:val="20"/>
          <w:szCs w:val="20"/>
          <w:color w:val="auto"/>
        </w:rPr>
      </w:pPr>
    </w:p>
    <w:p>
      <w:pPr>
        <w:jc w:val="both"/>
        <w:ind w:left="240" w:hanging="239"/>
        <w:spacing w:after="0" w:line="269" w:lineRule="auto"/>
        <w:tabs>
          <w:tab w:leader="none" w:pos="240" w:val="left"/>
        </w:tabs>
        <w:numPr>
          <w:ilvl w:val="0"/>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32" w:lineRule="exact"/>
        <w:rPr>
          <w:rFonts w:ascii="Times New Roman" w:cs="Times New Roman" w:eastAsia="Times New Roman" w:hAnsi="Times New Roman"/>
          <w:sz w:val="13"/>
          <w:szCs w:val="13"/>
          <w:color w:val="auto"/>
        </w:rPr>
      </w:pPr>
    </w:p>
    <w:p>
      <w:pPr>
        <w:jc w:val="both"/>
        <w:ind w:left="240" w:hanging="239"/>
        <w:spacing w:after="0" w:line="263" w:lineRule="auto"/>
        <w:tabs>
          <w:tab w:leader="none" w:pos="240" w:val="left"/>
        </w:tabs>
        <w:numPr>
          <w:ilvl w:val="0"/>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0">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3" w:right="319" w:bottom="1440" w:gutter="0" w:footer="0" w:header="0"/>
        </w:sectPr>
      </w:pPr>
    </w:p>
    <w:bookmarkStart w:id="125" w:name="page126"/>
    <w:bookmarkEnd w:id="125"/>
    <w:p>
      <w:pPr>
        <w:ind w:left="240" w:hanging="239"/>
        <w:spacing w:after="0" w:line="298" w:lineRule="auto"/>
        <w:tabs>
          <w:tab w:leader="none" w:pos="240"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113" w:lineRule="exact"/>
        <w:rPr>
          <w:rFonts w:ascii="Times New Roman" w:cs="Times New Roman" w:eastAsia="Times New Roman" w:hAnsi="Times New Roman"/>
          <w:sz w:val="13"/>
          <w:szCs w:val="13"/>
          <w:color w:val="auto"/>
        </w:rPr>
      </w:pPr>
    </w:p>
    <w:p>
      <w:pPr>
        <w:ind w:left="240" w:hanging="239"/>
        <w:spacing w:after="0"/>
        <w:tabs>
          <w:tab w:leader="none" w:pos="240"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successor Trustee shall accept its appointment unless at the time of such acceptance such successor Trustee shall be qualified and eligible under this Article.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612. MERGER, CONVERSION, CONSOLIDATION OR SUCCESSION TO BUSINESS.</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 xml:space="preserve">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provided such corporation shall be otherwise qualified and eligible under this Article, without the execution or filing of any paper or any further act on the part of any of the parties hereto;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in the case of a corporation succeeding to all or substantially all the corporate trust business of the Trustee, such successor corporation shall expressly assume all of the Trustee’s liabilities hereunder.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613. PREFERENTIAL COLLECTION OF CLAIMS AGAINST COMPANY.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Trustee shall comply with Section 311(a) of the Trust Indenture Act, excluding any creditor relationship described in Section 311(b) of the Trust Indenture Act.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 Trustee who has resigned or been removed shall be subject to Section 311(a) of the Trust Indenture Act to the extent indicated therein.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614. APPOINTMENT OF AUTHENTICATING AGENT.</w:t>
      </w:r>
    </w:p>
    <w:p>
      <w:pPr>
        <w:spacing w:after="0" w:line="17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The Trustee may appoint an Authenticating Agent or Agents that shall be authorized to act on behalf of the Trustee to authenticate Securities issued upon original issue and upon exchange, registration of transfer or partial redemption or pursuant to Section 306,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corporation organized and doing business under the laws of the United States of America, any State thereof or the District of Columbia having a combined capital and surplus of not less than $50 million or equivalent amount expressed in a foreign currency and subject to supervision or examination by Federal or State (or the District of Columbia) authority or authority of such country. If such Authenticating Agent publishes reports of condition at least annually, pursuant to law or to the requirements of said supervising or examining authority, then for the purposes of this Section 614,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614, such Authenticating Agent shall resign immediately in the manner and with the effect specified in this Section 614.</w:t>
      </w:r>
    </w:p>
    <w:p>
      <w:pPr>
        <w:spacing w:after="0" w:line="29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3"/>
          <w:szCs w:val="13"/>
          <w:color w:val="auto"/>
        </w:rPr>
        <w:t xml:space="preserve">Any corporation 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such corporation shall be otherwise eligible under this Section 614, without the execution or filing of any paper or any further act on the part of the Trustee or the Authenticating Agent.</w:t>
      </w:r>
    </w:p>
    <w:p>
      <w:pPr>
        <w:spacing w:after="0" w:line="1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614, the Trustee may appoint a successor Authenticating Agent which shall be acceptable to the Company and shall mail written notice of such appointment by first-class mail, postage prepaid, to all Holders as their names and addresses appear in the Security Register.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 614.</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1">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3" w:right="319" w:bottom="1440" w:gutter="0" w:footer="0" w:header="0"/>
        </w:sectPr>
      </w:pPr>
    </w:p>
    <w:bookmarkStart w:id="126" w:name="page127"/>
    <w:bookmarkEnd w:id="126"/>
    <w:p>
      <w:pPr>
        <w:jc w:val="both"/>
        <w:spacing w:after="0" w:line="298" w:lineRule="auto"/>
        <w:rPr>
          <w:sz w:val="20"/>
          <w:szCs w:val="20"/>
          <w:color w:val="auto"/>
        </w:rPr>
      </w:pPr>
      <w:r>
        <w:rPr>
          <w:rFonts w:ascii="Times New Roman" w:cs="Times New Roman" w:eastAsia="Times New Roman" w:hAnsi="Times New Roman"/>
          <w:sz w:val="13"/>
          <w:szCs w:val="13"/>
          <w:color w:val="auto"/>
        </w:rPr>
        <w:t>The Trustee agrees to pay to each Authenticating Agent from time to time reasonable compensation for its services under this Section 614, and the Trustee shall be entitled to be reimbursed for such payments, subject to the provisions of Section 607.</w:t>
      </w:r>
    </w:p>
    <w:p>
      <w:pPr>
        <w:spacing w:after="0" w:line="114"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color w:val="auto"/>
        </w:rPr>
        <w:t>If an appointment is made pursuant to this Section 614, the Securities may have endorsed thereon, in addition to the Trustee’s certificate of authentication, an alternate certificate of authentication in the following form:</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“This is one of the Securities of the series designated therein referred to in the within mentioned Indenture.</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-92710</wp:posOffset>
            </wp:positionV>
            <wp:extent cx="3586480" cy="63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2">
                      <a:extLst>
                        <a:ext uri="{28A0092B-C50C-407E-A947-70E740481C1C}"/>
                      </a:extLst>
                    </a:blip>
                    <a:srcRect/>
                    <a:stretch>
                      <a:fillRect/>
                    </a:stretch>
                  </pic:blipFill>
                  <pic:spPr bwMode="auto">
                    <a:xfrm>
                      <a:off x="0" y="0"/>
                      <a:ext cx="3586480" cy="635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-92710</wp:posOffset>
            </wp:positionV>
            <wp:extent cx="3586480" cy="63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3">
                      <a:extLst>
                        <a:ext uri="{28A0092B-C50C-407E-A947-70E740481C1C}"/>
                      </a:extLst>
                    </a:blip>
                    <a:srcRect/>
                    <a:stretch>
                      <a:fillRect/>
                    </a:stretch>
                  </pic:blipFill>
                  <pic:spPr bwMode="auto">
                    <a:xfrm>
                      <a:off x="0" y="0"/>
                      <a:ext cx="3586480" cy="635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 AUTHENTICATING AGENT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-92710</wp:posOffset>
            </wp:positionV>
            <wp:extent cx="3586480" cy="63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4">
                      <a:extLst>
                        <a:ext uri="{28A0092B-C50C-407E-A947-70E740481C1C}"/>
                      </a:extLst>
                    </a:blip>
                    <a:srcRect/>
                    <a:stretch>
                      <a:fillRect/>
                    </a:stretch>
                  </pic:blipFill>
                  <pic:spPr bwMode="auto">
                    <a:xfrm>
                      <a:off x="0" y="0"/>
                      <a:ext cx="3586480" cy="635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 AUTHORIZED SIGNATORY”</w:t>
      </w:r>
    </w:p>
    <w:p>
      <w:pPr>
        <w:spacing w:after="0" w:line="16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3"/>
          <w:szCs w:val="13"/>
          <w:color w:val="auto"/>
        </w:rPr>
        <w:t>Notwithstanding any provision of this Section 614 to the contrary, if at any time any Authenticating Agent appointed hereunder with respect to any series of Securities shall not also be acting as the Security Registrar hereunder with respect to any series of Securities, then, in addition to all other duties of an Authenticating Agent hereunder, such Authenticating Agent shall also be obligated (i) to furnish to the Security Registrar promptly all information necessary to enable the Security Registrar to maintain at all times an accurate and current Security Register and (ii) prior to authenticating any Security denominated in a foreign currency, to ascertain from the Company the units of such foreign currency that are required to be determined by the Company pursuant to Section 302.</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VII</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HOLDER’S LISTS AND REPORTS BY TRUSTEE AND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701. COMPANY TO FURNISH TRUSTEE NAMES AND ADDRESSES OF HOLDERS.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With respect to each series of Securities, the Company will furnish or cause to be furnished to the Trustee:</w:t>
      </w:r>
    </w:p>
    <w:p>
      <w:pPr>
        <w:spacing w:after="0" w:line="174" w:lineRule="exact"/>
        <w:rPr>
          <w:sz w:val="20"/>
          <w:szCs w:val="20"/>
          <w:color w:val="auto"/>
        </w:rPr>
      </w:pPr>
    </w:p>
    <w:p>
      <w:pPr>
        <w:ind w:left="200" w:hanging="151"/>
        <w:spacing w:after="0" w:line="298" w:lineRule="auto"/>
        <w:rPr>
          <w:sz w:val="20"/>
          <w:szCs w:val="20"/>
          <w:color w:val="auto"/>
        </w:rPr>
      </w:pPr>
      <w:r>
        <w:rPr>
          <w:rFonts w:ascii="Times New Roman" w:cs="Times New Roman" w:eastAsia="Times New Roman" w:hAnsi="Times New Roman"/>
          <w:sz w:val="13"/>
          <w:szCs w:val="13"/>
          <w:color w:val="auto"/>
        </w:rPr>
        <w:t>(a)semi-annually, not more than 15 days after each Regular Record Date relating to that series (or, if there is no Regular Record Date relating to that series, on January 1 and July 1), a list, in such form as the Trustee may reasonably require, of the names and addresses of the Holders of that series as of such dates, and</w:t>
      </w:r>
    </w:p>
    <w:p>
      <w:pPr>
        <w:spacing w:after="0" w:line="114" w:lineRule="exact"/>
        <w:rPr>
          <w:sz w:val="20"/>
          <w:szCs w:val="20"/>
          <w:color w:val="auto"/>
        </w:rPr>
      </w:pPr>
    </w:p>
    <w:p>
      <w:pPr>
        <w:ind w:left="200" w:hanging="161"/>
        <w:spacing w:after="0" w:line="298" w:lineRule="auto"/>
        <w:rPr>
          <w:sz w:val="20"/>
          <w:szCs w:val="20"/>
          <w:color w:val="auto"/>
        </w:rPr>
      </w:pPr>
      <w:r>
        <w:rPr>
          <w:rFonts w:ascii="Times New Roman" w:cs="Times New Roman" w:eastAsia="Times New Roman" w:hAnsi="Times New Roman"/>
          <w:sz w:val="13"/>
          <w:szCs w:val="13"/>
          <w:color w:val="auto"/>
        </w:rPr>
        <w:t>(b)at such other times as the Trustee may request in writing, within 30 days after the receipt by the Company of any such request, a list of similar form and content, such list to be dated as of a date not more than 15 days prior to the time such list is furnished;</w:t>
      </w:r>
    </w:p>
    <w:p>
      <w:pPr>
        <w:spacing w:after="0" w:line="112"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that so long as the Trustee is the Security Registrar, the Company shall not be required to furnish or cause to be furnished such a list to the Trustee. The Company shall otherwise comply with</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Section 312(a) of the Trust Indenture Act.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702. PRESERVATION OF INFORMATION; COMMUNICATIONS TO HOLDERS.</w:t>
      </w:r>
    </w:p>
    <w:p>
      <w:pPr>
        <w:spacing w:after="0" w:line="178" w:lineRule="exact"/>
        <w:rPr>
          <w:sz w:val="20"/>
          <w:szCs w:val="20"/>
          <w:color w:val="auto"/>
        </w:rPr>
      </w:pPr>
    </w:p>
    <w:p>
      <w:pPr>
        <w:jc w:val="both"/>
        <w:ind w:left="240" w:hanging="239"/>
        <w:spacing w:after="0" w:line="279" w:lineRule="auto"/>
        <w:tabs>
          <w:tab w:leader="none" w:pos="240"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shall preserve, in as current a form as is reasonably practicable, the names and addresses of Holders of each series contained in the most recent list furnished to the Trustee as provided in Section 701 and the names and addresses of Holders of each series received by the Trustee in its capacity as Security Registrar. The Trustee may destroy any list furnished to it as provided in Section 701 upon receipt of a new list so furnished. The Trustee shall otherwise comply with Section 312(a) of the Trust Indenture Act.</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5">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3" w:right="319" w:bottom="1440" w:gutter="0" w:footer="0" w:header="0"/>
        </w:sectPr>
      </w:pPr>
    </w:p>
    <w:bookmarkStart w:id="127" w:name="page128"/>
    <w:bookmarkEnd w:id="127"/>
    <w:p>
      <w:pPr>
        <w:ind w:left="240" w:hanging="239"/>
        <w:spacing w:after="0" w:line="298" w:lineRule="auto"/>
        <w:tabs>
          <w:tab w:leader="none" w:pos="240"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Holders of Securities may communicate pursuant to Section 312(b) of the Trust Indenture Act with other Holders with respect to their rights under this Indenture or under the Securities. The Company, the Trustee, the Security Registrar and any other Person shall have the protection of Section 312(c) of the Trust Indenture Act.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703. REPORTS BY TRUSTEE.</w:t>
      </w:r>
    </w:p>
    <w:p>
      <w:pPr>
        <w:spacing w:after="0" w:line="178" w:lineRule="exact"/>
        <w:rPr>
          <w:sz w:val="20"/>
          <w:szCs w:val="20"/>
          <w:color w:val="auto"/>
        </w:rPr>
      </w:pPr>
    </w:p>
    <w:p>
      <w:pPr>
        <w:jc w:val="both"/>
        <w:ind w:left="240" w:hanging="239"/>
        <w:spacing w:after="0" w:line="292" w:lineRule="auto"/>
        <w:tabs>
          <w:tab w:leader="none" w:pos="240"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Within 60 days after May 15 of each year commencing with the year 2018, the Trustee shall transmit by mail to Holders a brief report dated as of such May 15 that complies with Section 313(a) of the Trust Indenture Act. The Trustee shall comply with Section 313(b) of the Trust Indenture Act. The Trustee shall transmit by mail all reports as required by Sections 313(c) and 313(d) of the Trust Indenture Act.</w:t>
      </w:r>
    </w:p>
    <w:p>
      <w:pPr>
        <w:spacing w:after="0" w:line="282" w:lineRule="exact"/>
        <w:rPr>
          <w:rFonts w:ascii="Times New Roman" w:cs="Times New Roman" w:eastAsia="Times New Roman" w:hAnsi="Times New Roman"/>
          <w:sz w:val="13"/>
          <w:szCs w:val="13"/>
          <w:color w:val="auto"/>
        </w:rPr>
      </w:pPr>
    </w:p>
    <w:p>
      <w:pPr>
        <w:ind w:left="240" w:hanging="239"/>
        <w:spacing w:after="0" w:line="298" w:lineRule="auto"/>
        <w:tabs>
          <w:tab w:leader="none" w:pos="240"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copy of each report pursuant to Subsection (a) of this Section 703 shall, at the time of its transmission to Holders, be filed by the Trustee with each stock exchange upon which any Securities are listed, with the SEC and with the Company. The Company will notify the Trustee when any Securities are listed or delisted on any stock exchange.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704. REPORTS BY COMPANY.</w:t>
      </w:r>
    </w:p>
    <w:p>
      <w:pPr>
        <w:spacing w:after="0" w:line="17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3"/>
          <w:szCs w:val="13"/>
          <w:color w:val="auto"/>
        </w:rPr>
        <w:t>The Company shall file with the Trustee, within 15 days after the Company is required to file the same with the SEC, copies of the annual reports and of the information, documents and other reports (or copies of such portions of any of the foregoing as the SEC may from time to time by rules and regulations prescribe) which the Company may be required to file with the SEC pursuant to Section 13 or Section 15(d) of the Securities Exchange Act of 1934, as amended, and shall otherwise comply with Section 314(a) of the Trust Indenture Act.</w:t>
      </w:r>
    </w:p>
    <w:p>
      <w:pPr>
        <w:spacing w:after="0" w:line="12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3"/>
          <w:szCs w:val="13"/>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VIII</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CONSOLIDATION, MERGER, CONVEYANCE, TRANSFER OR LEASE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801. COMPANY MAY CONSOLIDATE, ETC., ONLY ON CERTAIN TERMS.</w:t>
      </w:r>
    </w:p>
    <w:p>
      <w:pPr>
        <w:spacing w:after="0" w:line="178" w:lineRule="exact"/>
        <w:rPr>
          <w:sz w:val="20"/>
          <w:szCs w:val="20"/>
          <w:color w:val="auto"/>
        </w:rPr>
      </w:pPr>
    </w:p>
    <w:p>
      <w:pPr>
        <w:jc w:val="both"/>
        <w:ind w:left="340" w:hanging="339"/>
        <w:spacing w:after="0" w:line="279" w:lineRule="auto"/>
        <w:tabs>
          <w:tab w:leader="none" w:pos="340"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not, directly or indirectly, in any transaction or series of related transactions: (1) consolidate or merge with or into another Person (whether or not the Company is the surviving corporation); (2) sell, assign, transfer, convey or otherwise dispose of all or substantially all of the properties or assets of the Company and its Subsidiaries taken as a whole, or (3) assign any of its obligations under the Securities and this Indenture, in one or more related transactions, to another Person; unless:</w:t>
      </w:r>
    </w:p>
    <w:p>
      <w:pPr>
        <w:spacing w:after="0" w:line="125" w:lineRule="exact"/>
        <w:rPr>
          <w:sz w:val="20"/>
          <w:szCs w:val="20"/>
          <w:color w:val="auto"/>
        </w:rPr>
      </w:pPr>
    </w:p>
    <w:p>
      <w:pPr>
        <w:ind w:left="340" w:hanging="339"/>
        <w:spacing w:after="0" w:line="298" w:lineRule="auto"/>
        <w:tabs>
          <w:tab w:leader="none" w:pos="340"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either: (A) the Company is the surviving corporation; or (B) the Person formed by or surviving any such consolidation or merger (if other than the Company) or to which such sale, assignment, transfer, conveyance or other disposition shall have been made is a corporation organized or existing under the laws of the United States, any state thereof or the District of Columbia;</w:t>
      </w:r>
    </w:p>
    <w:p>
      <w:pPr>
        <w:spacing w:after="0" w:line="113" w:lineRule="exact"/>
        <w:rPr>
          <w:rFonts w:ascii="Times New Roman" w:cs="Times New Roman" w:eastAsia="Times New Roman" w:hAnsi="Times New Roman"/>
          <w:sz w:val="13"/>
          <w:szCs w:val="13"/>
          <w:color w:val="auto"/>
        </w:rPr>
      </w:pPr>
    </w:p>
    <w:p>
      <w:pPr>
        <w:ind w:left="340" w:hanging="339"/>
        <w:spacing w:after="0" w:line="298" w:lineRule="auto"/>
        <w:tabs>
          <w:tab w:leader="none" w:pos="340"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Person formed by or surviving any such consolidation or merger (if other than the Company) or the Person to which such sale, assignment, transfer, conveyance or other disposition shall have been made assumes all the obligations of the Company under the Securities and this Indenture pursuant to agreements reasonably satisfactory to the Trustee;</w:t>
      </w:r>
    </w:p>
    <w:p>
      <w:pPr>
        <w:spacing w:after="0" w:line="113" w:lineRule="exact"/>
        <w:rPr>
          <w:rFonts w:ascii="Times New Roman" w:cs="Times New Roman" w:eastAsia="Times New Roman" w:hAnsi="Times New Roman"/>
          <w:sz w:val="13"/>
          <w:szCs w:val="13"/>
          <w:color w:val="auto"/>
        </w:rPr>
      </w:pPr>
    </w:p>
    <w:p>
      <w:pPr>
        <w:ind w:left="340" w:hanging="339"/>
        <w:spacing w:after="0"/>
        <w:tabs>
          <w:tab w:leader="none" w:pos="340"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immediately after such transaction no Default or Event of Default exists;</w:t>
      </w:r>
    </w:p>
    <w:p>
      <w:pPr>
        <w:spacing w:after="0" w:line="173" w:lineRule="exact"/>
        <w:rPr>
          <w:rFonts w:ascii="Times New Roman" w:cs="Times New Roman" w:eastAsia="Times New Roman" w:hAnsi="Times New Roman"/>
          <w:sz w:val="13"/>
          <w:szCs w:val="13"/>
          <w:color w:val="auto"/>
        </w:rPr>
      </w:pPr>
    </w:p>
    <w:p>
      <w:pPr>
        <w:ind w:left="340" w:hanging="339"/>
        <w:spacing w:after="0" w:line="298" w:lineRule="auto"/>
        <w:tabs>
          <w:tab w:leader="none" w:pos="340"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have delivered to the Trustee an Officers’ Certificate and an Opinion of Counsel, each stating that such merger, consolidation or sale, assignment, transfer, conveyance or other disposition of such properties or assets or assignment of its obligations under the Securities and this Indenture and such supplemental indenture, if any, comply with this Indenture.</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6">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3" w:right="319" w:bottom="1440" w:gutter="0" w:footer="0" w:header="0"/>
        </w:sectPr>
      </w:pPr>
    </w:p>
    <w:bookmarkStart w:id="128" w:name="page129"/>
    <w:bookmarkEnd w:id="128"/>
    <w:p>
      <w:pPr>
        <w:ind w:left="340" w:hanging="339"/>
        <w:spacing w:after="0"/>
        <w:tabs>
          <w:tab w:leader="none" w:pos="340" w:val="left"/>
        </w:tabs>
        <w:numPr>
          <w:ilvl w:val="0"/>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not, directly or indirectly, lease all or substantially all of its properties or assets, in one or more related transactions, to any other Person.</w:t>
      </w:r>
    </w:p>
    <w:p>
      <w:pPr>
        <w:spacing w:after="0" w:line="173" w:lineRule="exact"/>
        <w:rPr>
          <w:rFonts w:ascii="Times New Roman" w:cs="Times New Roman" w:eastAsia="Times New Roman" w:hAnsi="Times New Roman"/>
          <w:sz w:val="13"/>
          <w:szCs w:val="13"/>
          <w:color w:val="auto"/>
        </w:rPr>
      </w:pPr>
    </w:p>
    <w:p>
      <w:pPr>
        <w:ind w:left="340" w:hanging="339"/>
        <w:spacing w:after="0" w:line="298" w:lineRule="auto"/>
        <w:tabs>
          <w:tab w:leader="none" w:pos="340" w:val="left"/>
        </w:tabs>
        <w:numPr>
          <w:ilvl w:val="0"/>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the foregoing, this Section 801 shall not apply to a sale, assignment, transfer, conveyance or other disposition of assets between or among the Company and any of its Wholly Owned Subsidiaries.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802. SUCCESSOR PERSON SUBSTITUTED.</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Upon any consolidation or merger, any sale, assignment, transfer, lease, conveyance or other disposition of all or substantially all of the assets of the Company, or any assignment of the obligations under the Securities and this Indenture in accordance with Section 801 hereof, the successor corporation formed by such consolidation or into or with which the Company is merged or to which such sale, assignment, transfer, lease, conveyance or other disposition is made shall succeed to, and be substituted for (so that from and after the date of such consolidation, merger, sale, lease, conveyance or other disposition, the provisions of this Indenture referring to the “</w:t>
      </w:r>
      <w:r>
        <w:rPr>
          <w:rFonts w:ascii="Times New Roman" w:cs="Times New Roman" w:eastAsia="Times New Roman" w:hAnsi="Times New Roman"/>
          <w:sz w:val="13"/>
          <w:szCs w:val="13"/>
          <w:i w:val="1"/>
          <w:iCs w:val="1"/>
          <w:color w:val="auto"/>
        </w:rPr>
        <w:t>Company</w:t>
      </w:r>
      <w:r>
        <w:rPr>
          <w:rFonts w:ascii="Times New Roman" w:cs="Times New Roman" w:eastAsia="Times New Roman" w:hAnsi="Times New Roman"/>
          <w:sz w:val="13"/>
          <w:szCs w:val="13"/>
          <w:color w:val="auto"/>
        </w:rPr>
        <w:t xml:space="preserve">” shall refer instead to the successor corporation and not to the Company), and may exercise every right and power of the Company under this Indenture with the same effect as if such successor Person had been named as the Company herein;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the predecessor Company shall not be relieved from the obligation to pay the principal of and interest on the Securities except in the case of a sale of all of the Company’s assets that meets the requirements of Section 801 hereof.</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IX</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SUPPLEMENTAL INDENTURES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901. WITHOUT CONSENT OF HOLDERS.</w:t>
      </w:r>
    </w:p>
    <w:p>
      <w:pPr>
        <w:spacing w:after="0" w:line="17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3"/>
          <w:szCs w:val="13"/>
          <w:color w:val="auto"/>
        </w:rPr>
        <w:t>Notwithstanding Section 902 of this Indenture, the Company and the Trustee may amend or supplement this Indenture or the Securities of any series without the consent of any Holder of a Security of any series:</w:t>
      </w:r>
    </w:p>
    <w:p>
      <w:pPr>
        <w:spacing w:after="0" w:line="317" w:lineRule="exact"/>
        <w:rPr>
          <w:sz w:val="20"/>
          <w:szCs w:val="20"/>
          <w:color w:val="auto"/>
        </w:rPr>
      </w:pPr>
    </w:p>
    <w:p>
      <w:pPr>
        <w:ind w:left="240" w:hanging="239"/>
        <w:spacing w:after="0"/>
        <w:tabs>
          <w:tab w:leader="none" w:pos="240"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cure any ambiguity, defect or inconsistency;</w:t>
      </w:r>
    </w:p>
    <w:p>
      <w:pPr>
        <w:spacing w:after="0" w:line="173" w:lineRule="exact"/>
        <w:rPr>
          <w:rFonts w:ascii="Times New Roman" w:cs="Times New Roman" w:eastAsia="Times New Roman" w:hAnsi="Times New Roman"/>
          <w:sz w:val="13"/>
          <w:szCs w:val="13"/>
          <w:color w:val="auto"/>
        </w:rPr>
      </w:pPr>
    </w:p>
    <w:p>
      <w:pPr>
        <w:ind w:left="240" w:hanging="239"/>
        <w:spacing w:after="0" w:line="298" w:lineRule="auto"/>
        <w:tabs>
          <w:tab w:leader="none" w:pos="240"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provide for uncertificated Securities in addition to or in place of certificated Securities or to alter the provisions of Article II of this Indenture (including the related definitions) in a manner that does not materially adversely affect any Holder;</w:t>
      </w:r>
    </w:p>
    <w:p>
      <w:pPr>
        <w:spacing w:after="0" w:line="113" w:lineRule="exact"/>
        <w:rPr>
          <w:rFonts w:ascii="Times New Roman" w:cs="Times New Roman" w:eastAsia="Times New Roman" w:hAnsi="Times New Roman"/>
          <w:sz w:val="13"/>
          <w:szCs w:val="13"/>
          <w:color w:val="auto"/>
        </w:rPr>
      </w:pPr>
    </w:p>
    <w:p>
      <w:pPr>
        <w:ind w:left="240" w:hanging="239"/>
        <w:spacing w:after="0"/>
        <w:tabs>
          <w:tab w:leader="none" w:pos="240"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establish the form or terms of Securities of any series as permitted by Sections 201 and 301 of this Indenture;</w:t>
      </w:r>
    </w:p>
    <w:p>
      <w:pPr>
        <w:spacing w:after="0" w:line="173" w:lineRule="exact"/>
        <w:rPr>
          <w:rFonts w:ascii="Times New Roman" w:cs="Times New Roman" w:eastAsia="Times New Roman" w:hAnsi="Times New Roman"/>
          <w:sz w:val="13"/>
          <w:szCs w:val="13"/>
          <w:color w:val="auto"/>
        </w:rPr>
      </w:pPr>
    </w:p>
    <w:p>
      <w:pPr>
        <w:ind w:left="240" w:hanging="239"/>
        <w:spacing w:after="0"/>
        <w:tabs>
          <w:tab w:leader="none" w:pos="240"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provide for the assumption of the Company’s or any Guarantor’s obligations to the Holders of the Securities by a successor to the Company pursuant to Article VIII of this Indenture;</w:t>
      </w:r>
    </w:p>
    <w:p>
      <w:pPr>
        <w:spacing w:after="0" w:line="173" w:lineRule="exact"/>
        <w:rPr>
          <w:rFonts w:ascii="Times New Roman" w:cs="Times New Roman" w:eastAsia="Times New Roman" w:hAnsi="Times New Roman"/>
          <w:sz w:val="13"/>
          <w:szCs w:val="13"/>
          <w:color w:val="auto"/>
        </w:rPr>
      </w:pPr>
    </w:p>
    <w:p>
      <w:pPr>
        <w:ind w:left="240" w:hanging="239"/>
        <w:spacing w:after="0"/>
        <w:tabs>
          <w:tab w:leader="none" w:pos="240"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make any change that would provide any additional rights or benefits to the Holders of the Securities or that does not adversely affect the legal rights hereunder of any such Holder;</w:t>
      </w:r>
    </w:p>
    <w:p>
      <w:pPr>
        <w:spacing w:after="0" w:line="173" w:lineRule="exact"/>
        <w:rPr>
          <w:rFonts w:ascii="Times New Roman" w:cs="Times New Roman" w:eastAsia="Times New Roman" w:hAnsi="Times New Roman"/>
          <w:sz w:val="13"/>
          <w:szCs w:val="13"/>
          <w:color w:val="auto"/>
        </w:rPr>
      </w:pPr>
    </w:p>
    <w:p>
      <w:pPr>
        <w:ind w:left="240" w:hanging="239"/>
        <w:spacing w:after="0"/>
        <w:tabs>
          <w:tab w:leader="none" w:pos="240"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comply with requirements of the SEC in order to effect or maintain the qualification of this Indenture under the Trust Indenture Act;</w:t>
      </w:r>
    </w:p>
    <w:p>
      <w:pPr>
        <w:spacing w:after="0" w:line="173" w:lineRule="exact"/>
        <w:rPr>
          <w:rFonts w:ascii="Times New Roman" w:cs="Times New Roman" w:eastAsia="Times New Roman" w:hAnsi="Times New Roman"/>
          <w:sz w:val="13"/>
          <w:szCs w:val="13"/>
          <w:color w:val="auto"/>
        </w:rPr>
      </w:pPr>
    </w:p>
    <w:p>
      <w:pPr>
        <w:ind w:left="240" w:hanging="239"/>
        <w:spacing w:after="0"/>
        <w:tabs>
          <w:tab w:leader="none" w:pos="240"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evidence and provide the acceptance of the appointment of a successor Trustee pursuant to Sections 610 and 611 of this Indenture; and</w:t>
      </w:r>
    </w:p>
    <w:p>
      <w:pPr>
        <w:spacing w:after="0" w:line="173" w:lineRule="exact"/>
        <w:rPr>
          <w:rFonts w:ascii="Times New Roman" w:cs="Times New Roman" w:eastAsia="Times New Roman" w:hAnsi="Times New Roman"/>
          <w:sz w:val="13"/>
          <w:szCs w:val="13"/>
          <w:color w:val="auto"/>
        </w:rPr>
      </w:pPr>
    </w:p>
    <w:p>
      <w:pPr>
        <w:ind w:left="240" w:hanging="239"/>
        <w:spacing w:after="0"/>
        <w:tabs>
          <w:tab w:leader="none" w:pos="240"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add a Guarantor of the Securities.</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3"/>
          <w:szCs w:val="13"/>
          <w:color w:val="auto"/>
        </w:rPr>
        <w:t>Upon the request of the Company accompanied by a resolution of its Board of Directors authorizing the execution of any such amended or supplemental indenture, and upon receipt by the Trustee of the documents described in Section 603 of this Indenture, the Trustee shall join with the Company in the execution of any amended or supplemental indenture authorized or permitted by the terms of this Indenture and to make any further appropriate agreements and stipulations that may be therein contained, but the Trustee shall not be obligated to enter into such amended or supplemental indenture that affects its own rights, duties or immunities under this Indenture or otherwise.</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7">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3" w:right="31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3"/>
          <w:szCs w:val="13"/>
          <w:b w:val="1"/>
          <w:bCs w:val="1"/>
          <w:color w:val="auto"/>
        </w:rPr>
        <w:t>SECTION 902. WITH CONSENT OF HOLDERS.</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Except as provided below in this Section 902, the Company and the Trustee may amend or supplement this Indenture and the Securities of any series may be amended or supplemented with the consent of the Holders of at least a majority in aggregate principal amount at maturity of Securities of that series then Outstanding voting as a single class (including, without limitation, consents obtained in connection with a purchase of, or tender offer or exchange offer for, that series of Securities), and, subject to Sections 504 and 507 hereof, any existing Default or Event of Default (other than a Default or Event of Default in the payment of the principal of, premium, if any, and interest, if any, on such Securities, except a payment default resulting from an acceleration that has been rescinded) or compliance with any provision of this Indenture or such Securities may be waived with the consent of the Holders of a majority in aggregate principal amount at maturity of the then Outstanding Securities of that series voting as a single class (including without limitation, consents obtained in connection with a purchase of, or tender offer or exchange offer for, that series of Securities).</w:t>
      </w:r>
    </w:p>
    <w:p>
      <w:pPr>
        <w:spacing w:after="0" w:line="13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3"/>
          <w:szCs w:val="13"/>
          <w:color w:val="auto"/>
        </w:rPr>
        <w:t>Upon the request of the Company accompanied by a Board Resolution authorizing the execution of any such amended or supplemental indenture, and upon the filing with the Trustee of evidence satisfactory to the Trustee of the consent of the Holders of that series of Securities as aforesaid, and upon receipt by the Trustee of the documents described in Section 603 of this Indenture, the Trustee shall join with the Company in the execution of such amended or supplemental indenture unless such amended or supplemental indenture directly affects the Trustee’s own rights, duties or immunities under this Indenture or otherwise, in which case the Trustee may in its discretion, but shall not be obligated to, enter into such amended or supplemental indenture.</w:t>
      </w:r>
    </w:p>
    <w:p>
      <w:pPr>
        <w:spacing w:after="0" w:line="13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color w:val="auto"/>
        </w:rPr>
        <w:t>It shall not be necessary for the consent of the Holders of Securities under this Section 902 to approve the particular form of any proposed amendment or waiver, but it shall be sufficient if such consent approves the substance thereof.</w:t>
      </w:r>
    </w:p>
    <w:p>
      <w:pPr>
        <w:spacing w:after="0" w:line="11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3"/>
          <w:szCs w:val="13"/>
          <w:color w:val="auto"/>
        </w:rPr>
        <w:t>After an amendment, supplement or waiver under this Section becomes effective, the Company shall mail to the Holders of Securities of any series affected thereby a notice briefly describing the amendment, supplement or waiver. Any failure of the Company to mail such notice, or any defect therein, shall not, however, in any way impair or affect the validity of any such amended or supplemental indenture or waiver.</w:t>
      </w:r>
    </w:p>
    <w:p>
      <w:pPr>
        <w:spacing w:after="0" w:line="28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3"/>
          <w:szCs w:val="13"/>
          <w:color w:val="auto"/>
        </w:rPr>
        <w:t>Subject to Sections 504 and 507 hereof, the Holders of a majority in aggregate principal amount at maturity of a series of Securities then Outstanding voting as a single class may waive compliance in a particular instance by the Company with any provision of this Indenture or the Securities. However, without the consent of each Holder of a series of Securities affected, an amendment or waiver under this Section 902 may not (with respect to the series of Securities held by a non-consenting Holder):</w:t>
      </w:r>
    </w:p>
    <w:p>
      <w:pPr>
        <w:spacing w:after="0" w:line="125" w:lineRule="exact"/>
        <w:rPr>
          <w:sz w:val="20"/>
          <w:szCs w:val="20"/>
          <w:color w:val="auto"/>
        </w:rPr>
      </w:pPr>
    </w:p>
    <w:p>
      <w:pPr>
        <w:ind w:left="240" w:hanging="239"/>
        <w:spacing w:after="0"/>
        <w:tabs>
          <w:tab w:leader="none" w:pos="240"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reduce the principal amount of the then Outstanding Securities whose Holders must consent to an amendment, supplement or waiver;</w:t>
      </w:r>
    </w:p>
    <w:p>
      <w:pPr>
        <w:spacing w:after="0" w:line="173" w:lineRule="exact"/>
        <w:rPr>
          <w:rFonts w:ascii="Times New Roman" w:cs="Times New Roman" w:eastAsia="Times New Roman" w:hAnsi="Times New Roman"/>
          <w:sz w:val="13"/>
          <w:szCs w:val="13"/>
          <w:color w:val="auto"/>
        </w:rPr>
      </w:pPr>
    </w:p>
    <w:p>
      <w:pPr>
        <w:ind w:left="240" w:hanging="239"/>
        <w:spacing w:after="0" w:line="298" w:lineRule="auto"/>
        <w:tabs>
          <w:tab w:leader="none" w:pos="240"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reduce the principal of or change the fixed maturity of any Security or alter any of the provisions with respect to the redemption of the Securities unless otherwise specifically provided for in the supplemental indenture;</w:t>
      </w:r>
    </w:p>
    <w:p>
      <w:pPr>
        <w:spacing w:after="0" w:line="113" w:lineRule="exact"/>
        <w:rPr>
          <w:rFonts w:ascii="Times New Roman" w:cs="Times New Roman" w:eastAsia="Times New Roman" w:hAnsi="Times New Roman"/>
          <w:sz w:val="13"/>
          <w:szCs w:val="13"/>
          <w:color w:val="auto"/>
        </w:rPr>
      </w:pPr>
    </w:p>
    <w:p>
      <w:pPr>
        <w:ind w:left="240" w:hanging="239"/>
        <w:spacing w:after="0"/>
        <w:tabs>
          <w:tab w:leader="none" w:pos="240"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reduce the rate of or change the time for payment of interest on any Security;</w:t>
      </w:r>
    </w:p>
    <w:p>
      <w:pPr>
        <w:spacing w:after="0" w:line="173" w:lineRule="exact"/>
        <w:rPr>
          <w:rFonts w:ascii="Times New Roman" w:cs="Times New Roman" w:eastAsia="Times New Roman" w:hAnsi="Times New Roman"/>
          <w:sz w:val="13"/>
          <w:szCs w:val="13"/>
          <w:color w:val="auto"/>
        </w:rPr>
      </w:pPr>
    </w:p>
    <w:p>
      <w:pPr>
        <w:ind w:left="240" w:hanging="239"/>
        <w:spacing w:after="0" w:line="298" w:lineRule="auto"/>
        <w:tabs>
          <w:tab w:leader="none" w:pos="240"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waive a Default or Event of Default in the payment of principal of, or interest or premium, if any, on the Securities (except a rescission of acceleration of the Securities by the Holders of any series of Securities of at least a majority in aggregate principal amount of the then Outstanding Securities of that series and a waiver of the payment default that resulted from such acceleration);</w:t>
      </w:r>
    </w:p>
    <w:p>
      <w:pPr>
        <w:spacing w:after="0" w:line="113" w:lineRule="exact"/>
        <w:rPr>
          <w:rFonts w:ascii="Times New Roman" w:cs="Times New Roman" w:eastAsia="Times New Roman" w:hAnsi="Times New Roman"/>
          <w:sz w:val="13"/>
          <w:szCs w:val="13"/>
          <w:color w:val="auto"/>
        </w:rPr>
      </w:pPr>
    </w:p>
    <w:p>
      <w:pPr>
        <w:ind w:left="240" w:hanging="239"/>
        <w:spacing w:after="0"/>
        <w:tabs>
          <w:tab w:leader="none" w:pos="240"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any Security payable in money other than that stated in the Security;</w:t>
      </w:r>
    </w:p>
    <w:p>
      <w:pPr>
        <w:spacing w:after="0" w:line="173" w:lineRule="exact"/>
        <w:rPr>
          <w:rFonts w:ascii="Times New Roman" w:cs="Times New Roman" w:eastAsia="Times New Roman" w:hAnsi="Times New Roman"/>
          <w:sz w:val="13"/>
          <w:szCs w:val="13"/>
          <w:color w:val="auto"/>
        </w:rPr>
      </w:pPr>
    </w:p>
    <w:p>
      <w:pPr>
        <w:ind w:left="240" w:hanging="239"/>
        <w:spacing w:after="0" w:line="269" w:lineRule="auto"/>
        <w:tabs>
          <w:tab w:leader="none" w:pos="240"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any change in the provisions of this Indenture relating to waivers of past Defaults or the rights of Holders of Securities to receive payments of principal of, or interest or premium, if any, on the Securities;</w:t>
      </w:r>
    </w:p>
    <w:p>
      <w:pPr>
        <w:spacing w:after="0" w:line="317" w:lineRule="exact"/>
        <w:rPr>
          <w:rFonts w:ascii="Times New Roman" w:cs="Times New Roman" w:eastAsia="Times New Roman" w:hAnsi="Times New Roman"/>
          <w:sz w:val="13"/>
          <w:szCs w:val="13"/>
          <w:color w:val="auto"/>
        </w:rPr>
      </w:pPr>
    </w:p>
    <w:p>
      <w:pPr>
        <w:ind w:left="240" w:hanging="239"/>
        <w:spacing w:after="0"/>
        <w:tabs>
          <w:tab w:leader="none" w:pos="240"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waive a redemption payment with respect to any Security (other than as may be specifically permitted by the supplemental indenture);</w:t>
      </w:r>
    </w:p>
    <w:p>
      <w:pPr>
        <w:spacing w:after="0" w:line="173" w:lineRule="exact"/>
        <w:rPr>
          <w:rFonts w:ascii="Times New Roman" w:cs="Times New Roman" w:eastAsia="Times New Roman" w:hAnsi="Times New Roman"/>
          <w:sz w:val="13"/>
          <w:szCs w:val="13"/>
          <w:color w:val="auto"/>
        </w:rPr>
      </w:pPr>
    </w:p>
    <w:p>
      <w:pPr>
        <w:ind w:left="240" w:hanging="239"/>
        <w:spacing w:after="0"/>
        <w:tabs>
          <w:tab w:leader="none" w:pos="240"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cause the Securities to become subordinated in right of payment to any other Indebtedness;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8">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130" w:name="page131"/>
    <w:bookmarkEnd w:id="130"/>
    <w:p>
      <w:pPr>
        <w:ind w:left="240" w:hanging="239"/>
        <w:spacing w:after="0"/>
        <w:tabs>
          <w:tab w:leader="none" w:pos="240"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release any Guarantor from any of its obligations under its Guarantee or this Indenture, except in accordance with the terms thereof; or</w:t>
      </w:r>
    </w:p>
    <w:p>
      <w:pPr>
        <w:spacing w:after="0" w:line="173" w:lineRule="exact"/>
        <w:rPr>
          <w:rFonts w:ascii="Times New Roman" w:cs="Times New Roman" w:eastAsia="Times New Roman" w:hAnsi="Times New Roman"/>
          <w:sz w:val="13"/>
          <w:szCs w:val="13"/>
          <w:color w:val="auto"/>
        </w:rPr>
      </w:pPr>
    </w:p>
    <w:p>
      <w:pPr>
        <w:ind w:left="240" w:hanging="239"/>
        <w:spacing w:after="0"/>
        <w:tabs>
          <w:tab w:leader="none" w:pos="240"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any change in Sections 504 or 507 or the foregoing amendment and waiver provisions.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903. COMPLIANCE WITH TRUST INDENTURE ACT.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Every amendment or supplement to this Indenture or the Securities shall be set forth in a amended or supplemental indenture that complies with the Trust Indenture Act as then in effect.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904. REVOCATION AND EFFECT OF CONSENTS.</w:t>
      </w:r>
    </w:p>
    <w:p>
      <w:pPr>
        <w:spacing w:after="0" w:line="17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3"/>
          <w:szCs w:val="13"/>
          <w:color w:val="auto"/>
        </w:rPr>
        <w:t>Until an amendment, supplement or waiver becomes effective, a consent to it by a Holder of a Security is a continuing consent by the Holder of a Security and every subsequent Holder of a Security or portion of a Security that evidences the same debt as the consenting Holder’s Security, even if notation of the consent is not made on any Security. However, any such Holder of a Security or subsequent Holder of a Security may revoke the consent as to its Security if the Trustee receives written notice of revocation before the date the waiver, supplement or amendment becomes effective. An amendment, supplement or waiver becomes effective in accordance with its terms and thereafter binds every Holder.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905. NOTATION ON OR EXCHANGE OF SECURITIES.</w:t>
      </w:r>
    </w:p>
    <w:p>
      <w:pPr>
        <w:spacing w:after="0" w:line="17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color w:val="auto"/>
        </w:rPr>
        <w:t>The Trustee may place an appropriate notation about an amendment, supplement or waiver on any Security thereafter authenticated. The Company in exchange for all Securities of a series may issue and the Trustee shall, upon receipt of a written order from the Company to authenticate such Securities, authenticate new Securities that reflect the amendment, supplement or waiver.</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906. TRUSTEE TO SIGN AMENDMENTS, ETC.</w:t>
      </w:r>
    </w:p>
    <w:p>
      <w:pPr>
        <w:spacing w:after="0" w:line="17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3"/>
          <w:szCs w:val="13"/>
          <w:color w:val="auto"/>
        </w:rPr>
        <w:t>The Trustee shall sign any amended or supplemental indenture authorized pursuant to this Article IX if the amendment or supplement does not adversely affect the rights, duties, liabilities or immunities of the Trustee. The Company may not sign an amendment or supplemental indenture until the Board of Directors approves it. In executing any amended or supplemental indenture, the Trustee shall be given and (subject to Section 601 of this Indenture) shall be fully protected in relying upon, in addition to the documents required by Section 603 this Indenture, an Officer’s Certificate and an Opinion of Counsel stating that the execution of such amended or supplemental indenture is authorized or permitted by this Indenture.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X</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COVENANTS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1001. PAYMENT OF PRINCIPAL, PREMIUM AND INTEREST.</w:t>
      </w:r>
    </w:p>
    <w:p>
      <w:pPr>
        <w:spacing w:after="0" w:line="17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color w:val="auto"/>
        </w:rPr>
        <w:t>The Company covenants and agrees for the benefit of each series of Securities that it will duly and punctually pay the principal of (and premium, if any), interest on and any Additional Amounts with respect to the Securities of that series in accordance with the terms of the Securities and this Indenture.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1002. MAINTENANCE OF OFFICE OR AGENCY.</w:t>
      </w:r>
    </w:p>
    <w:p>
      <w:pPr>
        <w:spacing w:after="0" w:line="17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3"/>
          <w:szCs w:val="13"/>
          <w:color w:val="auto"/>
        </w:rPr>
        <w:t>If Securities of a series are issuable only as Registered Securities, the Company will maintain in each Place of Payment for any series of Securities an office or agency where Securities of that series may be presented or surrendered for payment, where Securities of that series may be surrendered for registration of transfer or exchange and where notices and demands to or upon the Company in respect of the Securities of that series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w:t>
      </w:r>
    </w:p>
    <w:p>
      <w:pPr>
        <w:spacing w:after="0" w:line="29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3"/>
          <w:szCs w:val="13"/>
          <w:color w:val="auto"/>
        </w:rPr>
        <w:t xml:space="preserve">The Company may also from time to time designate one or more other offices or agencies where the Securities of one or more series may be presented or surrendered for any or all such purposes and may from time to time rescind such designations;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no such designation or rescission shall in any manner relieve the Company of its obligation to maintain an office or agency in each Place of Payment for Securities of any series for such purposes. The Company will give prompt written notice to the Trustee of any such designation or rescission and of any change in the location of any such other office or agency.</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9">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3" w:right="31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3"/>
          <w:szCs w:val="13"/>
          <w:b w:val="1"/>
          <w:bCs w:val="1"/>
          <w:color w:val="auto"/>
        </w:rPr>
        <w:t>SECTION 1003. MONEY FOR SECURITIES PAYMENTS TO BE HELD IN TRUST.</w:t>
      </w:r>
    </w:p>
    <w:p>
      <w:pPr>
        <w:spacing w:after="0" w:line="17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3"/>
          <w:szCs w:val="13"/>
          <w:color w:val="auto"/>
        </w:rPr>
        <w:t>If the Company shall at any time act as its own Paying Agent with respect to any series of Securities, it will, on or before each due date of the principal of (and premium, if any) or interest on or any Additional Amounts with respect to any of the Securities of that series, segregate and hold in trust for the benefit of the Persons entitled thereto a sum sufficient to pay the principal (and premium, if any) or interest so becoming due until such sums shall be paid to such Persons or otherwise disposed of as herein provided and will promptly notify the Trustee of its action or failure so to act.</w:t>
      </w:r>
    </w:p>
    <w:p>
      <w:pPr>
        <w:spacing w:after="0" w:line="12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3"/>
          <w:szCs w:val="13"/>
          <w:color w:val="auto"/>
        </w:rPr>
        <w:t>Whenever the Company shall have one or more Paying Agents for any series of Securities, the Company will, on or before each due date of the principal of (and premium, if any) or interest on any Securities of that series, deposit with a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its action or failure so to act.</w:t>
      </w:r>
    </w:p>
    <w:p>
      <w:pPr>
        <w:spacing w:after="0" w:line="125"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color w:val="auto"/>
        </w:rPr>
        <w:t>The Company will cause each Paying Agent for any series of Securities other than the Trustee to execute and deliver to the Trustee an instrument in which such Paying Agent shall agree with the Trustee, subject to the provisions of this Section, that such Paying Agent will:</w:t>
      </w:r>
    </w:p>
    <w:p>
      <w:pPr>
        <w:spacing w:after="0" w:line="114" w:lineRule="exact"/>
        <w:rPr>
          <w:sz w:val="20"/>
          <w:szCs w:val="20"/>
          <w:color w:val="auto"/>
        </w:rPr>
      </w:pPr>
    </w:p>
    <w:p>
      <w:pPr>
        <w:ind w:left="240" w:hanging="239"/>
        <w:spacing w:after="0" w:line="298" w:lineRule="auto"/>
        <w:tabs>
          <w:tab w:leader="none" w:pos="240"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hold all sums held by it for the payment of the principal of (and premium, if any), interest on or any Additional Amounts with respect to Securities of that series in trust for the benefit of the Persons entitled thereto until such sums shall be paid to such Persons or otherwise disposed of as herein provided;</w:t>
      </w:r>
    </w:p>
    <w:p>
      <w:pPr>
        <w:spacing w:after="0" w:line="113" w:lineRule="exact"/>
        <w:rPr>
          <w:rFonts w:ascii="Times New Roman" w:cs="Times New Roman" w:eastAsia="Times New Roman" w:hAnsi="Times New Roman"/>
          <w:sz w:val="13"/>
          <w:szCs w:val="13"/>
          <w:color w:val="auto"/>
        </w:rPr>
      </w:pPr>
    </w:p>
    <w:p>
      <w:pPr>
        <w:ind w:left="240" w:hanging="239"/>
        <w:spacing w:after="0" w:line="298" w:lineRule="auto"/>
        <w:tabs>
          <w:tab w:leader="none" w:pos="240"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give the Trustee notice of any default by the Company (or any other obligor upon the Securities of that series) in the making of any payment of principal (and premium, if any), interest on or any Additional Amounts with respect to the Securities of that series; and</w:t>
      </w:r>
    </w:p>
    <w:p>
      <w:pPr>
        <w:spacing w:after="0" w:line="113" w:lineRule="exact"/>
        <w:rPr>
          <w:rFonts w:ascii="Times New Roman" w:cs="Times New Roman" w:eastAsia="Times New Roman" w:hAnsi="Times New Roman"/>
          <w:sz w:val="13"/>
          <w:szCs w:val="13"/>
          <w:color w:val="auto"/>
        </w:rPr>
      </w:pPr>
    </w:p>
    <w:p>
      <w:pPr>
        <w:ind w:left="240" w:hanging="239"/>
        <w:spacing w:after="0"/>
        <w:tabs>
          <w:tab w:leader="none" w:pos="240"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any time during the continuance of any such default, upon the written request of the Trustee, forthwith pay to the Trustee all sums so held in trust by such Paying Agent.</w:t>
      </w:r>
    </w:p>
    <w:p>
      <w:pPr>
        <w:spacing w:after="0" w:line="17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3"/>
          <w:szCs w:val="13"/>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sums were held by the Company or such Paying Agent; and, upon such payment by any Paying Agent to the Trustee, such Paying Agent shall be released from all further liability with respect to such money.</w:t>
      </w:r>
    </w:p>
    <w:p>
      <w:pPr>
        <w:spacing w:after="0" w:line="12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3"/>
          <w:szCs w:val="13"/>
          <w:color w:val="auto"/>
        </w:rPr>
        <w:t>Any money deposited with the Trustee or any Paying Agent, or then held by the Company, in trust for the payment of the principal of (and premium, if any) or interest on any Security of any series and remaining unclaimed for three years after such principal (and premium, if any) or interest has become due and payable shall, unless otherwise required by mandatory provisions of applicable escheat, or abandoned or unclaimed property law,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w:t>
      </w:r>
    </w:p>
    <w:p>
      <w:pPr>
        <w:spacing w:after="0" w:line="1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3"/>
          <w:szCs w:val="13"/>
          <w:color w:val="auto"/>
        </w:rPr>
        <w:t xml:space="preserve">Company as trustee thereof, shall thereupon cease;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the Trustee or such Paying Agent, before being required to make any such repayment, may at the expense of the Company cause to be published once, in an Authorized Newspaper in the Borough of Manhattan, the City of New York and in such other Authorized Newspapers as the Trustee shall deem appropriate, notice that such money remains unclaimed and that, after a date specified herein, which shall not be less than 30 days from the date of such publication, any unclaimed balance of such money then remaining will, unless otherwise required by mandatory provisions of applicable escheat, or abandoned or unclaimed property law, be repaid to the Company.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1004. EXISTENCE.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Subject to Article VIII, the Company will do or cause to be done all things necessary to preserve and keep in full force and effect its corporate existence.</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0">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3"/>
          <w:szCs w:val="13"/>
          <w:b w:val="1"/>
          <w:bCs w:val="1"/>
          <w:color w:val="auto"/>
        </w:rPr>
        <w:t>SECTION 1005. STATEMENT BY OFFICERS AS TO DEFAULT.</w:t>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3"/>
          <w:szCs w:val="13"/>
          <w:color w:val="auto"/>
        </w:rPr>
        <w:t>The Company shall deliver to the Trustee, within 120 days after the end of each fiscal year,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 or her knowledge the Company has kept, observed, performed and fulfilled each and every covenant contained in this Indenture and is not in default in the performance or observance of any of the terms, provisions and conditions of this Indenture (or, if a Default or Event of Default shall have occurred, describing all such Defaults or Events of Default of which he or she may have knowledge and what action the Company is taking or proposes to take with respect thereto) and that to the best of his or her knowledge no event has occurred and remains in existence by reason of which payments on account of the principal of or interest, if any, on the Securities is prohibited or if such event has occurred, a description of the event and what action the Company is taking or proposes to take with respect thereto.</w:t>
      </w:r>
    </w:p>
    <w:p>
      <w:pPr>
        <w:spacing w:after="0" w:line="13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3"/>
          <w:szCs w:val="13"/>
          <w:color w:val="auto"/>
        </w:rPr>
        <w:t>The Company shall, so long as any of the Securities are outstanding, deliver to the Trustee, forthwith and in any event within five days upon any officer becoming aware of any Default or Event of Default or an event which, with notice or the lapse of time or both, would constitute an Event of Default, an Officers’ Certificate specifying such Default or Event of Default and what action the Company is taking or proposes to take with respect thereto.</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1006. WAIVER OF CERTAIN COVENANTS.</w:t>
      </w:r>
    </w:p>
    <w:p>
      <w:pPr>
        <w:spacing w:after="0" w:line="17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3"/>
          <w:szCs w:val="13"/>
          <w:color w:val="auto"/>
        </w:rPr>
        <w:t>The Company may omit in any particular instance to comply with any covenant or condition set forth in Section 1005, or any covenant added for the benefit of any series of Securities as contemplated by Section 301 (unless otherwise specified pursuant to Section 301) if before or after the time for such compliance the Holders of a majority in principal amount of the Outstanding Securities of all series affected by such omission (acting as one class) shall, by Act of such Holders, either waive such compliance in such instance or generally waive compliance with such covenant or condition, but no such waiver shall extend to or affect such covenant or condition except to the extent so expressly waived, and, until such waiver shall become effective, the obligations of the Company and the duties of the Trustee in respect of any such covenant or condition shall remain in full force and effect.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1007. ADDITIONAL AMOUNTS.</w:t>
      </w:r>
    </w:p>
    <w:p>
      <w:pPr>
        <w:spacing w:after="0" w:line="17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3"/>
          <w:szCs w:val="13"/>
          <w:color w:val="auto"/>
        </w:rPr>
        <w:t>If the Securities of a series expressly provide for the payment of Additional Amounts, the Company will pay to the Holder of any Security of such series Additional Amounts as expressly provided therein. Whenever in this Indenture there is mentioned, in any context, the payment of the principal of or any premium or interest on, or in respect of, any Security of any series or the net proceeds received from the sale or exchange of any Security of any series, such mention shall be deemed to include mention of the payment of Additional Amounts provided for in this Section 1007 to the extent that, in such context, Additional Amounts are, were or would be payable in respect thereof pursuant to the provisions of this Section 1007 and express mention of the payment of Additional Amounts (if applicable) in any provisions hereof shall not be construed as excluding Additional Amounts in those provisions hereof where such express mention is not made.</w:t>
      </w:r>
    </w:p>
    <w:p>
      <w:pPr>
        <w:spacing w:after="0" w:line="13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If the Securities of a series provide for the payment of Additional Amounts, at least 10 days prior to the first Interest Payment Date with respect to that series of Securities (or if the Securities of that series will not bear interest prior to Maturity, the first day on which a payment of principal and any premium is made), and at least 10 days prior to each date of payment of principal and any premium or interest if there has been any change with respect to the matters set forth in the below-mentioned Officers’ Certificate, the Company shall furnish the Trustee and the Company’s principal Paying Agent or Paying Agents, if other than the Trustee, with an Officers’ Certificate instructing the Trustee and such Paying Agent or Paying Agents whether such payment of principal of and any premium or interest on the Securities of that series shall be made to Holders of Securities of that series who are United States Aliens without withholding for or on account of any tax, assessment or other governmental charge described in the Securities of that series. If any such withholding shall be required, then such Officers’ Certificate shall specify by country the amount, if any, required to be withheld on such payments to such Holders of Securities and the Company will pay to such Paying Agent the Additional Amounts required by this Section. The Company covenants to indemnify the Trustee and any Paying Agent for, and to hold them harmless against any loss, liability or expense reasonably incurred without negligence or willful misconduct on their part arising out of or in connection with actions taken or omitted by any of them in reliance on any Officers’ Certificate furnished pursuant to this Section 1007.</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1">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3"/>
          <w:szCs w:val="13"/>
          <w:b w:val="1"/>
          <w:bCs w:val="1"/>
          <w:color w:val="auto"/>
        </w:rPr>
        <w:t>ARTICLE XI</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REDEMPTION OF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1101. APPLICABILITY OF ARTICLE.</w:t>
      </w:r>
    </w:p>
    <w:p>
      <w:pPr>
        <w:spacing w:after="0" w:line="17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color w:val="auto"/>
        </w:rPr>
        <w:t>Securities of any series which are redeemable before their Stated Maturity shall be redeemable in accordance with their terms and (except as otherwise specified as contemplated by Section 301 for Securities of any series) in accordance with this Article.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1102. ELECTION TO REDEEM; NOTICE TO TRUSTEE.</w:t>
      </w:r>
    </w:p>
    <w:p>
      <w:pPr>
        <w:spacing w:after="0" w:line="17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3"/>
          <w:szCs w:val="13"/>
          <w:color w:val="auto"/>
        </w:rPr>
        <w:t>The election of the Company to redeem any Securities shall be evidenced by a Board Resolution. In case of any redemption at the election of the Company of less than all the Securities of any series, the Company shall, a reasonable period prior to the Redemption Date fixed by the Company (unless a shorter notice shall be satisfactory to the Trustee), notify the Trustee of such Redemption Date and of the principal amount of Securities of such series to be redeemed. In the case of any redemption of Securities prior to the expiration of any restriction on such redemption provided in the terms of such Securities or elsewhere in this Indenture, the Company shall furnish the Trustee with an Officers’ Certificate evidencing compliance with such restriction.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1103. SELECTION BY TRUSTEE OF SECURITIES TO BE REDEEMED.</w:t>
      </w:r>
    </w:p>
    <w:p>
      <w:pPr>
        <w:spacing w:after="0" w:line="17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3"/>
          <w:szCs w:val="13"/>
          <w:color w:val="auto"/>
        </w:rPr>
        <w:t>If less than all the Securities of any series are to be redeemed, the particular Securities to be redeemed shall be selected not more than 60 days prior to the Redemption Date by the Trustee, from the Outstanding Securities of such series not previously called for redemption, by such method as the Trustee shall deem fair and appropriate and that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 or of the principal amount of global Securities of such series.</w:t>
      </w:r>
    </w:p>
    <w:p>
      <w:pPr>
        <w:spacing w:after="0" w:line="13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color w:val="auto"/>
        </w:rPr>
        <w:t>The Trustee shall promptly notify the Company and the Security Registrar in writing of the Securities selected for redemption and, in the case of any Securities selected for partial redemption, the principal amount thereof to be redeemed.</w:t>
      </w:r>
    </w:p>
    <w:p>
      <w:pPr>
        <w:spacing w:after="0" w:line="114"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color w:val="auto"/>
        </w:rPr>
        <w:t>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1104. NOTICE OF REDEMPTION.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Notice of redemption shall be given in the manner provided in Section 107 to each Holder of Securities to be redeemed not less than 30 nor more than 60 days prior to the Redemption Date.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All notices of redemption shall state:</w:t>
      </w:r>
    </w:p>
    <w:p>
      <w:pPr>
        <w:spacing w:after="0" w:line="174" w:lineRule="exact"/>
        <w:rPr>
          <w:sz w:val="20"/>
          <w:szCs w:val="20"/>
          <w:color w:val="auto"/>
        </w:rPr>
      </w:pPr>
    </w:p>
    <w:p>
      <w:pPr>
        <w:ind w:left="240" w:hanging="239"/>
        <w:spacing w:after="0"/>
        <w:tabs>
          <w:tab w:leader="none" w:pos="240"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Redemption Date,</w:t>
      </w:r>
    </w:p>
    <w:p>
      <w:pPr>
        <w:spacing w:after="0" w:line="173" w:lineRule="exact"/>
        <w:rPr>
          <w:rFonts w:ascii="Times New Roman" w:cs="Times New Roman" w:eastAsia="Times New Roman" w:hAnsi="Times New Roman"/>
          <w:sz w:val="13"/>
          <w:szCs w:val="13"/>
          <w:color w:val="auto"/>
        </w:rPr>
      </w:pPr>
    </w:p>
    <w:p>
      <w:pPr>
        <w:ind w:left="240" w:hanging="239"/>
        <w:spacing w:after="0"/>
        <w:tabs>
          <w:tab w:leader="none" w:pos="240"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Redemption Price,</w:t>
      </w:r>
    </w:p>
    <w:p>
      <w:pPr>
        <w:spacing w:after="0" w:line="173" w:lineRule="exact"/>
        <w:rPr>
          <w:rFonts w:ascii="Times New Roman" w:cs="Times New Roman" w:eastAsia="Times New Roman" w:hAnsi="Times New Roman"/>
          <w:sz w:val="13"/>
          <w:szCs w:val="13"/>
          <w:color w:val="auto"/>
        </w:rPr>
      </w:pPr>
    </w:p>
    <w:p>
      <w:pPr>
        <w:ind w:left="240" w:hanging="239"/>
        <w:spacing w:after="0"/>
        <w:tabs>
          <w:tab w:leader="none" w:pos="240"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less than all the Outstanding Securities of any series are to be redeemed, the identification (and, in the case of partial redemption, the principal amounts) of the particular Securities to be redeemed,</w:t>
      </w:r>
    </w:p>
    <w:p>
      <w:pPr>
        <w:spacing w:after="0" w:line="173" w:lineRule="exact"/>
        <w:rPr>
          <w:rFonts w:ascii="Times New Roman" w:cs="Times New Roman" w:eastAsia="Times New Roman" w:hAnsi="Times New Roman"/>
          <w:sz w:val="13"/>
          <w:szCs w:val="13"/>
          <w:color w:val="auto"/>
        </w:rPr>
      </w:pPr>
    </w:p>
    <w:p>
      <w:pPr>
        <w:ind w:left="240" w:hanging="239"/>
        <w:spacing w:after="0"/>
        <w:tabs>
          <w:tab w:leader="none" w:pos="240"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on the Redemption Date the Redemption Price will become due and payable upon each such Security to be redeemed and, if applicable, that interest thereon will cease to accrue on and after said date,</w:t>
      </w:r>
    </w:p>
    <w:p>
      <w:pPr>
        <w:spacing w:after="0" w:line="173" w:lineRule="exact"/>
        <w:rPr>
          <w:rFonts w:ascii="Times New Roman" w:cs="Times New Roman" w:eastAsia="Times New Roman" w:hAnsi="Times New Roman"/>
          <w:sz w:val="13"/>
          <w:szCs w:val="13"/>
          <w:color w:val="auto"/>
        </w:rPr>
      </w:pPr>
    </w:p>
    <w:p>
      <w:pPr>
        <w:ind w:left="240" w:hanging="239"/>
        <w:spacing w:after="0"/>
        <w:tabs>
          <w:tab w:leader="none" w:pos="240"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place or places where such Securities are to be surrendered for payment of the Redemption Price,</w:t>
      </w:r>
    </w:p>
    <w:p>
      <w:pPr>
        <w:spacing w:after="0" w:line="173" w:lineRule="exact"/>
        <w:rPr>
          <w:rFonts w:ascii="Times New Roman" w:cs="Times New Roman" w:eastAsia="Times New Roman" w:hAnsi="Times New Roman"/>
          <w:sz w:val="13"/>
          <w:szCs w:val="13"/>
          <w:color w:val="auto"/>
        </w:rPr>
      </w:pPr>
    </w:p>
    <w:p>
      <w:pPr>
        <w:ind w:left="240" w:hanging="239"/>
        <w:spacing w:after="0"/>
        <w:tabs>
          <w:tab w:leader="none" w:pos="240"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the redemption is for a sinking fund, if such is the case, and</w:t>
      </w:r>
    </w:p>
    <w:p>
      <w:pPr>
        <w:spacing w:after="0" w:line="173" w:lineRule="exact"/>
        <w:rPr>
          <w:rFonts w:ascii="Times New Roman" w:cs="Times New Roman" w:eastAsia="Times New Roman" w:hAnsi="Times New Roman"/>
          <w:sz w:val="13"/>
          <w:szCs w:val="13"/>
          <w:color w:val="auto"/>
        </w:rPr>
      </w:pPr>
    </w:p>
    <w:p>
      <w:pPr>
        <w:ind w:left="240" w:hanging="239"/>
        <w:spacing w:after="0"/>
        <w:tabs>
          <w:tab w:leader="none" w:pos="240"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“CUSIP” number, if applicable.</w:t>
      </w:r>
    </w:p>
    <w:p>
      <w:pPr>
        <w:spacing w:after="0" w:line="17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3"/>
          <w:szCs w:val="13"/>
          <w:color w:val="auto"/>
        </w:rPr>
        <w:t>A notice of redemption as contemplated by Section 107 need not identify particular Registered Securities to be redeemed. Notice of redemption of Securities to be redeemed at the election of the Company shall be given by the Company or, at the Company’s request and provision to the Trustee of the notice information 10 days prior to delivery of the notice, by the Trustee in the name and at the expense of the Company.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2">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3"/>
          <w:szCs w:val="13"/>
          <w:b w:val="1"/>
          <w:bCs w:val="1"/>
          <w:color w:val="auto"/>
        </w:rPr>
        <w:t>SECTION 1105. DEPOSIT OF REDEMPTION PRICE.</w:t>
      </w:r>
    </w:p>
    <w:p>
      <w:pPr>
        <w:spacing w:after="0" w:line="17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3"/>
          <w:szCs w:val="13"/>
          <w:color w:val="auto"/>
        </w:rPr>
        <w:t>On or before 10:00 a.m., New York City time, on any Redemption Date, the Company shall deposit with the Trustee or with a Paying Agent (or, if the Company is acting as its own Paying Agent, segregate and hold in trust as provided in Section 1003) an amount of money sufficient to pay the Redemption Price of, and (except if the Redemption Date shall be an Interest Payment Date) accrued interest on and any Additional Amounts with respect to all the Securities to be redeemed on that date.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1106. SECURITIES PAYABLE ON REDEMPTION DATE.</w:t>
      </w:r>
    </w:p>
    <w:p>
      <w:pPr>
        <w:spacing w:after="0" w:line="17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3"/>
          <w:szCs w:val="13"/>
          <w:color w:val="auto"/>
        </w:rPr>
        <w:t xml:space="preserve">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interest. Upon surrender of any such Security for redemption in accordance with said notice, such Security shall be paid by the Company at the Redemption Price, together with accrued interest (and any Additional Amounts) to the Redemption Date;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installments of interest whose Stated Maturity is on or prior to the Redemption Date shall be payable to the Holders of such Securities, or one or more Predecessor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Securities, registered as such at the close of business on the relevant Record Dates according to their terms and the provisions of Section 307.</w:t>
      </w:r>
    </w:p>
    <w:p>
      <w:pPr>
        <w:spacing w:after="0" w:line="174"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color w:val="auto"/>
        </w:rPr>
        <w:t>If any Security called for redemption shall not be so paid upon surrender thereof for redemption, the principal (and premium, if any) shall, until paid, bear interest from the Redemption Date at the rate prescribed therefor in the Security or, in the case of Original Issue Discount Securities, the Securities’ Yield to Maturity.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1107. SECURITIES REDEEMED IN PART.</w:t>
      </w:r>
    </w:p>
    <w:p>
      <w:pPr>
        <w:spacing w:after="0" w:line="17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3"/>
          <w:szCs w:val="13"/>
          <w:color w:val="auto"/>
        </w:rPr>
        <w:t>Any Registered Security which is to be redeemed only in part shall be surrendered at a Place of Payment therefor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deliver to the Holder of such Security without service charge, a new Registered Security or Securities of the same series and Stated Maturity, of any authorized denomination as requested by such Holder, in aggregate principal amount equal to and in exchange for the unredeemed portion of the principal of the Security so surrendered.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1108. PURCHASE OF SECURITIES.</w:t>
      </w:r>
    </w:p>
    <w:p>
      <w:pPr>
        <w:spacing w:after="0" w:line="17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3"/>
          <w:szCs w:val="13"/>
          <w:color w:val="auto"/>
        </w:rPr>
        <w:t>Unless otherwise specified as contemplated by Section 301, the Company and any Affiliate of the Company may at any time purchase or otherwise acquire Securities in the open market or by private agreement. Such acquisition shall not operate as or be deemed for any purpose to be a redemption of the indebtedness represented by such Securities. Any Securities purchased or acquired by the Company may be delivered to the Trustee and, upon such delivery, the indebtedness represented thereby shall be deemed to be satisfied. Section 309 shall apply to all Securities so delivered.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XII</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SINKING FUNDS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1201. APPLICABILITY OF ARTICLE.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provisions of this Article shall be applicable to any sinking fund for the retirement of Securities of a series except as otherwise specified as contemplated by Section 301 for Securities of such series.</w:t>
      </w:r>
    </w:p>
    <w:p>
      <w:pPr>
        <w:spacing w:after="0" w:line="17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3"/>
          <w:szCs w:val="13"/>
          <w:color w:val="auto"/>
        </w:rPr>
        <w:t>The minimum amount of any sinking fund payment provided for by the terms of Securities of any series is herein referred to as a “</w:t>
      </w:r>
      <w:r>
        <w:rPr>
          <w:rFonts w:ascii="Times New Roman" w:cs="Times New Roman" w:eastAsia="Times New Roman" w:hAnsi="Times New Roman"/>
          <w:sz w:val="13"/>
          <w:szCs w:val="13"/>
          <w:i w:val="1"/>
          <w:iCs w:val="1"/>
          <w:color w:val="auto"/>
        </w:rPr>
        <w:t>mandatory sinking fund payment</w:t>
      </w:r>
      <w:r>
        <w:rPr>
          <w:rFonts w:ascii="Times New Roman" w:cs="Times New Roman" w:eastAsia="Times New Roman" w:hAnsi="Times New Roman"/>
          <w:sz w:val="13"/>
          <w:szCs w:val="13"/>
          <w:color w:val="auto"/>
        </w:rPr>
        <w:t>,” and any payment in excess of such minimum amount provided for by the terms of Securities of any series is herein referred to as an “</w:t>
      </w:r>
      <w:r>
        <w:rPr>
          <w:rFonts w:ascii="Times New Roman" w:cs="Times New Roman" w:eastAsia="Times New Roman" w:hAnsi="Times New Roman"/>
          <w:sz w:val="13"/>
          <w:szCs w:val="13"/>
          <w:i w:val="1"/>
          <w:iCs w:val="1"/>
          <w:color w:val="auto"/>
        </w:rPr>
        <w:t>optional sinking fund payment</w:t>
      </w:r>
      <w:r>
        <w:rPr>
          <w:rFonts w:ascii="Times New Roman" w:cs="Times New Roman" w:eastAsia="Times New Roman" w:hAnsi="Times New Roman"/>
          <w:sz w:val="13"/>
          <w:szCs w:val="13"/>
          <w:color w:val="auto"/>
        </w:rPr>
        <w:t>.” Unless otherwise provided by the terms of Securities of any series, the cash amount of any sinking fund payment may be subject to reduction as provided in Section 1202. Each sinking fund payment shall be applied to the redemption of Securities of any series as provided for by the terms of Securities of such series.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3">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3"/>
          <w:szCs w:val="13"/>
          <w:b w:val="1"/>
          <w:bCs w:val="1"/>
          <w:color w:val="auto"/>
        </w:rPr>
        <w:t>SECTION 1202. SATISFACTION OF SINKING FUND PAYMENTS WITH SECURITIES.</w:t>
      </w:r>
    </w:p>
    <w:p>
      <w:pPr>
        <w:spacing w:after="0" w:line="17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3"/>
          <w:szCs w:val="13"/>
          <w:color w:val="auto"/>
        </w:rPr>
        <w:t xml:space="preserve">The Company (1) may deliver Outstanding Securities of a series (other than any previously called for redemption), and (2) may apply as a credit Securities of a series which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such Securities have not been previously so credited. Such Securities shall be received and credited for such purpose by the Trustee at the Redemption Price specified in such Securities for redemption through operation of the sinking fund and the amount of such sinking payment shall be reduced accordingly.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1203. REDEMPTION OF SECURITIES FOR SINKING FUND.</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Not less than 45 days prior (unless a shorter period shall be satisfactory to the Trustee) to each sinking fund payment date for any series of Securities, the Company will deliver to the Trustee an Officers’ Certificate specifying the amount of the next ensuing sinking fund payment for that series pursuant to the terms of that series, the portion thereof, if any, which is to be satisfied by payment of cash and the portion thereof, if any, which is to be satisfied by delivery of or by crediting Securities of that series pursuant to Section 1202 and will also deliver to the Trustee any Securities to be so delivered. Not less than 30 days before each such sinking fund payment date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XIII</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MEETINGS OF HOLDERS OF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1301. PURPOSES FOR WHICH MEETINGS MAY BE CALLED.</w:t>
      </w:r>
    </w:p>
    <w:p>
      <w:pPr>
        <w:spacing w:after="0" w:line="17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color w:val="auto"/>
        </w:rPr>
        <w:t>A meeting of Holders of Securities of any or all series may be called at any time and from time to time pursuant to this Article to make, give or take any request, demand, authorization, direction, notice, consent, waiver or other action provided by this Indenture to be made, given or taken by Holders of Securities of such series.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1302. CALL, NOTICE AND PLACE OF MEETINGS.</w:t>
      </w:r>
    </w:p>
    <w:p>
      <w:pPr>
        <w:spacing w:after="0" w:line="178" w:lineRule="exact"/>
        <w:rPr>
          <w:sz w:val="20"/>
          <w:szCs w:val="20"/>
          <w:color w:val="auto"/>
        </w:rPr>
      </w:pPr>
    </w:p>
    <w:p>
      <w:pPr>
        <w:jc w:val="both"/>
        <w:ind w:left="240" w:hanging="239"/>
        <w:spacing w:after="0" w:line="279" w:lineRule="auto"/>
        <w:tabs>
          <w:tab w:leader="none" w:pos="240" w:val="left"/>
        </w:tabs>
        <w:numPr>
          <w:ilvl w:val="0"/>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may at any time call a meeting of Holders of Securities of any series for any purpose specified in Section 1301, to be held at such time and at such place in the Borough of Manhattan, the City of New York, or in any other location, as the Trustee shall determine. Notice of every meeting of Holders of Securities of any series, setting forth the time and the place of such meeting and in general terms the action proposed to be taken at such meeting, shall be given, in the manner provided in Section 107, not less than 20 nor more than 180 days prior to the date fixed for the meeting.</w:t>
      </w:r>
    </w:p>
    <w:p>
      <w:pPr>
        <w:spacing w:after="0" w:line="125" w:lineRule="exact"/>
        <w:rPr>
          <w:rFonts w:ascii="Times New Roman" w:cs="Times New Roman" w:eastAsia="Times New Roman" w:hAnsi="Times New Roman"/>
          <w:sz w:val="13"/>
          <w:szCs w:val="13"/>
          <w:color w:val="auto"/>
        </w:rPr>
      </w:pPr>
    </w:p>
    <w:p>
      <w:pPr>
        <w:jc w:val="both"/>
        <w:ind w:left="240" w:hanging="239"/>
        <w:spacing w:after="0" w:line="269" w:lineRule="auto"/>
        <w:tabs>
          <w:tab w:leader="none" w:pos="240" w:val="left"/>
        </w:tabs>
        <w:numPr>
          <w:ilvl w:val="0"/>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case at any time the Company, pursuant to a Board Resolution, or the Holders of at least 10% in aggregate principal amount of the Outstanding Securities of any series, shall have requested the Trustee for any such series to call a meeting of the Holders of Securities of such series for any purpose specified in Section 1301, by written request setting forth in reasonable detail the action proposed to be taken at the meeting, and the Trustee shall not have made the first publication of the notice of such meeting within 30 days after receipt of such request or shall not thereafter proceed to cause the meeting to be held as provided herein, then the Company or the Holders of Securities of such series in the amount above specified, as the case may be, may determine the time and the place in the Borough of Manhattan, the City of New York for such meeting and may call such meeting for such purposes by giving notice thereof as provided in Subsection (a) of this Section.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1303. PERSONS ENTITLED TO VOTE AT MEETINGS.</w:t>
      </w:r>
    </w:p>
    <w:p>
      <w:pPr>
        <w:spacing w:after="0" w:line="17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3"/>
          <w:szCs w:val="13"/>
          <w:color w:val="auto"/>
        </w:rPr>
        <w:t>To be entitled to vote at any meeting of Holders of Securities of any series, a Person shall be (1) a Holder of one or more Outstanding Securities of such series, or (2) a Person appointed by an instrument in writing as proxy for a Holder or Holders of one or more Outstanding Securities of such series by such Holder or Holders. The only Persons who shall be entitled to be present or to speak at any meeting of Holders of Securities of any series shall be the Persons entitled to vote at such meeting and their counsel, any representatives of the Trustee and its counsel and any representatives of the Company and its counsel.</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4">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3"/>
          <w:szCs w:val="13"/>
          <w:b w:val="1"/>
          <w:bCs w:val="1"/>
          <w:color w:val="auto"/>
        </w:rPr>
        <w:t>SECTION 1304. QUORUM; ACTION.</w:t>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3"/>
          <w:szCs w:val="13"/>
          <w:color w:val="auto"/>
        </w:rPr>
        <w:t>The Persons entitled to vote a majority in aggregate principal amount of the Outstanding Securities of a series shall constitute a quorum for a meeting of Holders of Securities of such series. In the absence of a quorum within 30 minutes of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any such adjourned meeting, such adjourned meeting may be further adjourned for a period of not less than 10 days as determined by the chairman of the meeting prior to the adjournment of such adjourned meeting. Subject to Section 1305(d), notice of the reconvening of any adjourned meeting shall be given as provided in Section 1302(a), except that such notice need be given only once not less than five days prior to the date on which the meeting is scheduled to be reconvened. Notice of the reconvening of an adjourned meeting shall state expressly that Persons entitled to vote a majority in principal amount of the Outstanding Securities of such series shall constitute a quorum.</w:t>
      </w:r>
    </w:p>
    <w:p>
      <w:pPr>
        <w:spacing w:after="0" w:line="29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3"/>
          <w:szCs w:val="13"/>
          <w:color w:val="auto"/>
        </w:rPr>
        <w:t xml:space="preserve">Except as limited by the proviso to Section 902, any resolution presented to a meeting or adjourned meeting duly reconvened at which a quorum is present as aforesaid may be adopted by the affirmative vote of the Holders of a majority in aggregate principal amount of the Outstanding Securities of that series;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except as limited by the proviso to Section 902, any resolution with respect to any request, demand, authorization, direction, notice, consent or waiver which this Indenture expressly provides may be made, given or taken by the Holders of a specified percentage that is less than a majority in aggregate principal amount of the Outstanding Securities of a series may be adopted at a meeting or an adjourned meeting duly reconvened and at which a quorum is present as aforesaid by the affirmative vote of the Holders of such specified percentage in aggregate principal amount of the Outstanding Securities of that series.</w:t>
      </w:r>
    </w:p>
    <w:p>
      <w:pPr>
        <w:spacing w:after="0" w:line="132"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color w:val="auto"/>
        </w:rPr>
        <w:t>Except as limited by the fourth paragraph of Section 902, any resolution passed or decision taken at any meeting of Holders of Securities of any series duly held in accordance with this Section shall be binding on all the Holders of Securities of such series, whether or not present or represented at the meeting.</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1305. DETERMINATION OF VOTING RIGHTS; CONDUCT AND ADJOURNMENT OF MEETINGS.</w:t>
      </w:r>
    </w:p>
    <w:p>
      <w:pPr>
        <w:spacing w:after="0" w:line="178" w:lineRule="exact"/>
        <w:rPr>
          <w:sz w:val="20"/>
          <w:szCs w:val="20"/>
          <w:color w:val="auto"/>
        </w:rPr>
      </w:pPr>
    </w:p>
    <w:p>
      <w:pPr>
        <w:ind w:left="240" w:hanging="239"/>
        <w:spacing w:after="0" w:line="298" w:lineRule="auto"/>
        <w:tabs>
          <w:tab w:leader="none" w:pos="240"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holding of Securities shall be proved in the manner specified in Section 105 and the appointment of any proxy shall be proved in the manner specified in Section 105. Such regulations may provide that written instruments appointing proxies, regular on their face, may be presumed valid and genuine without the proof specified in Section 105 or other proof.</w:t>
      </w:r>
    </w:p>
    <w:p>
      <w:pPr>
        <w:spacing w:after="0" w:line="113" w:lineRule="exact"/>
        <w:rPr>
          <w:rFonts w:ascii="Times New Roman" w:cs="Times New Roman" w:eastAsia="Times New Roman" w:hAnsi="Times New Roman"/>
          <w:sz w:val="13"/>
          <w:szCs w:val="13"/>
          <w:color w:val="auto"/>
        </w:rPr>
      </w:pPr>
    </w:p>
    <w:p>
      <w:pPr>
        <w:jc w:val="both"/>
        <w:ind w:left="240" w:hanging="239"/>
        <w:spacing w:after="0" w:line="279" w:lineRule="auto"/>
        <w:tabs>
          <w:tab w:leader="none" w:pos="240"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shall, by an instrument in writing, appoint a temporary chairman of the meeting, unless the meeting shall have been called by the Company or by Holders of Securities as provided in Section 1302(b), in which case the Company or the Holders of Securities of the series calling the meeting, as the case may be, shall appoint a temporary chairman. A permanent chairman and a permanent secretary of the meeting shall be elected by vote of the Persons entitled to vote a majority in aggregate principal amount of the Outstanding Securities of such series represented at the meeting.</w:t>
      </w:r>
    </w:p>
    <w:p>
      <w:pPr>
        <w:spacing w:after="0" w:line="125" w:lineRule="exact"/>
        <w:rPr>
          <w:rFonts w:ascii="Times New Roman" w:cs="Times New Roman" w:eastAsia="Times New Roman" w:hAnsi="Times New Roman"/>
          <w:sz w:val="13"/>
          <w:szCs w:val="13"/>
          <w:color w:val="auto"/>
        </w:rPr>
      </w:pPr>
    </w:p>
    <w:p>
      <w:pPr>
        <w:jc w:val="both"/>
        <w:ind w:left="240" w:hanging="239"/>
        <w:spacing w:after="0" w:line="272" w:lineRule="auto"/>
        <w:tabs>
          <w:tab w:leader="none" w:pos="240"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At any meeting each Holder of a Security of such series and each proxy shall be entitled to one vote for each $1,000 principal amount (or such other amount of the minimum denomination of any series of Securities as may be provided in the establishment of such series as contemplated by Section 301 hereof) of the Outstanding Securities of such series held or represented by him;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no vote shall be cast or counted at any meeting in respect of any Security challenged as not Outstanding and ruled by the chairman of the meeting to be not Outstanding. The chairman of the meeting shall have no right to vote, except as a Holder of a Security of such series or as a proxy.</w:t>
      </w:r>
    </w:p>
    <w:p>
      <w:pPr>
        <w:spacing w:after="0" w:line="130" w:lineRule="exact"/>
        <w:rPr>
          <w:rFonts w:ascii="Times New Roman" w:cs="Times New Roman" w:eastAsia="Times New Roman" w:hAnsi="Times New Roman"/>
          <w:sz w:val="13"/>
          <w:szCs w:val="13"/>
          <w:color w:val="auto"/>
        </w:rPr>
      </w:pPr>
    </w:p>
    <w:p>
      <w:pPr>
        <w:ind w:left="240" w:hanging="239"/>
        <w:spacing w:after="0" w:line="298" w:lineRule="auto"/>
        <w:tabs>
          <w:tab w:leader="none" w:pos="240"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meeting of Holders of Securities of any series duly called pursuant to Section 1302 at which a quorum is present may be adjourned from time to time by Persons entitled to vote a majority in aggregate principal amount of the Outstanding Securities of such series represented at the meeting; and the meeting may be held as so adjourned without further notice.</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5">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3"/>
          <w:szCs w:val="13"/>
          <w:b w:val="1"/>
          <w:bCs w:val="1"/>
          <w:color w:val="auto"/>
        </w:rPr>
        <w:t>SECTION 1306. COUNTING VOTES AND RECORDING ACTION OF MEETINGS.</w:t>
      </w:r>
    </w:p>
    <w:p>
      <w:pPr>
        <w:spacing w:after="0" w:line="17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3"/>
          <w:szCs w:val="13"/>
          <w:color w:val="auto"/>
        </w:rPr>
        <w:t>The vote upon any resolution submitted to any meeting of Holders of Securities of any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any series shall be prepared by the secretary of the meeting and there shall be attached to such record the original reports of the inspectors of votes on any vote by ballot taken thereat and affidavits by one or more Persons having knowledge of the facts setting forth a copy of the notice of the meeting and showing that such notice was given as provided in Section 1302 and, if applicable, Section 1304.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 * *</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6">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3"/>
          <w:szCs w:val="13"/>
          <w:color w:val="auto"/>
        </w:rPr>
        <w:t>This instrument may be executed in any number of counterparts, each of which so executed shall be deemed to be an original, but all such counterparts shall together constitute but one and the same instrument.</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[Signatures on following page]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WITNESS WHEREOF, the parties hereto have caused this Indenture to be duly executed as of the day and year first above written.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NAVITAS SEMICONDUCTOR CORPORATION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-93980</wp:posOffset>
            </wp:positionV>
            <wp:extent cx="3227070" cy="63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7">
                      <a:extLst>
                        <a:ext uri="{28A0092B-C50C-407E-A947-70E740481C1C}"/>
                      </a:extLst>
                    </a:blip>
                    <a:srcRect/>
                    <a:stretch>
                      <a:fillRect/>
                    </a:stretch>
                  </pic:blipFill>
                  <pic:spPr bwMode="auto">
                    <a:xfrm>
                      <a:off x="0" y="0"/>
                      <a:ext cx="3227070" cy="635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Title: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[TRUSTEE]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-93980</wp:posOffset>
            </wp:positionV>
            <wp:extent cx="3227070" cy="6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8">
                      <a:extLst>
                        <a:ext uri="{28A0092B-C50C-407E-A947-70E740481C1C}"/>
                      </a:extLst>
                    </a:blip>
                    <a:srcRect/>
                    <a:stretch>
                      <a:fillRect/>
                    </a:stretch>
                  </pic:blipFill>
                  <pic:spPr bwMode="auto">
                    <a:xfrm>
                      <a:off x="0" y="0"/>
                      <a:ext cx="3227070" cy="635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Title:</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9">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60"/>
          </w:cols>
          <w:pgMar w:left="300" w:top="713"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6"/>
          <w:szCs w:val="16"/>
          <w:color w:val="auto"/>
        </w:rPr>
        <w:t> </w:t>
      </w:r>
    </w:p>
    <w:p>
      <w:pPr>
        <w:spacing w:after="0" w:line="13"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6"/>
          <w:szCs w:val="16"/>
          <w:b w:val="1"/>
          <w:bCs w:val="1"/>
          <w:color w:val="auto"/>
        </w:rPr>
        <w:t>Exhibit 5.1</w:t>
      </w:r>
    </w:p>
    <w:p>
      <w:pPr>
        <w:spacing w:after="0"/>
        <w:rPr>
          <w:sz w:val="20"/>
          <w:szCs w:val="20"/>
          <w:color w:val="auto"/>
        </w:rPr>
      </w:pPr>
      <w:r>
        <w:rPr>
          <w:rFonts w:ascii="Times New Roman" w:cs="Times New Roman" w:eastAsia="Times New Roman" w:hAnsi="Times New Roman"/>
          <w:sz w:val="16"/>
          <w:szCs w:val="16"/>
          <w:color w:val="auto"/>
        </w:rPr>
        <w:t> </w:t>
      </w:r>
    </w:p>
    <w:p>
      <w:pPr>
        <w:spacing w:after="0" w:line="1" w:lineRule="exact"/>
        <w:rPr>
          <w:sz w:val="20"/>
          <w:szCs w:val="20"/>
          <w:color w:val="auto"/>
        </w:rPr>
      </w:pPr>
    </w:p>
    <w:p>
      <w:pPr>
        <w:jc w:val="right"/>
        <w:spacing w:after="0"/>
        <w:rPr>
          <w:sz w:val="20"/>
          <w:szCs w:val="20"/>
          <w:color w:val="auto"/>
        </w:rPr>
      </w:pPr>
      <w:r>
        <w:rPr>
          <w:sz w:val="1"/>
          <w:szCs w:val="1"/>
          <w:color w:val="auto"/>
        </w:rPr>
        <w:drawing>
          <wp:inline distT="0" distB="0" distL="0" distR="0">
            <wp:extent cx="1212850" cy="34036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0">
                      <a:extLst>
                        <a:ext uri="{28A0092B-C50C-407E-A947-70E740481C1C}"/>
                      </a:extLst>
                    </a:blip>
                    <a:srcRect/>
                    <a:stretch>
                      <a:fillRect/>
                    </a:stretch>
                  </pic:blipFill>
                  <pic:spPr bwMode="auto">
                    <a:xfrm>
                      <a:off x="0" y="0"/>
                      <a:ext cx="1212850" cy="340360"/>
                    </a:xfrm>
                    <a:prstGeom prst="rect">
                      <a:avLst/>
                    </a:prstGeom>
                    <a:noFill/>
                    <a:ln>
                      <a:noFill/>
                    </a:ln>
                  </pic:spPr>
                </pic:pic>
              </a:graphicData>
            </a:graphic>
          </wp:inline>
        </w:drawing>
      </w:r>
      <w:r>
        <w:rPr>
          <w:rFonts w:ascii="Times New Roman" w:cs="Times New Roman" w:eastAsia="Times New Roman" w:hAnsi="Times New Roman"/>
          <w:sz w:val="13"/>
          <w:szCs w:val="13"/>
          <w:color w:val="FF0000"/>
        </w:rPr>
        <w:t> </w:t>
      </w:r>
    </w:p>
    <w:p>
      <w:pPr>
        <w:spacing w:after="0" w:line="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FF0000"/>
        </w:rPr>
        <w:t> </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June 8, 2026</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Navitas Semiconductor Corporation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3520 Challenger Street</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Torrance, California 90503-1640</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Re: </w:t>
      </w:r>
      <w:r>
        <w:rPr>
          <w:rFonts w:ascii="Times New Roman" w:cs="Times New Roman" w:eastAsia="Times New Roman" w:hAnsi="Times New Roman"/>
          <w:sz w:val="13"/>
          <w:szCs w:val="13"/>
          <w:u w:val="single" w:color="auto"/>
          <w:color w:val="auto"/>
        </w:rPr>
        <w:t>Registration Statement on Form S-3ASR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Ladies and Gentlemen: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12"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3"/>
          <w:szCs w:val="13"/>
          <w:color w:val="auto"/>
        </w:rPr>
        <w:t>We have acted as counsel for Navitas Semiconductor Corporation, a Delaware corporation (the “</w:t>
      </w:r>
      <w:r>
        <w:rPr>
          <w:rFonts w:ascii="Times New Roman" w:cs="Times New Roman" w:eastAsia="Times New Roman" w:hAnsi="Times New Roman"/>
          <w:sz w:val="13"/>
          <w:szCs w:val="13"/>
          <w:i w:val="1"/>
          <w:iCs w:val="1"/>
          <w:color w:val="auto"/>
        </w:rPr>
        <w:t>Company</w:t>
      </w:r>
      <w:r>
        <w:rPr>
          <w:rFonts w:ascii="Times New Roman" w:cs="Times New Roman" w:eastAsia="Times New Roman" w:hAnsi="Times New Roman"/>
          <w:sz w:val="13"/>
          <w:szCs w:val="13"/>
          <w:color w:val="auto"/>
        </w:rPr>
        <w:t>”), in connection with the Company’s filing on the date hereof with the Securities and Exchange Commission (the “</w:t>
      </w:r>
      <w:r>
        <w:rPr>
          <w:rFonts w:ascii="Times New Roman" w:cs="Times New Roman" w:eastAsia="Times New Roman" w:hAnsi="Times New Roman"/>
          <w:sz w:val="13"/>
          <w:szCs w:val="13"/>
          <w:i w:val="1"/>
          <w:iCs w:val="1"/>
          <w:color w:val="auto"/>
        </w:rPr>
        <w:t>Commission</w:t>
      </w:r>
      <w:r>
        <w:rPr>
          <w:rFonts w:ascii="Times New Roman" w:cs="Times New Roman" w:eastAsia="Times New Roman" w:hAnsi="Times New Roman"/>
          <w:sz w:val="13"/>
          <w:szCs w:val="13"/>
          <w:color w:val="auto"/>
        </w:rPr>
        <w:t>”) of a Registration Statement on Form S-3ASR (such registration statement, including the documents incorporated by reference therein, as amended or supplemented, the “</w:t>
      </w:r>
      <w:r>
        <w:rPr>
          <w:rFonts w:ascii="Times New Roman" w:cs="Times New Roman" w:eastAsia="Times New Roman" w:hAnsi="Times New Roman"/>
          <w:sz w:val="13"/>
          <w:szCs w:val="13"/>
          <w:i w:val="1"/>
          <w:iCs w:val="1"/>
          <w:color w:val="auto"/>
        </w:rPr>
        <w:t>Registration Statement</w:t>
      </w:r>
      <w:r>
        <w:rPr>
          <w:rFonts w:ascii="Times New Roman" w:cs="Times New Roman" w:eastAsia="Times New Roman" w:hAnsi="Times New Roman"/>
          <w:sz w:val="13"/>
          <w:szCs w:val="13"/>
          <w:color w:val="auto"/>
        </w:rPr>
        <w:t>”), including the base prospectus contained therein, relating to the registration under the Securities Act of 1933, as amended (the “</w:t>
      </w:r>
      <w:r>
        <w:rPr>
          <w:rFonts w:ascii="Times New Roman" w:cs="Times New Roman" w:eastAsia="Times New Roman" w:hAnsi="Times New Roman"/>
          <w:sz w:val="13"/>
          <w:szCs w:val="13"/>
          <w:i w:val="1"/>
          <w:iCs w:val="1"/>
          <w:color w:val="auto"/>
        </w:rPr>
        <w:t>Securities Act</w:t>
      </w:r>
      <w:r>
        <w:rPr>
          <w:rFonts w:ascii="Times New Roman" w:cs="Times New Roman" w:eastAsia="Times New Roman" w:hAnsi="Times New Roman"/>
          <w:sz w:val="13"/>
          <w:szCs w:val="13"/>
          <w:color w:val="auto"/>
        </w:rPr>
        <w:t>”), of the issuance and sale from time to time by the Company of an indeterminate number of the following securities (collectively, the “</w:t>
      </w:r>
      <w:r>
        <w:rPr>
          <w:rFonts w:ascii="Times New Roman" w:cs="Times New Roman" w:eastAsia="Times New Roman" w:hAnsi="Times New Roman"/>
          <w:sz w:val="13"/>
          <w:szCs w:val="13"/>
          <w:i w:val="1"/>
          <w:iCs w:val="1"/>
          <w:color w:val="auto"/>
        </w:rPr>
        <w:t>Securities</w:t>
      </w:r>
      <w:r>
        <w:rPr>
          <w:rFonts w:ascii="Times New Roman" w:cs="Times New Roman" w:eastAsia="Times New Roman" w:hAnsi="Times New Roman"/>
          <w:sz w:val="13"/>
          <w:szCs w:val="13"/>
          <w:color w:val="auto"/>
        </w:rPr>
        <w:t>”): (i) shares of common stock (“</w:t>
      </w:r>
      <w:r>
        <w:rPr>
          <w:rFonts w:ascii="Times New Roman" w:cs="Times New Roman" w:eastAsia="Times New Roman" w:hAnsi="Times New Roman"/>
          <w:sz w:val="13"/>
          <w:szCs w:val="13"/>
          <w:i w:val="1"/>
          <w:iCs w:val="1"/>
          <w:color w:val="auto"/>
        </w:rPr>
        <w:t>Common Stock</w:t>
      </w:r>
      <w:r>
        <w:rPr>
          <w:rFonts w:ascii="Times New Roman" w:cs="Times New Roman" w:eastAsia="Times New Roman" w:hAnsi="Times New Roman"/>
          <w:sz w:val="13"/>
          <w:szCs w:val="13"/>
          <w:color w:val="auto"/>
        </w:rPr>
        <w:t>”); (ii) shares of preferred stock (“</w:t>
      </w:r>
      <w:r>
        <w:rPr>
          <w:rFonts w:ascii="Times New Roman" w:cs="Times New Roman" w:eastAsia="Times New Roman" w:hAnsi="Times New Roman"/>
          <w:sz w:val="13"/>
          <w:szCs w:val="13"/>
          <w:i w:val="1"/>
          <w:iCs w:val="1"/>
          <w:color w:val="auto"/>
        </w:rPr>
        <w:t>Preferred Stock</w:t>
      </w:r>
      <w:r>
        <w:rPr>
          <w:rFonts w:ascii="Times New Roman" w:cs="Times New Roman" w:eastAsia="Times New Roman" w:hAnsi="Times New Roman"/>
          <w:sz w:val="13"/>
          <w:szCs w:val="13"/>
          <w:color w:val="auto"/>
        </w:rPr>
        <w:t>”);</w:t>
      </w:r>
    </w:p>
    <w:p>
      <w:pPr>
        <w:spacing w:after="0" w:line="1" w:lineRule="exact"/>
        <w:rPr>
          <w:sz w:val="20"/>
          <w:szCs w:val="20"/>
          <w:color w:val="auto"/>
        </w:rPr>
      </w:pPr>
    </w:p>
    <w:p>
      <w:pPr>
        <w:jc w:val="both"/>
        <w:ind w:right="20" w:firstLine="1"/>
        <w:spacing w:after="0" w:line="259" w:lineRule="auto"/>
        <w:tabs>
          <w:tab w:leader="none" w:pos="238" w:val="left"/>
        </w:tabs>
        <w:numPr>
          <w:ilvl w:val="0"/>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debt securities in one or more series (“</w:t>
      </w:r>
      <w:r>
        <w:rPr>
          <w:rFonts w:ascii="Times New Roman" w:cs="Times New Roman" w:eastAsia="Times New Roman" w:hAnsi="Times New Roman"/>
          <w:sz w:val="13"/>
          <w:szCs w:val="13"/>
          <w:i w:val="1"/>
          <w:iCs w:val="1"/>
          <w:color w:val="auto"/>
        </w:rPr>
        <w:t>Debt Securities</w:t>
      </w:r>
      <w:r>
        <w:rPr>
          <w:rFonts w:ascii="Times New Roman" w:cs="Times New Roman" w:eastAsia="Times New Roman" w:hAnsi="Times New Roman"/>
          <w:sz w:val="13"/>
          <w:szCs w:val="13"/>
          <w:color w:val="auto"/>
        </w:rPr>
        <w:t>”); (iv) warrants to purchase Common Stock, Preferred Stock or Debt Securities (“</w:t>
      </w:r>
      <w:r>
        <w:rPr>
          <w:rFonts w:ascii="Times New Roman" w:cs="Times New Roman" w:eastAsia="Times New Roman" w:hAnsi="Times New Roman"/>
          <w:sz w:val="13"/>
          <w:szCs w:val="13"/>
          <w:i w:val="1"/>
          <w:iCs w:val="1"/>
          <w:color w:val="auto"/>
        </w:rPr>
        <w:t>Warrants</w:t>
      </w:r>
      <w:r>
        <w:rPr>
          <w:rFonts w:ascii="Times New Roman" w:cs="Times New Roman" w:eastAsia="Times New Roman" w:hAnsi="Times New Roman"/>
          <w:sz w:val="13"/>
          <w:szCs w:val="13"/>
          <w:color w:val="auto"/>
        </w:rPr>
        <w:t>”); (v) rights to purchase Common Stock, Preferred Stock or Debt Securities (“</w:t>
      </w:r>
      <w:r>
        <w:rPr>
          <w:rFonts w:ascii="Times New Roman" w:cs="Times New Roman" w:eastAsia="Times New Roman" w:hAnsi="Times New Roman"/>
          <w:sz w:val="13"/>
          <w:szCs w:val="13"/>
          <w:i w:val="1"/>
          <w:iCs w:val="1"/>
          <w:color w:val="auto"/>
        </w:rPr>
        <w:t>Rights</w:t>
      </w:r>
      <w:r>
        <w:rPr>
          <w:rFonts w:ascii="Times New Roman" w:cs="Times New Roman" w:eastAsia="Times New Roman" w:hAnsi="Times New Roman"/>
          <w:sz w:val="13"/>
          <w:szCs w:val="13"/>
          <w:color w:val="auto"/>
        </w:rPr>
        <w:t>”); (vi) units composed of two or more securities registered under the Registration Statement (“</w:t>
      </w:r>
      <w:r>
        <w:rPr>
          <w:rFonts w:ascii="Times New Roman" w:cs="Times New Roman" w:eastAsia="Times New Roman" w:hAnsi="Times New Roman"/>
          <w:sz w:val="13"/>
          <w:szCs w:val="13"/>
          <w:i w:val="1"/>
          <w:iCs w:val="1"/>
          <w:color w:val="auto"/>
        </w:rPr>
        <w:t>Units</w:t>
      </w:r>
      <w:r>
        <w:rPr>
          <w:rFonts w:ascii="Times New Roman" w:cs="Times New Roman" w:eastAsia="Times New Roman" w:hAnsi="Times New Roman"/>
          <w:sz w:val="13"/>
          <w:szCs w:val="13"/>
          <w:color w:val="auto"/>
        </w:rPr>
        <w:t>”); and (vii) such indeterminate amount of shares of Common Stock and Preferred Stock as may be issued upon conversion, exchange or exercise of the Securities registered pursuant to the Registration Statement.</w:t>
      </w:r>
    </w:p>
    <w:p>
      <w:pPr>
        <w:spacing w:after="0" w:line="1" w:lineRule="exact"/>
        <w:rPr>
          <w:rFonts w:ascii="Times New Roman" w:cs="Times New Roman" w:eastAsia="Times New Roman" w:hAnsi="Times New Roman"/>
          <w:sz w:val="13"/>
          <w:szCs w:val="13"/>
          <w:color w:val="auto"/>
        </w:rPr>
      </w:pP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w:t>
      </w:r>
    </w:p>
    <w:p>
      <w:pPr>
        <w:spacing w:after="0" w:line="12" w:lineRule="exact"/>
        <w:rPr>
          <w:rFonts w:ascii="Times New Roman" w:cs="Times New Roman" w:eastAsia="Times New Roman" w:hAnsi="Times New Roman"/>
          <w:sz w:val="13"/>
          <w:szCs w:val="13"/>
          <w:color w:val="auto"/>
        </w:rPr>
      </w:pP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opinion is being furnished in connection with the requirements of Item 601(b)(5) of Regulation S-K under the Securities Act.</w:t>
      </w:r>
    </w:p>
    <w:p>
      <w:pPr>
        <w:spacing w:after="0" w:line="12" w:lineRule="exact"/>
        <w:rPr>
          <w:rFonts w:ascii="Times New Roman" w:cs="Times New Roman" w:eastAsia="Times New Roman" w:hAnsi="Times New Roman"/>
          <w:sz w:val="13"/>
          <w:szCs w:val="13"/>
          <w:color w:val="auto"/>
        </w:rPr>
      </w:pP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w:t>
      </w:r>
    </w:p>
    <w:p>
      <w:pPr>
        <w:spacing w:after="0" w:line="12" w:lineRule="exact"/>
        <w:rPr>
          <w:rFonts w:ascii="Times New Roman" w:cs="Times New Roman" w:eastAsia="Times New Roman" w:hAnsi="Times New Roman"/>
          <w:sz w:val="13"/>
          <w:szCs w:val="13"/>
          <w:color w:val="auto"/>
        </w:rPr>
      </w:pPr>
    </w:p>
    <w:p>
      <w:pPr>
        <w:jc w:val="both"/>
        <w:ind w:right="20"/>
        <w:spacing w:after="0" w:line="262"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Preferred Stock will be issued in one or more series and the relative powers, designations, preferences, rights and qualifications, limitations or restrictions of such Preferred Stock will be set forth in one or more certificates of designation (each, a “</w:t>
      </w:r>
      <w:r>
        <w:rPr>
          <w:rFonts w:ascii="Times New Roman" w:cs="Times New Roman" w:eastAsia="Times New Roman" w:hAnsi="Times New Roman"/>
          <w:sz w:val="13"/>
          <w:szCs w:val="13"/>
          <w:i w:val="1"/>
          <w:iCs w:val="1"/>
          <w:color w:val="auto"/>
        </w:rPr>
        <w:t>Certificate of Designation</w:t>
      </w:r>
      <w:r>
        <w:rPr>
          <w:rFonts w:ascii="Times New Roman" w:cs="Times New Roman" w:eastAsia="Times New Roman" w:hAnsi="Times New Roman"/>
          <w:sz w:val="13"/>
          <w:szCs w:val="13"/>
          <w:color w:val="auto"/>
        </w:rPr>
        <w:t>”). The Debt Securities will be issued pursuant to an indenture (the “</w:t>
      </w:r>
      <w:r>
        <w:rPr>
          <w:rFonts w:ascii="Times New Roman" w:cs="Times New Roman" w:eastAsia="Times New Roman" w:hAnsi="Times New Roman"/>
          <w:sz w:val="13"/>
          <w:szCs w:val="13"/>
          <w:i w:val="1"/>
          <w:iCs w:val="1"/>
          <w:color w:val="auto"/>
        </w:rPr>
        <w:t>Indenture</w:t>
      </w:r>
      <w:r>
        <w:rPr>
          <w:rFonts w:ascii="Times New Roman" w:cs="Times New Roman" w:eastAsia="Times New Roman" w:hAnsi="Times New Roman"/>
          <w:sz w:val="13"/>
          <w:szCs w:val="13"/>
          <w:color w:val="auto"/>
        </w:rPr>
        <w:t>”) between the Company and a trustee (the “</w:t>
      </w:r>
      <w:r>
        <w:rPr>
          <w:rFonts w:ascii="Times New Roman" w:cs="Times New Roman" w:eastAsia="Times New Roman" w:hAnsi="Times New Roman"/>
          <w:sz w:val="13"/>
          <w:szCs w:val="13"/>
          <w:i w:val="1"/>
          <w:iCs w:val="1"/>
          <w:color w:val="auto"/>
        </w:rPr>
        <w:t>Trustee</w:t>
      </w:r>
      <w:r>
        <w:rPr>
          <w:rFonts w:ascii="Times New Roman" w:cs="Times New Roman" w:eastAsia="Times New Roman" w:hAnsi="Times New Roman"/>
          <w:sz w:val="13"/>
          <w:szCs w:val="13"/>
          <w:color w:val="auto"/>
        </w:rPr>
        <w:t>”), a form of which is filed as an exhibit to the Registration Statement. The Warrants will be issued under one or more warrant agreements (each, a “</w:t>
      </w:r>
      <w:r>
        <w:rPr>
          <w:rFonts w:ascii="Times New Roman" w:cs="Times New Roman" w:eastAsia="Times New Roman" w:hAnsi="Times New Roman"/>
          <w:sz w:val="13"/>
          <w:szCs w:val="13"/>
          <w:i w:val="1"/>
          <w:iCs w:val="1"/>
          <w:color w:val="auto"/>
        </w:rPr>
        <w:t>Warrant Agreement</w:t>
      </w:r>
      <w:r>
        <w:rPr>
          <w:rFonts w:ascii="Times New Roman" w:cs="Times New Roman" w:eastAsia="Times New Roman" w:hAnsi="Times New Roman"/>
          <w:sz w:val="13"/>
          <w:szCs w:val="13"/>
          <w:color w:val="auto"/>
        </w:rPr>
        <w:t>”), each to be entered into between the Company and a financial institution identified therein as the warrant agent (each, a “</w:t>
      </w:r>
      <w:r>
        <w:rPr>
          <w:rFonts w:ascii="Times New Roman" w:cs="Times New Roman" w:eastAsia="Times New Roman" w:hAnsi="Times New Roman"/>
          <w:sz w:val="13"/>
          <w:szCs w:val="13"/>
          <w:i w:val="1"/>
          <w:iCs w:val="1"/>
          <w:color w:val="auto"/>
        </w:rPr>
        <w:t>Warrant Agent</w:t>
      </w:r>
      <w:r>
        <w:rPr>
          <w:rFonts w:ascii="Times New Roman" w:cs="Times New Roman" w:eastAsia="Times New Roman" w:hAnsi="Times New Roman"/>
          <w:sz w:val="13"/>
          <w:szCs w:val="13"/>
          <w:color w:val="auto"/>
        </w:rPr>
        <w:t>”). The Rights will be issued under one or more rights agreements (each, a “</w:t>
      </w:r>
      <w:r>
        <w:rPr>
          <w:rFonts w:ascii="Times New Roman" w:cs="Times New Roman" w:eastAsia="Times New Roman" w:hAnsi="Times New Roman"/>
          <w:sz w:val="13"/>
          <w:szCs w:val="13"/>
          <w:i w:val="1"/>
          <w:iCs w:val="1"/>
          <w:color w:val="auto"/>
        </w:rPr>
        <w:t>Rights Agreement</w:t>
      </w:r>
      <w:r>
        <w:rPr>
          <w:rFonts w:ascii="Times New Roman" w:cs="Times New Roman" w:eastAsia="Times New Roman" w:hAnsi="Times New Roman"/>
          <w:sz w:val="13"/>
          <w:szCs w:val="13"/>
          <w:color w:val="auto"/>
        </w:rPr>
        <w:t>”), each to be entered into between the Company and a financial institution identified therein as the rights agent (each, a “</w:t>
      </w:r>
      <w:r>
        <w:rPr>
          <w:rFonts w:ascii="Times New Roman" w:cs="Times New Roman" w:eastAsia="Times New Roman" w:hAnsi="Times New Roman"/>
          <w:sz w:val="13"/>
          <w:szCs w:val="13"/>
          <w:i w:val="1"/>
          <w:iCs w:val="1"/>
          <w:color w:val="auto"/>
        </w:rPr>
        <w:t>Rights Agent</w:t>
      </w:r>
      <w:r>
        <w:rPr>
          <w:rFonts w:ascii="Times New Roman" w:cs="Times New Roman" w:eastAsia="Times New Roman" w:hAnsi="Times New Roman"/>
          <w:sz w:val="13"/>
          <w:szCs w:val="13"/>
          <w:color w:val="auto"/>
        </w:rPr>
        <w:t>”). The Units will be issued under one or more unit agreements (each, a “</w:t>
      </w:r>
      <w:r>
        <w:rPr>
          <w:rFonts w:ascii="Times New Roman" w:cs="Times New Roman" w:eastAsia="Times New Roman" w:hAnsi="Times New Roman"/>
          <w:sz w:val="13"/>
          <w:szCs w:val="13"/>
          <w:i w:val="1"/>
          <w:iCs w:val="1"/>
          <w:color w:val="auto"/>
        </w:rPr>
        <w:t>Unit Agreement</w:t>
      </w:r>
      <w:r>
        <w:rPr>
          <w:rFonts w:ascii="Times New Roman" w:cs="Times New Roman" w:eastAsia="Times New Roman" w:hAnsi="Times New Roman"/>
          <w:sz w:val="13"/>
          <w:szCs w:val="13"/>
          <w:color w:val="auto"/>
        </w:rPr>
        <w:t>”), each to be entered into between the Company and a financial institution identified therein as the unit agent (each, a “</w:t>
      </w:r>
      <w:r>
        <w:rPr>
          <w:rFonts w:ascii="Times New Roman" w:cs="Times New Roman" w:eastAsia="Times New Roman" w:hAnsi="Times New Roman"/>
          <w:sz w:val="13"/>
          <w:szCs w:val="13"/>
          <w:i w:val="1"/>
          <w:iCs w:val="1"/>
          <w:color w:val="auto"/>
        </w:rPr>
        <w:t>Unit Agent</w:t>
      </w:r>
      <w:r>
        <w:rPr>
          <w:rFonts w:ascii="Times New Roman" w:cs="Times New Roman" w:eastAsia="Times New Roman" w:hAnsi="Times New Roman"/>
          <w:sz w:val="13"/>
          <w:szCs w:val="13"/>
          <w:color w:val="auto"/>
        </w:rPr>
        <w:t>”). Each Certificate of Designation, Warrant Agreement and Unit Agreement, as applicable, will be in a form to be filed as an exhibit to a post-effective amendment to the Registration Statement or as an exhibit to a Current Report on Form 8-K to be filed by the Company in connection with a specific offering and incorporated by reference into the Registration Statement. The Indenture, any Certificate of Designation, any Warrant Agreement, any Rights Agreement and any Unit Agreement are hereinafter referred to as the “</w:t>
      </w:r>
      <w:r>
        <w:rPr>
          <w:rFonts w:ascii="Times New Roman" w:cs="Times New Roman" w:eastAsia="Times New Roman" w:hAnsi="Times New Roman"/>
          <w:sz w:val="13"/>
          <w:szCs w:val="13"/>
          <w:i w:val="1"/>
          <w:iCs w:val="1"/>
          <w:color w:val="auto"/>
        </w:rPr>
        <w:t>Securities Documents</w:t>
      </w:r>
      <w:r>
        <w:rPr>
          <w:rFonts w:ascii="Times New Roman" w:cs="Times New Roman" w:eastAsia="Times New Roman" w:hAnsi="Times New Roman"/>
          <w:sz w:val="13"/>
          <w:szCs w:val="13"/>
          <w:color w:val="auto"/>
        </w:rPr>
        <w:t>.”</w:t>
      </w:r>
    </w:p>
    <w:p>
      <w:pPr>
        <w:spacing w:after="0" w:line="149" w:lineRule="exact"/>
        <w:rPr>
          <w:rFonts w:ascii="Times New Roman" w:cs="Times New Roman" w:eastAsia="Times New Roman" w:hAnsi="Times New Roman"/>
          <w:sz w:val="13"/>
          <w:szCs w:val="13"/>
          <w:color w:val="auto"/>
        </w:rPr>
      </w:pP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w:t>
      </w:r>
    </w:p>
    <w:p>
      <w:pPr>
        <w:spacing w:after="0" w:line="12" w:lineRule="exact"/>
        <w:rPr>
          <w:rFonts w:ascii="Times New Roman" w:cs="Times New Roman" w:eastAsia="Times New Roman" w:hAnsi="Times New Roman"/>
          <w:sz w:val="13"/>
          <w:szCs w:val="13"/>
          <w:color w:val="auto"/>
        </w:rPr>
      </w:pPr>
    </w:p>
    <w:p>
      <w:pPr>
        <w:jc w:val="both"/>
        <w:ind w:right="20"/>
        <w:spacing w:after="0" w:line="259"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rendering the opinions set forth below, we have examined and are familiar with originals or copies, certified or otherwise identified to our satisfaction, of: (a) the Second Amended and Restated Certificate of Incorporation of the Company, as in effect on the date hereof, together with all amendments thereto adopted through the date hereof (the “</w:t>
      </w:r>
      <w:r>
        <w:rPr>
          <w:rFonts w:ascii="Times New Roman" w:cs="Times New Roman" w:eastAsia="Times New Roman" w:hAnsi="Times New Roman"/>
          <w:sz w:val="13"/>
          <w:szCs w:val="13"/>
          <w:i w:val="1"/>
          <w:iCs w:val="1"/>
          <w:color w:val="auto"/>
        </w:rPr>
        <w:t>Certificate of Incorporation</w:t>
      </w:r>
      <w:r>
        <w:rPr>
          <w:rFonts w:ascii="Times New Roman" w:cs="Times New Roman" w:eastAsia="Times New Roman" w:hAnsi="Times New Roman"/>
          <w:sz w:val="13"/>
          <w:szCs w:val="13"/>
          <w:color w:val="auto"/>
        </w:rPr>
        <w:t>”); (b) the Amended and Restated Bylaws of the Company, as amended, as in effect on the date hereof (the “</w:t>
      </w:r>
      <w:r>
        <w:rPr>
          <w:rFonts w:ascii="Times New Roman" w:cs="Times New Roman" w:eastAsia="Times New Roman" w:hAnsi="Times New Roman"/>
          <w:sz w:val="13"/>
          <w:szCs w:val="13"/>
          <w:i w:val="1"/>
          <w:iCs w:val="1"/>
          <w:color w:val="auto"/>
        </w:rPr>
        <w:t>Bylaws</w:t>
      </w:r>
      <w:r>
        <w:rPr>
          <w:rFonts w:ascii="Times New Roman" w:cs="Times New Roman" w:eastAsia="Times New Roman" w:hAnsi="Times New Roman"/>
          <w:sz w:val="13"/>
          <w:szCs w:val="13"/>
          <w:color w:val="auto"/>
        </w:rPr>
        <w:t>”); (c) the Registration Statement and all exhibits thereto, including the base prospectus contained therein; (d) the Indenture; and (e) such other documents as we have deemed necessary or appropriate as a basis for the opinion set forth below.</w:t>
      </w:r>
    </w:p>
    <w:p>
      <w:pPr>
        <w:spacing w:after="0" w:line="1" w:lineRule="exact"/>
        <w:rPr>
          <w:rFonts w:ascii="Times New Roman" w:cs="Times New Roman" w:eastAsia="Times New Roman" w:hAnsi="Times New Roman"/>
          <w:sz w:val="13"/>
          <w:szCs w:val="13"/>
          <w:color w:val="auto"/>
        </w:rPr>
      </w:pP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66610" cy="63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1">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3"/>
          <w:szCs w:val="13"/>
          <w:color w:val="auto"/>
        </w:rPr>
        <w:t>Page 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our examination, we have assumed: (a) the legal capacity of all natural persons; (b) the genuineness of all signatures; (c) the authenticity of all documents submitted to us as originals; (d) the conformity to</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original documents of all documents submitted to us as certified or photostatic copies, (e) the authenticity of the originals of such latter documents; (f) that each of the Securities Documents will be the legal,</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valid and binding obligation of each party thereto, other than the Company, enforceable against each such party in accordance with its terms; and (g) that each of the Securities Documents, other than the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Certificate of Designation, will be governed by New York law. As to any facts material to the opinions expressed herein that we did not independently establish or verify, we have relied upon oral or written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statements and representations of officers and other representatives of the Company and others.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Based upon the foregoing, and subject to the qualifications, assumptions and limitations stated herein, we are of the opinion that:</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12" w:lineRule="exact"/>
        <w:rPr>
          <w:sz w:val="20"/>
          <w:szCs w:val="20"/>
          <w:color w:val="auto"/>
        </w:rPr>
      </w:pPr>
    </w:p>
    <w:p>
      <w:pPr>
        <w:jc w:val="both"/>
        <w:ind w:firstLine="485"/>
        <w:spacing w:after="0" w:line="266" w:lineRule="auto"/>
        <w:rPr>
          <w:sz w:val="20"/>
          <w:szCs w:val="20"/>
          <w:color w:val="auto"/>
        </w:rPr>
      </w:pPr>
      <w:r>
        <w:rPr>
          <w:rFonts w:ascii="Times New Roman" w:cs="Times New Roman" w:eastAsia="Times New Roman" w:hAnsi="Times New Roman"/>
          <w:sz w:val="13"/>
          <w:szCs w:val="13"/>
          <w:color w:val="auto"/>
        </w:rPr>
        <w:t>1.                With respect to the Common Stock, assuming (a) the taking of all necessary corporate action to approve the issuance of the Common Stock and the terms of the offering, and (b) the due issuance and delivery of the Common Stock to the purchasers thereof against payment of the consideration (not less than the par value thereof) therefor duly approved by the board of directors of the Company or a duly authorized committee thereof (the “</w:t>
      </w:r>
      <w:r>
        <w:rPr>
          <w:rFonts w:ascii="Times New Roman" w:cs="Times New Roman" w:eastAsia="Times New Roman" w:hAnsi="Times New Roman"/>
          <w:sz w:val="13"/>
          <w:szCs w:val="13"/>
          <w:i w:val="1"/>
          <w:iCs w:val="1"/>
          <w:color w:val="auto"/>
        </w:rPr>
        <w:t>Board</w:t>
      </w:r>
      <w:r>
        <w:rPr>
          <w:rFonts w:ascii="Times New Roman" w:cs="Times New Roman" w:eastAsia="Times New Roman" w:hAnsi="Times New Roman"/>
          <w:sz w:val="13"/>
          <w:szCs w:val="13"/>
          <w:color w:val="auto"/>
        </w:rPr>
        <w:t>”) and in accordance with the applicable underwriting or other agreement and otherwise in accordance with the Certificate of Incorporation, such shares of Common Stock (including any Common Stock issuable upon exercise of Warrants or upon conversion, exercise, or exchange of other Securities or as a component of any Units) will be validly issued, fully paid and nonassessable.</w:t>
      </w:r>
    </w:p>
    <w:p>
      <w:pPr>
        <w:spacing w:after="0" w:line="14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 </w:t>
      </w:r>
    </w:p>
    <w:p>
      <w:pPr>
        <w:spacing w:after="0" w:line="12" w:lineRule="exact"/>
        <w:rPr>
          <w:sz w:val="20"/>
          <w:szCs w:val="20"/>
          <w:color w:val="auto"/>
        </w:rPr>
      </w:pPr>
    </w:p>
    <w:p>
      <w:pPr>
        <w:jc w:val="both"/>
        <w:ind w:firstLine="485"/>
        <w:spacing w:after="0" w:line="259" w:lineRule="auto"/>
        <w:rPr>
          <w:sz w:val="20"/>
          <w:szCs w:val="20"/>
          <w:color w:val="auto"/>
        </w:rPr>
      </w:pPr>
      <w:r>
        <w:rPr>
          <w:rFonts w:ascii="Times New Roman" w:cs="Times New Roman" w:eastAsia="Times New Roman" w:hAnsi="Times New Roman"/>
          <w:sz w:val="13"/>
          <w:szCs w:val="13"/>
          <w:color w:val="auto"/>
        </w:rPr>
        <w:t>2.                With respect to the Preferred Stock, assuming (a) the taking of all necessary corporate action to approve the issuance of the Preferred Stock and the establishment of the terms of the offering thereof, (b) the adoption and due filing of a Certificate of Designation with respect to such Preferred Stock, and (c) the due issuance and delivery of the Preferred Stock to the purchasers thereof against payment of the consideration (not less than the par value thereof) therefor duly approved by the Board and in accordance with the applicable underwriting or other agreement and otherwise in accordance with the Certificate of Incorporation, the Preferred Stock will be validly issued, fully paid and nonassessable.</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 </w:t>
      </w:r>
    </w:p>
    <w:p>
      <w:pPr>
        <w:spacing w:after="0" w:line="12" w:lineRule="exact"/>
        <w:rPr>
          <w:sz w:val="20"/>
          <w:szCs w:val="20"/>
          <w:color w:val="auto"/>
        </w:rPr>
      </w:pPr>
    </w:p>
    <w:p>
      <w:pPr>
        <w:jc w:val="both"/>
        <w:ind w:firstLine="485"/>
        <w:spacing w:after="0" w:line="259" w:lineRule="auto"/>
        <w:rPr>
          <w:sz w:val="20"/>
          <w:szCs w:val="20"/>
          <w:color w:val="auto"/>
        </w:rPr>
      </w:pPr>
      <w:r>
        <w:rPr>
          <w:rFonts w:ascii="Times New Roman" w:cs="Times New Roman" w:eastAsia="Times New Roman" w:hAnsi="Times New Roman"/>
          <w:sz w:val="13"/>
          <w:szCs w:val="13"/>
          <w:color w:val="auto"/>
        </w:rPr>
        <w:t>3.                With respect to the Debt Securities, assuming (a) the Indenture has been duly qualified under the Trust Indenture Act of 1939, as amended, (b) the taking of all necessary corporate action by the Board to authorize and approve the issuance and terms of any Debt Securities and the Indenture and the terms of the offering thereof, and (c) the Indenture has been duly executed by the Company, and the Debt Securities have been duly executed by the Company and authenticated by the Trustee in accordance with the Indenture and delivered to the purchasers thereof against payment of the consideration therefor duly approved by the Board and in accordance with the applicable underwriting or other agreement, such Debt Securities (including any Debt Securities issuable upon exercise of Warrants or as a component of any Units) will constitute valid and legally binding obligations of the Company, enforceable against the Company in accordance with their terms.</w:t>
      </w:r>
    </w:p>
    <w:p>
      <w:pPr>
        <w:spacing w:after="0" w:line="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 </w:t>
      </w:r>
    </w:p>
    <w:p>
      <w:pPr>
        <w:spacing w:after="0" w:line="12" w:lineRule="exact"/>
        <w:rPr>
          <w:sz w:val="20"/>
          <w:szCs w:val="20"/>
          <w:color w:val="auto"/>
        </w:rPr>
      </w:pPr>
    </w:p>
    <w:p>
      <w:pPr>
        <w:jc w:val="both"/>
        <w:ind w:firstLine="485"/>
        <w:spacing w:after="0" w:line="266" w:lineRule="auto"/>
        <w:rPr>
          <w:sz w:val="20"/>
          <w:szCs w:val="20"/>
          <w:color w:val="auto"/>
        </w:rPr>
      </w:pPr>
      <w:r>
        <w:rPr>
          <w:rFonts w:ascii="Times New Roman" w:cs="Times New Roman" w:eastAsia="Times New Roman" w:hAnsi="Times New Roman"/>
          <w:sz w:val="13"/>
          <w:szCs w:val="13"/>
          <w:color w:val="auto"/>
        </w:rPr>
        <w:t>4.                With respect to the Warrants, assuming (a) the taking of all necessary corporate action by the Board to authorize and approve the issuance and terms of the Warrants and the applicable Warrant Agreement, and the terms of the offering thereof, and (b) the certificates representing the Warrants have been duly executed by the Company and countersigned by the applicable Warrant Agent in accordance with the applicable Warrant Agreement and delivered to the purchasers thereof against payment of the consideration therefor duly approved by the Board and in accordance with the applicable underwriting or other agreement, the Warrants (including any Warrants issuable as a component of any Units) will constitute valid and legally binding obligations of the Company enforceable against the Company in accordance with their terms.</w:t>
      </w:r>
    </w:p>
    <w:p>
      <w:pPr>
        <w:spacing w:after="0" w:line="14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 </w:t>
      </w:r>
    </w:p>
    <w:p>
      <w:pPr>
        <w:spacing w:after="0" w:line="12" w:lineRule="exact"/>
        <w:rPr>
          <w:sz w:val="20"/>
          <w:szCs w:val="20"/>
          <w:color w:val="auto"/>
        </w:rPr>
      </w:pPr>
    </w:p>
    <w:p>
      <w:pPr>
        <w:jc w:val="both"/>
        <w:ind w:firstLine="485"/>
        <w:spacing w:after="0" w:line="259" w:lineRule="auto"/>
        <w:rPr>
          <w:sz w:val="20"/>
          <w:szCs w:val="20"/>
          <w:color w:val="auto"/>
        </w:rPr>
      </w:pPr>
      <w:r>
        <w:rPr>
          <w:rFonts w:ascii="Times New Roman" w:cs="Times New Roman" w:eastAsia="Times New Roman" w:hAnsi="Times New Roman"/>
          <w:sz w:val="13"/>
          <w:szCs w:val="13"/>
          <w:color w:val="auto"/>
        </w:rPr>
        <w:t>5.                With respect to the Rights, assuming (a) the taking of all necessary corporate action by the Board to authorize and approve the issuance and terms of any Rights and the applicable Rights Agreement and the terms of the offering thereof, and (b) the certificates representing the Rights have been duly executed by the Company and countersigned by the applicable Rights Agent in accordance with the applicable Rights Agreement and delivered to the purchasers thereof against payment of the consideration therefor duly approved by the Board and in accordance with the applicable Rights Agreement, the Rights will constitute valid and legally binding obligations of the Company enforceable against the Company in accordance with their terms.</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 </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66610" cy="63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2">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207" w:right="31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3"/>
          <w:szCs w:val="13"/>
          <w:color w:val="auto"/>
        </w:rPr>
        <w:t>Page 3</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 </w:t>
      </w:r>
    </w:p>
    <w:p>
      <w:pPr>
        <w:spacing w:after="0" w:line="25" w:lineRule="exact"/>
        <w:rPr>
          <w:sz w:val="20"/>
          <w:szCs w:val="20"/>
          <w:color w:val="auto"/>
        </w:rPr>
      </w:pPr>
    </w:p>
    <w:p>
      <w:pPr>
        <w:jc w:val="both"/>
        <w:ind w:firstLine="485"/>
        <w:spacing w:after="0" w:line="259" w:lineRule="auto"/>
        <w:rPr>
          <w:sz w:val="20"/>
          <w:szCs w:val="20"/>
          <w:color w:val="auto"/>
        </w:rPr>
      </w:pPr>
      <w:r>
        <w:rPr>
          <w:rFonts w:ascii="Times New Roman" w:cs="Times New Roman" w:eastAsia="Times New Roman" w:hAnsi="Times New Roman"/>
          <w:sz w:val="13"/>
          <w:szCs w:val="13"/>
          <w:color w:val="auto"/>
        </w:rPr>
        <w:t>6.                With respect to the Units, assuming (a) the taking of all necessary corporate action by the Board to authorize and approve the Unit Agreement and the issuance and delivery to the applicable Unit Agent of the Units, the issuance and terms of such Units and the terms of the offering thereof, (b) the certificates representing the Units have been duly executed by the Company and countersigned by the applicable Unit Agent in accordance with the applicable Unit Agreement and delivered to the purchasers thereof against payment of the consideration therefor duly approved by the Board and in accordance with the applicable underwriting or other agreement, the Units will constitute valid and legally binding obligations of the Company enforceable against the Company in accordance with their terms.</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 </w:t>
      </w:r>
    </w:p>
    <w:p>
      <w:pPr>
        <w:spacing w:after="0" w:line="12"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3"/>
          <w:szCs w:val="13"/>
          <w:color w:val="auto"/>
        </w:rPr>
        <w:t>In connection with our opinions set forth in paragraphs 1 through 6 above, we have assumed that, at or prior to the issuance of the Securities referred to therein: (a) the effectiveness of the Registration Statement shall not have been terminated or rescinded; (b) the terms of the applicable Securities Documents and the issuance and sale of such Securities do not and will not: (i) contravene the Certificate of Incorporation or Bylaws, (ii) violate any law, rule or regulation applicable to the Company, or (iii) result in any conflict with or breach of any agreement or document binding on the Company; (c) the applicable Securities Documents shall have been duly authorized, executed and delivered by the Company and the other parties thereto; and (d) no authorization, approval, consent or other action by, and no notice to or filing with, any governmental authority or regulatory body or any other third party is required for the due execution, delivery or performance by the Company of any of the Securities Documents to which the Company is a party or, if any such authorization, approval, consent, action, notice or filing is required, it has been duly obtained, taken, given or made and is in full force and effect.  </w:t>
      </w:r>
    </w:p>
    <w:p>
      <w:pPr>
        <w:spacing w:after="0" w:line="14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3"/>
          <w:szCs w:val="13"/>
          <w:color w:val="auto"/>
        </w:rPr>
        <w:t>Our opinions set forth in paragraphs 3 through 6 above are subject to (i) the effects of bankruptcy, insolvency, fraudulent conveyance, reorganization, moratorium and other similar laws relating to or affecting creditors’ rights generally, (ii) general equitable principles (whether considered in a proceeding in equity or at law) and (iii) an implied covenant of good faith and fair dealing. In addition, we express no opinion as to the validity, legally binding effect or enforceability of the provisions of the Indenture relating to the separability of provisions of the Indenture.  </w:t>
      </w:r>
    </w:p>
    <w:p>
      <w:pPr>
        <w:spacing w:after="0" w:line="14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3"/>
          <w:szCs w:val="13"/>
          <w:color w:val="auto"/>
        </w:rPr>
        <w:t>Our opinions are strictly limited to the federal laws of the United States of America, the General Corporation Law of the State of Delaware and, in the case of our opinions in paragraphs 3 through 6, the laws of the State of New York (including in each case the rules or regulations promulgated thereunder or pursuant thereto), that a New York lawyer exercising customary professional diligence would reasonably be expected to recognize as being applicable to the Company, the Securities Documents or the transactions governed by the Securities Documents.  </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This opinion is for your benefit in connection with the Registration Statement and may be relied upon by you and by persons entitled to rely upon it pursuant to the applicable provisions of the Securities Act.</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This opinion letter is limited to the matters stated herein, and no opinion may be implied or inferred beyond the matters expressly stated in this opinion letter.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This opinion letter is given as of the date hereof, and we assume no obligation to advise you after the date hereof of facts or circumstances that come to our attention or changes in the law, including judicial or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administrative interpretations thereof, that occur which could affect the opinions contained herein.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hereby consent to the filing of this opinion as an exhibit to the Registration Statement and to the reference to our firm’s name therein and in the base prospectus under the heading “Legal Matters.” In giving</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this consent, we do not thereby admit that we are within the category of persons whose consent is required under Section 7 of the Securities Act or the rules and regulations of the Commission promulgated</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thereunder.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Very truly yours,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COZEN O’CONNOR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Cozen O’Connor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-93980</wp:posOffset>
            </wp:positionV>
            <wp:extent cx="3586480" cy="63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3">
                      <a:extLst>
                        <a:ext uri="{28A0092B-C50C-407E-A947-70E740481C1C}"/>
                      </a:extLst>
                    </a:blip>
                    <a:srcRect/>
                    <a:stretch>
                      <a:fillRect/>
                    </a:stretch>
                  </pic:blipFill>
                  <pic:spPr bwMode="auto">
                    <a:xfrm>
                      <a:off x="0" y="0"/>
                      <a:ext cx="3586480" cy="6350"/>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66610" cy="63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4">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w:t>
      </w:r>
    </w:p>
    <w:p>
      <w:pPr>
        <w:sectPr>
          <w:pgSz w:w="11900" w:h="16838" w:orient="portrait"/>
          <w:cols w:equalWidth="0" w:num="1">
            <w:col w:w="11280"/>
          </w:cols>
          <w:pgMar w:left="300" w:top="208" w:right="31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6"/>
          <w:szCs w:val="16"/>
          <w:b w:val="1"/>
          <w:bCs w:val="1"/>
          <w:color w:val="auto"/>
        </w:rPr>
        <w:t>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5935345</wp:posOffset>
            </wp:positionH>
            <wp:positionV relativeFrom="paragraph">
              <wp:posOffset>128270</wp:posOffset>
            </wp:positionV>
            <wp:extent cx="1206500" cy="32702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5">
                      <a:extLst>
                        <a:ext uri="{28A0092B-C50C-407E-A947-70E740481C1C}"/>
                      </a:extLst>
                    </a:blip>
                    <a:srcRect/>
                    <a:stretch>
                      <a:fillRect/>
                    </a:stretch>
                  </pic:blipFill>
                  <pic:spPr bwMode="auto">
                    <a:xfrm>
                      <a:off x="0" y="0"/>
                      <a:ext cx="1206500" cy="327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June 8, 2026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Navitas Semiconductor Corporation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3520 Challenger Street</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Torrance, California 90503-1640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Re: </w:t>
      </w:r>
      <w:r>
        <w:rPr>
          <w:rFonts w:ascii="Times New Roman" w:cs="Times New Roman" w:eastAsia="Times New Roman" w:hAnsi="Times New Roman"/>
          <w:sz w:val="13"/>
          <w:szCs w:val="13"/>
          <w:u w:val="single" w:color="auto"/>
          <w:color w:val="auto"/>
        </w:rPr>
        <w:t>Registration Statement on Form S-3ASR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Ladies and Gentlemen:</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3"/>
          <w:szCs w:val="13"/>
          <w:color w:val="auto"/>
        </w:rPr>
        <w:t>We have acted as counsel to Navitas Semiconductor Corporation, a Delaware corporation (the “</w:t>
      </w:r>
      <w:r>
        <w:rPr>
          <w:rFonts w:ascii="Times New Roman" w:cs="Times New Roman" w:eastAsia="Times New Roman" w:hAnsi="Times New Roman"/>
          <w:sz w:val="13"/>
          <w:szCs w:val="13"/>
          <w:i w:val="1"/>
          <w:iCs w:val="1"/>
          <w:color w:val="auto"/>
        </w:rPr>
        <w:t>Company</w:t>
      </w:r>
      <w:r>
        <w:rPr>
          <w:rFonts w:ascii="Times New Roman" w:cs="Times New Roman" w:eastAsia="Times New Roman" w:hAnsi="Times New Roman"/>
          <w:sz w:val="13"/>
          <w:szCs w:val="13"/>
          <w:color w:val="auto"/>
        </w:rPr>
        <w:t>”), in connection with (a) the Company’s filing on the date hereof with the Securities and Exchange Commission (the “</w:t>
      </w:r>
      <w:r>
        <w:rPr>
          <w:rFonts w:ascii="Times New Roman" w:cs="Times New Roman" w:eastAsia="Times New Roman" w:hAnsi="Times New Roman"/>
          <w:sz w:val="13"/>
          <w:szCs w:val="13"/>
          <w:i w:val="1"/>
          <w:iCs w:val="1"/>
          <w:color w:val="auto"/>
        </w:rPr>
        <w:t>Commission</w:t>
      </w:r>
      <w:r>
        <w:rPr>
          <w:rFonts w:ascii="Times New Roman" w:cs="Times New Roman" w:eastAsia="Times New Roman" w:hAnsi="Times New Roman"/>
          <w:sz w:val="13"/>
          <w:szCs w:val="13"/>
          <w:color w:val="auto"/>
        </w:rPr>
        <w:t>”) of a Registration Statement on Form S-3ASR (such registration statement, including the documents incorporated by reference therein, as amended or supplemented, the “</w:t>
      </w:r>
      <w:r>
        <w:rPr>
          <w:rFonts w:ascii="Times New Roman" w:cs="Times New Roman" w:eastAsia="Times New Roman" w:hAnsi="Times New Roman"/>
          <w:sz w:val="13"/>
          <w:szCs w:val="13"/>
          <w:i w:val="1"/>
          <w:iCs w:val="1"/>
          <w:color w:val="auto"/>
        </w:rPr>
        <w:t>Registration Statement</w:t>
      </w:r>
      <w:r>
        <w:rPr>
          <w:rFonts w:ascii="Times New Roman" w:cs="Times New Roman" w:eastAsia="Times New Roman" w:hAnsi="Times New Roman"/>
          <w:sz w:val="13"/>
          <w:szCs w:val="13"/>
          <w:color w:val="auto"/>
        </w:rPr>
        <w:t>”), including the base prospectus contained therein, relating to the registration under the Securities Act of 1933, as amended (the “</w:t>
      </w:r>
      <w:r>
        <w:rPr>
          <w:rFonts w:ascii="Times New Roman" w:cs="Times New Roman" w:eastAsia="Times New Roman" w:hAnsi="Times New Roman"/>
          <w:sz w:val="13"/>
          <w:szCs w:val="13"/>
          <w:i w:val="1"/>
          <w:iCs w:val="1"/>
          <w:color w:val="auto"/>
        </w:rPr>
        <w:t>Securities Act</w:t>
      </w:r>
      <w:r>
        <w:rPr>
          <w:rFonts w:ascii="Times New Roman" w:cs="Times New Roman" w:eastAsia="Times New Roman" w:hAnsi="Times New Roman"/>
          <w:sz w:val="13"/>
          <w:szCs w:val="13"/>
          <w:color w:val="auto"/>
        </w:rPr>
        <w:t>”), of the securities described therein, and a prospectus supplement, dated June 8, 2026 (the “</w:t>
      </w:r>
      <w:r>
        <w:rPr>
          <w:rFonts w:ascii="Times New Roman" w:cs="Times New Roman" w:eastAsia="Times New Roman" w:hAnsi="Times New Roman"/>
          <w:sz w:val="13"/>
          <w:szCs w:val="13"/>
          <w:i w:val="1"/>
          <w:iCs w:val="1"/>
          <w:color w:val="auto"/>
        </w:rPr>
        <w:t>Prospectus Supplement</w:t>
      </w:r>
      <w:r>
        <w:rPr>
          <w:rFonts w:ascii="Times New Roman" w:cs="Times New Roman" w:eastAsia="Times New Roman" w:hAnsi="Times New Roman"/>
          <w:sz w:val="13"/>
          <w:szCs w:val="13"/>
          <w:color w:val="auto"/>
        </w:rPr>
        <w:t>”), and (b) the offering of shares (the “</w:t>
      </w:r>
      <w:r>
        <w:rPr>
          <w:rFonts w:ascii="Times New Roman" w:cs="Times New Roman" w:eastAsia="Times New Roman" w:hAnsi="Times New Roman"/>
          <w:sz w:val="13"/>
          <w:szCs w:val="13"/>
          <w:i w:val="1"/>
          <w:iCs w:val="1"/>
          <w:color w:val="auto"/>
        </w:rPr>
        <w:t>Shares</w:t>
      </w:r>
      <w:r>
        <w:rPr>
          <w:rFonts w:ascii="Times New Roman" w:cs="Times New Roman" w:eastAsia="Times New Roman" w:hAnsi="Times New Roman"/>
          <w:sz w:val="13"/>
          <w:szCs w:val="13"/>
          <w:color w:val="auto"/>
        </w:rPr>
        <w:t>”) of the Company’s Class A common stock, par value $0.0001 per share, having an aggregate sales price of up to $500.0 million that may be issued and sold under that certain Sales Agreement, dated June 8, 2026 (the “</w:t>
      </w:r>
      <w:r>
        <w:rPr>
          <w:rFonts w:ascii="Times New Roman" w:cs="Times New Roman" w:eastAsia="Times New Roman" w:hAnsi="Times New Roman"/>
          <w:sz w:val="13"/>
          <w:szCs w:val="13"/>
          <w:i w:val="1"/>
          <w:iCs w:val="1"/>
          <w:color w:val="auto"/>
        </w:rPr>
        <w:t>Sales Agreement</w:t>
      </w:r>
      <w:r>
        <w:rPr>
          <w:rFonts w:ascii="Times New Roman" w:cs="Times New Roman" w:eastAsia="Times New Roman" w:hAnsi="Times New Roman"/>
          <w:sz w:val="13"/>
          <w:szCs w:val="13"/>
          <w:color w:val="auto"/>
        </w:rPr>
        <w:t>”), by and among the Company, UBS Securities LLC, Morgan Stanley &amp; Co. LLC and Needham &amp; Company, LLC. The Prospectus Supplement relates to the Shares.</w:t>
      </w:r>
    </w:p>
    <w:p>
      <w:pPr>
        <w:spacing w:after="0" w:line="13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3"/>
          <w:szCs w:val="13"/>
          <w:color w:val="auto"/>
        </w:rPr>
        <w:t>In rendering the opinion set forth below, we have examined and are familiar with originals or copies, certified or otherwise identified to our satisfaction, of: (a) the Second Amended and Restated Certificate of Incorporation of the Company, as in effect on the date hereof, together with all amendments thereto adopted through the date hereof (the “</w:t>
      </w:r>
      <w:r>
        <w:rPr>
          <w:rFonts w:ascii="Times New Roman" w:cs="Times New Roman" w:eastAsia="Times New Roman" w:hAnsi="Times New Roman"/>
          <w:sz w:val="13"/>
          <w:szCs w:val="13"/>
          <w:i w:val="1"/>
          <w:iCs w:val="1"/>
          <w:color w:val="auto"/>
        </w:rPr>
        <w:t>Certificate of Incorporation</w:t>
      </w:r>
      <w:r>
        <w:rPr>
          <w:rFonts w:ascii="Times New Roman" w:cs="Times New Roman" w:eastAsia="Times New Roman" w:hAnsi="Times New Roman"/>
          <w:sz w:val="13"/>
          <w:szCs w:val="13"/>
          <w:color w:val="auto"/>
        </w:rPr>
        <w:t>”); (b) the Amended and Restated Bylaws of the Company, as in effect on the date hereof (the “</w:t>
      </w:r>
      <w:r>
        <w:rPr>
          <w:rFonts w:ascii="Times New Roman" w:cs="Times New Roman" w:eastAsia="Times New Roman" w:hAnsi="Times New Roman"/>
          <w:sz w:val="13"/>
          <w:szCs w:val="13"/>
          <w:i w:val="1"/>
          <w:iCs w:val="1"/>
          <w:color w:val="auto"/>
        </w:rPr>
        <w:t>Bylaws</w:t>
      </w:r>
      <w:r>
        <w:rPr>
          <w:rFonts w:ascii="Times New Roman" w:cs="Times New Roman" w:eastAsia="Times New Roman" w:hAnsi="Times New Roman"/>
          <w:sz w:val="13"/>
          <w:szCs w:val="13"/>
          <w:color w:val="auto"/>
        </w:rPr>
        <w:t>”); (c) the Registration Statement and all exhibits thereto, including the base prospectus contained therein; (d) the Prospectus Supplement; (e) the Sales Agreement; and (f) such other documents as we have deemed necessary or appropriate as a basis for the opinion set forth below.</w:t>
      </w:r>
    </w:p>
    <w:p>
      <w:pPr>
        <w:spacing w:after="0" w:line="13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3"/>
          <w:szCs w:val="13"/>
          <w:color w:val="auto"/>
        </w:rPr>
        <w:t>In our examination, we have assumed: (a) the legal capacity of all natural persons; (b) the genuineness of all signatures; (c) the authenticity of all documents submitted to us as originals; (d) the conformity to original documents of all documents submitted to us as certified or photostatic copies; and (e) the authenticity of the originals of such latter documents. As to any facts material to the opinion expressed herein that we did not independently establish or verify, we have relied upon oral or written statements and representations of officers and other representatives of the Company and others.</w:t>
      </w:r>
    </w:p>
    <w:p>
      <w:pPr>
        <w:spacing w:after="0" w:line="125"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color w:val="auto"/>
        </w:rPr>
        <w:t>Based upon the foregoing, and subject to the qualifications, assumptions and limitations stated herein, we are of the opinion that upon payment and delivery in accordance with the Sales Agreement, the Shares will be validly issued, fully paid and nonassessable.</w:t>
      </w:r>
    </w:p>
    <w:p>
      <w:pPr>
        <w:spacing w:after="0" w:line="11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3"/>
          <w:szCs w:val="13"/>
          <w:color w:val="auto"/>
        </w:rPr>
        <w:t>Our opinion is strictly limited to the federal laws of the United States of America, the General Corporation Law of the State of Delaware and the laws of the State of New York (including in each case the rules or regulations promulgated thereunder or pursuant thereto), that a New York lawyer exercising customary professional diligence would reasonably be expected to recognize as being applicable to the Company, the Sales Agreement or the transactions governed by the Sales Agreement.</w:t>
      </w:r>
    </w:p>
    <w:p>
      <w:pPr>
        <w:spacing w:after="0" w:line="125"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color w:val="auto"/>
        </w:rPr>
        <w:t>This opinion is for your benefit in connection with the Registration Statement and the Prospectus Supplement and may be relied upon by you and by persons entitled to rely upon it pursuant to the applicable provisions of the Securities Act. This opinion letter is limited to the matters stated herein, and no opinion may be implied or inferred beyond the matters expressly stated in this opinion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298450</wp:posOffset>
            </wp:positionV>
            <wp:extent cx="7166610" cy="63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6">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299" w:right="31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3"/>
          <w:szCs w:val="13"/>
          <w:color w:val="auto"/>
        </w:rPr>
        <w:t>Page 2</w:t>
      </w:r>
    </w:p>
    <w:p>
      <w:pPr>
        <w:spacing w:after="0" w:line="174"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color w:val="auto"/>
        </w:rPr>
        <w:t>This opinion letter is given as of the date hereof, and we assume no obligation to advise you after the date hereof of facts or circumstances that come to our attention or changes in the law, including judicial or administrative interpretations thereof, that occur which could affect the opinions contained herein.</w:t>
      </w:r>
    </w:p>
    <w:p>
      <w:pPr>
        <w:spacing w:after="0" w:line="11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3"/>
          <w:szCs w:val="13"/>
          <w:color w:val="auto"/>
        </w:rPr>
        <w:t>We hereby consent to the filing of this opinion as an exhibit to the Registration Statement and to the reference to our firm’s name contained therein and in the Prospectus Supplement under the heading “Legal Matters.” In giving this consent, we do not thereby admit that we are within the category of persons whose consent is required under Section 7 of the Securities Act or the rules and regulations of the Commission promulgated thereunder.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Very truly yours,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COZEN O’CONNOR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Cozen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336550</wp:posOffset>
            </wp:positionV>
            <wp:extent cx="7166610" cy="63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7">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3" w:right="31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6"/>
          <w:szCs w:val="16"/>
          <w:b w:val="1"/>
          <w:bCs w:val="1"/>
          <w:color w:val="auto"/>
        </w:rPr>
        <w:t>Exhibit 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128270</wp:posOffset>
            </wp:positionV>
            <wp:extent cx="648335" cy="30797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8">
                      <a:extLst>
                        <a:ext uri="{28A0092B-C50C-407E-A947-70E740481C1C}"/>
                      </a:extLst>
                    </a:blip>
                    <a:srcRect/>
                    <a:stretch>
                      <a:fillRect/>
                    </a:stretch>
                  </pic:blipFill>
                  <pic:spPr bwMode="auto">
                    <a:xfrm>
                      <a:off x="0" y="0"/>
                      <a:ext cx="648335" cy="307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3"/>
          <w:szCs w:val="13"/>
          <w:color w:val="auto"/>
        </w:rPr>
        <w:t>KPMG LLP</w:t>
      </w:r>
    </w:p>
    <w:p>
      <w:pPr>
        <w:spacing w:after="0" w:line="2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3"/>
          <w:szCs w:val="13"/>
          <w:color w:val="auto"/>
        </w:rPr>
        <w:t>Suite 1050</w:t>
      </w:r>
    </w:p>
    <w:p>
      <w:pPr>
        <w:spacing w:after="0" w:line="12"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3"/>
          <w:szCs w:val="13"/>
          <w:color w:val="auto"/>
        </w:rPr>
        <w:t>833 East Michigan Street</w:t>
      </w:r>
    </w:p>
    <w:p>
      <w:pPr>
        <w:spacing w:after="0" w:line="12"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3"/>
          <w:szCs w:val="13"/>
          <w:color w:val="auto"/>
        </w:rPr>
        <w:t>Milwaukee, WI 53202-5337</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Consent of Independent Registered Public Accounting Firm</w:t>
      </w:r>
    </w:p>
    <w:p>
      <w:pPr>
        <w:spacing w:after="0" w:line="178"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3"/>
          <w:szCs w:val="13"/>
          <w:color w:val="auto"/>
        </w:rPr>
        <w:t>We consent to the use of our report dated February 27, 2026, with respect to the consolidated financial statements of Navitas Semiconductor Corporation, incorporated herein by reference, and to the reference to our firm under the heading "Experts" in the prospectus.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KPMG LLP</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Milwaukee, Wisconsin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June 8, 2026</w:t>
      </w:r>
    </w:p>
    <w:p>
      <w:pPr>
        <w:spacing w:after="0" w:line="154"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1"/>
          <w:szCs w:val="11"/>
          <w:color w:val="auto"/>
        </w:rPr>
        <w:t>KPMG LLP, a Delaware limited liability partnership, and its subsidiaries are part of</w:t>
      </w:r>
    </w:p>
    <w:p>
      <w:pPr>
        <w:ind w:left="2480"/>
        <w:spacing w:after="0" w:line="210" w:lineRule="auto"/>
        <w:rPr>
          <w:sz w:val="20"/>
          <w:szCs w:val="20"/>
          <w:color w:val="auto"/>
        </w:rPr>
      </w:pPr>
      <w:r>
        <w:rPr>
          <w:rFonts w:ascii="Times New Roman" w:cs="Times New Roman" w:eastAsia="Times New Roman" w:hAnsi="Times New Roman"/>
          <w:sz w:val="11"/>
          <w:szCs w:val="11"/>
          <w:color w:val="auto"/>
        </w:rPr>
        <w:t>the KPMG global organization of independent member firms affiliated with KPMG</w:t>
      </w:r>
    </w:p>
    <w:p>
      <w:pPr>
        <w:ind w:left="2480"/>
        <w:spacing w:after="0"/>
        <w:rPr>
          <w:sz w:val="20"/>
          <w:szCs w:val="20"/>
          <w:color w:val="auto"/>
        </w:rPr>
      </w:pPr>
      <w:r>
        <w:rPr>
          <w:rFonts w:ascii="Times New Roman" w:cs="Times New Roman" w:eastAsia="Times New Roman" w:hAnsi="Times New Roman"/>
          <w:sz w:val="11"/>
          <w:szCs w:val="11"/>
          <w:color w:val="auto"/>
        </w:rPr>
        <w:t>International Limited, a private English company limited by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314325</wp:posOffset>
            </wp:positionV>
            <wp:extent cx="7166610" cy="63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9">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299" w:right="31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3"/>
          <w:szCs w:val="13"/>
          <w:b w:val="1"/>
          <w:bCs w:val="1"/>
          <w:color w:val="auto"/>
        </w:rPr>
        <w:t>Exhibit 23.4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Consent of Independent Registered Public Accounting Firm</w:t>
      </w:r>
    </w:p>
    <w:p>
      <w:pPr>
        <w:spacing w:after="0" w:line="178"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3"/>
          <w:szCs w:val="13"/>
          <w:color w:val="auto"/>
        </w:rPr>
        <w:t>We consent to the incorporation by reference in this Registration Statement on Form S-3 of Navitas Semiconductor Corporation (the “Company”) of our report dated March 19, 2025, relating to the consolidated financial statements of the Company as of December 31, 2024 and for the year then ended, appearing in the Annual Report on Form 10-K of the Company for the year ended December 31, 2025, filed with the Securities and Exchange Commission. We also consent to the reference to us under the heading “Experts” in such Registration Statement.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Baker Tilly US, LLP</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San Francisco, CA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June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328930</wp:posOffset>
            </wp:positionV>
            <wp:extent cx="7166610" cy="63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0">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284" w:right="319" w:bottom="1440" w:gutter="0" w:footer="0" w:header="0"/>
        </w:sectPr>
      </w:pPr>
    </w:p>
    <w:bookmarkStart w:id="146" w:name="page147"/>
    <w:bookmarkEnd w:id="146"/>
    <w:p>
      <w:pPr>
        <w:spacing w:after="0" w:line="10" w:lineRule="exact"/>
        <w:rPr>
          <w:sz w:val="20"/>
          <w:szCs w:val="20"/>
          <w:color w:val="auto"/>
        </w:rPr>
      </w:pPr>
    </w:p>
    <w:p>
      <w:pPr>
        <w:ind w:left="3580"/>
        <w:spacing w:after="0"/>
        <w:rPr>
          <w:sz w:val="20"/>
          <w:szCs w:val="20"/>
          <w:color w:val="auto"/>
        </w:rPr>
      </w:pPr>
      <w:r>
        <w:rPr>
          <w:rFonts w:ascii="Arial" w:cs="Arial" w:eastAsia="Arial" w:hAnsi="Arial"/>
          <w:sz w:val="27"/>
          <w:szCs w:val="27"/>
          <w:b w:val="1"/>
          <w:bCs w:val="1"/>
          <w:color w:val="auto"/>
        </w:rPr>
        <w:t>Calculation of Filing Fee Tables</w:t>
      </w:r>
    </w:p>
    <w:p>
      <w:pPr>
        <w:spacing w:after="0" w:line="164" w:lineRule="exact"/>
        <w:rPr>
          <w:sz w:val="20"/>
          <w:szCs w:val="20"/>
          <w:color w:val="auto"/>
        </w:rPr>
      </w:pPr>
    </w:p>
    <w:p>
      <w:pPr>
        <w:ind w:left="5360"/>
        <w:spacing w:after="0"/>
        <w:rPr>
          <w:sz w:val="20"/>
          <w:szCs w:val="20"/>
          <w:color w:val="auto"/>
        </w:rPr>
      </w:pPr>
      <w:r>
        <w:rPr>
          <w:rFonts w:ascii="Arial" w:cs="Arial" w:eastAsia="Arial" w:hAnsi="Arial"/>
          <w:sz w:val="27"/>
          <w:szCs w:val="27"/>
          <w:b w:val="1"/>
          <w:bCs w:val="1"/>
          <w:color w:val="auto"/>
        </w:rPr>
        <w:t>S-3</w:t>
      </w:r>
    </w:p>
    <w:p>
      <w:pPr>
        <w:spacing w:after="0" w:line="94" w:lineRule="exact"/>
        <w:rPr>
          <w:sz w:val="20"/>
          <w:szCs w:val="20"/>
          <w:color w:val="auto"/>
        </w:rPr>
      </w:pPr>
    </w:p>
    <w:p>
      <w:pPr>
        <w:jc w:val="center"/>
        <w:ind w:right="220"/>
        <w:spacing w:after="0"/>
        <w:rPr>
          <w:sz w:val="20"/>
          <w:szCs w:val="20"/>
          <w:color w:val="auto"/>
        </w:rPr>
      </w:pPr>
      <w:r>
        <w:rPr>
          <w:rFonts w:ascii="Arial" w:cs="Arial" w:eastAsia="Arial" w:hAnsi="Arial"/>
          <w:sz w:val="27"/>
          <w:szCs w:val="27"/>
          <w:b w:val="1"/>
          <w:bCs w:val="1"/>
          <w:color w:val="auto"/>
        </w:rPr>
        <w:t>Navitas Semiconductor Corp</w:t>
      </w:r>
    </w:p>
    <w:p>
      <w:pPr>
        <w:spacing w:after="0" w:line="97"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40" w:type="dxa"/>
            <w:vAlign w:val="bottom"/>
            <w:tcBorders>
              <w:bottom w:val="single" w:sz="8" w:color="auto"/>
            </w:tcBorders>
          </w:tcPr>
          <w:p>
            <w:pPr>
              <w:spacing w:after="0"/>
              <w:rPr>
                <w:sz w:val="22"/>
                <w:szCs w:val="22"/>
                <w:color w:val="auto"/>
              </w:rPr>
            </w:pPr>
          </w:p>
        </w:tc>
        <w:tc>
          <w:tcPr>
            <w:tcW w:w="4400" w:type="dxa"/>
            <w:vAlign w:val="bottom"/>
            <w:tcBorders>
              <w:bottom w:val="single" w:sz="8" w:color="auto"/>
            </w:tcBorders>
            <w:gridSpan w:val="11"/>
          </w:tcPr>
          <w:p>
            <w:pPr>
              <w:spacing w:after="0"/>
              <w:rPr>
                <w:sz w:val="20"/>
                <w:szCs w:val="20"/>
                <w:color w:val="auto"/>
              </w:rPr>
            </w:pPr>
            <w:r>
              <w:rPr>
                <w:rFonts w:ascii="Arial" w:cs="Arial" w:eastAsia="Arial" w:hAnsi="Arial"/>
                <w:sz w:val="16"/>
                <w:szCs w:val="16"/>
                <w:b w:val="1"/>
                <w:bCs w:val="1"/>
                <w:color w:val="auto"/>
              </w:rPr>
              <w:t>Table 1: Newly Registered and Carry Forward Securities</w:t>
            </w:r>
          </w:p>
        </w:tc>
        <w:tc>
          <w:tcPr>
            <w:tcW w:w="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3"/>
          </w:tcPr>
          <w:p>
            <w:pPr>
              <w:ind w:left="40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Filing Fee</w:t>
            </w: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Previously</w:t>
            </w: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5"/>
                <w:szCs w:val="15"/>
                <w:color w:val="auto"/>
              </w:rPr>
            </w:pPr>
          </w:p>
        </w:tc>
        <w:tc>
          <w:tcPr>
            <w:tcW w:w="8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Proposed</w:t>
            </w:r>
          </w:p>
        </w:tc>
        <w:tc>
          <w:tcPr>
            <w:tcW w:w="20" w:type="dxa"/>
            <w:vAlign w:val="bottom"/>
          </w:tcPr>
          <w:p>
            <w:pPr>
              <w:spacing w:after="0"/>
              <w:rPr>
                <w:sz w:val="15"/>
                <w:szCs w:val="15"/>
                <w:color w:val="auto"/>
              </w:rPr>
            </w:pPr>
          </w:p>
        </w:tc>
        <w:tc>
          <w:tcPr>
            <w:tcW w:w="11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Paid in</w:t>
            </w: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vMerge w:val="restart"/>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7"/>
                <w:szCs w:val="7"/>
                <w:color w:val="auto"/>
              </w:rPr>
            </w:pPr>
          </w:p>
        </w:tc>
        <w:tc>
          <w:tcPr>
            <w:tcW w:w="660" w:type="dxa"/>
            <w:vAlign w:val="bottom"/>
            <w:vMerge w:val="restart"/>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7"/>
                <w:szCs w:val="7"/>
                <w:color w:val="auto"/>
              </w:rPr>
            </w:pPr>
          </w:p>
        </w:tc>
        <w:tc>
          <w:tcPr>
            <w:tcW w:w="8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vMerge w:val="restart"/>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Connection</w:t>
            </w: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7"/>
                <w:szCs w:val="7"/>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Calculation</w:t>
            </w:r>
          </w:p>
        </w:tc>
        <w:tc>
          <w:tcPr>
            <w:tcW w:w="20" w:type="dxa"/>
            <w:vAlign w:val="bottom"/>
          </w:tcPr>
          <w:p>
            <w:pPr>
              <w:spacing w:after="0"/>
              <w:rPr>
                <w:sz w:val="7"/>
                <w:szCs w:val="7"/>
                <w:color w:val="auto"/>
              </w:rPr>
            </w:pPr>
          </w:p>
        </w:tc>
        <w:tc>
          <w:tcPr>
            <w:tcW w:w="8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Maximum</w:t>
            </w:r>
          </w:p>
        </w:tc>
        <w:tc>
          <w:tcPr>
            <w:tcW w:w="20" w:type="dxa"/>
            <w:vAlign w:val="bottom"/>
          </w:tcPr>
          <w:p>
            <w:pPr>
              <w:spacing w:after="0"/>
              <w:rPr>
                <w:sz w:val="7"/>
                <w:szCs w:val="7"/>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Maximum</w:t>
            </w:r>
          </w:p>
        </w:tc>
        <w:tc>
          <w:tcPr>
            <w:tcW w:w="20" w:type="dxa"/>
            <w:vAlign w:val="bottom"/>
          </w:tcPr>
          <w:p>
            <w:pPr>
              <w:spacing w:after="0"/>
              <w:rPr>
                <w:sz w:val="7"/>
                <w:szCs w:val="7"/>
                <w:color w:val="auto"/>
              </w:rPr>
            </w:pPr>
          </w:p>
        </w:tc>
        <w:tc>
          <w:tcPr>
            <w:tcW w:w="7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Amount of</w:t>
            </w:r>
          </w:p>
        </w:tc>
        <w:tc>
          <w:tcPr>
            <w:tcW w:w="20" w:type="dxa"/>
            <w:vAlign w:val="bottom"/>
          </w:tcPr>
          <w:p>
            <w:pPr>
              <w:spacing w:after="0"/>
              <w:rPr>
                <w:sz w:val="7"/>
                <w:szCs w:val="7"/>
                <w:color w:val="auto"/>
              </w:rPr>
            </w:pPr>
          </w:p>
        </w:tc>
        <w:tc>
          <w:tcPr>
            <w:tcW w:w="6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7"/>
                <w:szCs w:val="7"/>
                <w:color w:val="auto"/>
              </w:rPr>
            </w:pPr>
          </w:p>
        </w:tc>
        <w:tc>
          <w:tcPr>
            <w:tcW w:w="940" w:type="dxa"/>
            <w:vAlign w:val="bottom"/>
            <w:tcBorders>
              <w:right w:val="single" w:sz="8" w:color="auto"/>
            </w:tcBorders>
            <w:vMerge w:val="continue"/>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9ADAF6"/>
          </w:tcPr>
          <w:p>
            <w:pPr>
              <w:ind w:left="120"/>
              <w:spacing w:after="0" w:line="162" w:lineRule="exact"/>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9ADAF6"/>
          </w:tcPr>
          <w:p>
            <w:pPr>
              <w:jc w:val="right"/>
              <w:ind w:right="39"/>
              <w:spacing w:after="0" w:line="162" w:lineRule="exact"/>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9ADAF6"/>
          </w:tcPr>
          <w:p>
            <w:pPr>
              <w:jc w:val="center"/>
              <w:spacing w:after="0" w:line="162" w:lineRule="exact"/>
              <w:rPr>
                <w:sz w:val="20"/>
                <w:szCs w:val="20"/>
                <w:color w:val="auto"/>
              </w:rPr>
            </w:pPr>
            <w:r>
              <w:rPr>
                <w:rFonts w:ascii="Arial" w:cs="Arial" w:eastAsia="Arial" w:hAnsi="Arial"/>
                <w:sz w:val="16"/>
                <w:szCs w:val="16"/>
                <w:b w:val="1"/>
                <w:bCs w:val="1"/>
                <w:color w:val="auto"/>
                <w:w w:val="98"/>
              </w:rPr>
              <w:t>Forward</w:t>
            </w:r>
          </w:p>
        </w:tc>
        <w:tc>
          <w:tcPr>
            <w:tcW w:w="20" w:type="dxa"/>
            <w:vAlign w:val="bottom"/>
          </w:tcPr>
          <w:p>
            <w:pPr>
              <w:spacing w:after="0"/>
              <w:rPr>
                <w:sz w:val="14"/>
                <w:szCs w:val="14"/>
                <w:color w:val="auto"/>
              </w:rPr>
            </w:pPr>
          </w:p>
        </w:tc>
        <w:tc>
          <w:tcPr>
            <w:tcW w:w="660" w:type="dxa"/>
            <w:vAlign w:val="bottom"/>
            <w:shd w:val="clear" w:color="auto" w:fill="9ADAF6"/>
          </w:tcPr>
          <w:p>
            <w:pPr>
              <w:jc w:val="center"/>
              <w:spacing w:after="0" w:line="162" w:lineRule="exact"/>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4"/>
                <w:szCs w:val="14"/>
                <w:color w:val="auto"/>
              </w:rPr>
            </w:pPr>
          </w:p>
        </w:tc>
        <w:tc>
          <w:tcPr>
            <w:tcW w:w="8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9ADAF6"/>
          </w:tcPr>
          <w:p>
            <w:pPr>
              <w:jc w:val="center"/>
              <w:spacing w:after="0" w:line="162" w:lineRule="exact"/>
              <w:rPr>
                <w:sz w:val="20"/>
                <w:szCs w:val="20"/>
                <w:color w:val="auto"/>
              </w:rPr>
            </w:pPr>
            <w:r>
              <w:rPr>
                <w:rFonts w:ascii="Arial" w:cs="Arial" w:eastAsia="Arial" w:hAnsi="Arial"/>
                <w:sz w:val="16"/>
                <w:szCs w:val="16"/>
                <w:b w:val="1"/>
                <w:bCs w:val="1"/>
                <w:color w:val="auto"/>
                <w:w w:val="99"/>
              </w:rPr>
              <w:t>with</w:t>
            </w: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9ADAF6"/>
          </w:tcPr>
          <w:p>
            <w:pPr>
              <w:ind w:left="240"/>
              <w:spacing w:after="0" w:line="182" w:lineRule="exact"/>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5"/>
                <w:szCs w:val="15"/>
                <w:color w:val="auto"/>
              </w:rPr>
            </w:pPr>
          </w:p>
        </w:tc>
        <w:tc>
          <w:tcPr>
            <w:tcW w:w="80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Class</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or Carry</w:t>
            </w:r>
          </w:p>
        </w:tc>
        <w:tc>
          <w:tcPr>
            <w:tcW w:w="20" w:type="dxa"/>
            <w:vAlign w:val="bottom"/>
          </w:tcPr>
          <w:p>
            <w:pPr>
              <w:spacing w:after="0"/>
              <w:rPr>
                <w:sz w:val="15"/>
                <w:szCs w:val="15"/>
                <w:color w:val="auto"/>
              </w:rPr>
            </w:pPr>
          </w:p>
        </w:tc>
        <w:tc>
          <w:tcPr>
            <w:tcW w:w="860" w:type="dxa"/>
            <w:vAlign w:val="bottom"/>
            <w:shd w:val="clear" w:color="auto" w:fill="9ADAF6"/>
          </w:tcPr>
          <w:p>
            <w:pPr>
              <w:jc w:val="right"/>
              <w:spacing w:after="0" w:line="182" w:lineRule="exact"/>
              <w:rPr>
                <w:sz w:val="20"/>
                <w:szCs w:val="20"/>
                <w:color w:val="auto"/>
              </w:rPr>
            </w:pPr>
            <w:r>
              <w:rPr>
                <w:rFonts w:ascii="Arial" w:cs="Arial" w:eastAsia="Arial" w:hAnsi="Arial"/>
                <w:sz w:val="16"/>
                <w:szCs w:val="16"/>
                <w:b w:val="1"/>
                <w:bCs w:val="1"/>
                <w:color w:val="auto"/>
                <w:w w:val="99"/>
              </w:rPr>
              <w:t>Registered</w:t>
            </w:r>
          </w:p>
        </w:tc>
        <w:tc>
          <w:tcPr>
            <w:tcW w:w="20" w:type="dxa"/>
            <w:vAlign w:val="bottom"/>
          </w:tcPr>
          <w:p>
            <w:pPr>
              <w:spacing w:after="0"/>
              <w:rPr>
                <w:sz w:val="15"/>
                <w:szCs w:val="15"/>
                <w:color w:val="auto"/>
              </w:rPr>
            </w:pPr>
          </w:p>
        </w:tc>
        <w:tc>
          <w:tcPr>
            <w:tcW w:w="76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Offering</w:t>
            </w:r>
          </w:p>
        </w:tc>
        <w:tc>
          <w:tcPr>
            <w:tcW w:w="20" w:type="dxa"/>
            <w:vAlign w:val="bottom"/>
          </w:tcPr>
          <w:p>
            <w:pPr>
              <w:spacing w:after="0"/>
              <w:rPr>
                <w:sz w:val="15"/>
                <w:szCs w:val="15"/>
                <w:color w:val="auto"/>
              </w:rPr>
            </w:pPr>
          </w:p>
        </w:tc>
        <w:tc>
          <w:tcPr>
            <w:tcW w:w="116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5"/>
                <w:szCs w:val="15"/>
                <w:color w:val="auto"/>
              </w:rPr>
            </w:pPr>
          </w:p>
        </w:tc>
        <w:tc>
          <w:tcPr>
            <w:tcW w:w="78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8"/>
              </w:rPr>
              <w:t>Fee Rate</w:t>
            </w:r>
          </w:p>
        </w:tc>
        <w:tc>
          <w:tcPr>
            <w:tcW w:w="20" w:type="dxa"/>
            <w:vAlign w:val="bottom"/>
          </w:tcPr>
          <w:p>
            <w:pPr>
              <w:spacing w:after="0"/>
              <w:rPr>
                <w:sz w:val="15"/>
                <w:szCs w:val="15"/>
                <w:color w:val="auto"/>
              </w:rPr>
            </w:pPr>
          </w:p>
        </w:tc>
        <w:tc>
          <w:tcPr>
            <w:tcW w:w="98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Registration</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Form</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File</w:t>
            </w:r>
          </w:p>
        </w:tc>
        <w:tc>
          <w:tcPr>
            <w:tcW w:w="20" w:type="dxa"/>
            <w:vAlign w:val="bottom"/>
          </w:tcPr>
          <w:p>
            <w:pPr>
              <w:spacing w:after="0"/>
              <w:rPr>
                <w:sz w:val="15"/>
                <w:szCs w:val="15"/>
                <w:color w:val="auto"/>
              </w:rPr>
            </w:pPr>
          </w:p>
        </w:tc>
        <w:tc>
          <w:tcPr>
            <w:tcW w:w="82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Unsold</w:t>
            </w: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7"/>
              </w:rPr>
              <w:t>Title</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5"/>
                <w:szCs w:val="15"/>
                <w:color w:val="auto"/>
              </w:rPr>
            </w:pPr>
          </w:p>
        </w:tc>
        <w:tc>
          <w:tcPr>
            <w:tcW w:w="8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5"/>
                <w:szCs w:val="15"/>
                <w:color w:val="auto"/>
              </w:rPr>
            </w:pPr>
          </w:p>
        </w:tc>
        <w:tc>
          <w:tcPr>
            <w:tcW w:w="116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Offering Price</w:t>
            </w: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4"/>
              </w:rPr>
              <w:t>Fee</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Number</w:t>
            </w:r>
          </w:p>
        </w:tc>
        <w:tc>
          <w:tcPr>
            <w:tcW w:w="20" w:type="dxa"/>
            <w:vAlign w:val="bottom"/>
          </w:tcPr>
          <w:p>
            <w:pPr>
              <w:spacing w:after="0"/>
              <w:rPr>
                <w:sz w:val="15"/>
                <w:szCs w:val="15"/>
                <w:color w:val="auto"/>
              </w:rPr>
            </w:pPr>
          </w:p>
        </w:tc>
        <w:tc>
          <w:tcPr>
            <w:tcW w:w="82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Effective</w:t>
            </w: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Securities</w:t>
            </w:r>
          </w:p>
        </w:tc>
        <w:tc>
          <w:tcPr>
            <w:tcW w:w="0" w:type="dxa"/>
            <w:vAlign w:val="bottom"/>
          </w:tcPr>
          <w:p>
            <w:pPr>
              <w:spacing w:after="0"/>
              <w:rPr>
                <w:sz w:val="1"/>
                <w:szCs w:val="1"/>
                <w:color w:val="auto"/>
              </w:rPr>
            </w:pPr>
          </w:p>
        </w:tc>
      </w:tr>
      <w:tr>
        <w:trPr>
          <w:trHeight w:val="201"/>
        </w:trPr>
        <w:tc>
          <w:tcPr>
            <w:tcW w:w="40" w:type="dxa"/>
            <w:vAlign w:val="bottom"/>
            <w:tcBorders>
              <w:left w:val="single" w:sz="8" w:color="auto"/>
            </w:tcBorders>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7"/>
              </w:rPr>
              <w:t>Rule</w:t>
            </w:r>
          </w:p>
        </w:tc>
        <w:tc>
          <w:tcPr>
            <w:tcW w:w="20" w:type="dxa"/>
            <w:vAlign w:val="bottom"/>
          </w:tcPr>
          <w:p>
            <w:pPr>
              <w:spacing w:after="0"/>
              <w:rPr>
                <w:sz w:val="17"/>
                <w:szCs w:val="17"/>
                <w:color w:val="auto"/>
              </w:rPr>
            </w:pPr>
          </w:p>
        </w:tc>
        <w:tc>
          <w:tcPr>
            <w:tcW w:w="8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Unit</w:t>
            </w:r>
          </w:p>
        </w:tc>
        <w:tc>
          <w:tcPr>
            <w:tcW w:w="20" w:type="dxa"/>
            <w:vAlign w:val="bottom"/>
          </w:tcPr>
          <w:p>
            <w:pPr>
              <w:spacing w:after="0"/>
              <w:rPr>
                <w:sz w:val="17"/>
                <w:szCs w:val="17"/>
                <w:color w:val="auto"/>
              </w:rPr>
            </w:pPr>
          </w:p>
        </w:tc>
        <w:tc>
          <w:tcPr>
            <w:tcW w:w="11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7"/>
                <w:szCs w:val="17"/>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to be</w:t>
            </w: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Carried</w:t>
            </w: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0" w:type="dxa"/>
            <w:vAlign w:val="bottom"/>
          </w:tcPr>
          <w:p>
            <w:pPr>
              <w:spacing w:after="0"/>
              <w:rPr>
                <w:sz w:val="1"/>
                <w:szCs w:val="1"/>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40" w:type="dxa"/>
            <w:vAlign w:val="bottom"/>
            <w:gridSpan w:val="5"/>
          </w:tcPr>
          <w:p>
            <w:pPr>
              <w:jc w:val="center"/>
              <w:ind w:right="219"/>
              <w:spacing w:after="0"/>
              <w:rPr>
                <w:sz w:val="20"/>
                <w:szCs w:val="20"/>
                <w:color w:val="auto"/>
              </w:rPr>
            </w:pPr>
            <w:r>
              <w:rPr>
                <w:rFonts w:ascii="Arial" w:cs="Arial" w:eastAsia="Arial" w:hAnsi="Arial"/>
                <w:sz w:val="16"/>
                <w:szCs w:val="16"/>
                <w:b w:val="1"/>
                <w:bCs w:val="1"/>
                <w:color w:val="auto"/>
              </w:rPr>
              <w:t>Newly Registered Securities</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ind w:left="20"/>
              <w:spacing w:after="0" w:line="177" w:lineRule="exact"/>
              <w:rPr>
                <w:sz w:val="20"/>
                <w:szCs w:val="20"/>
                <w:color w:val="auto"/>
              </w:rPr>
            </w:pPr>
            <w:r>
              <w:rPr>
                <w:rFonts w:ascii="Arial" w:cs="Arial" w:eastAsia="Arial" w:hAnsi="Arial"/>
                <w:sz w:val="16"/>
                <w:szCs w:val="16"/>
                <w:color w:val="auto"/>
              </w:rPr>
              <w:t>Class A</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ind w:left="20"/>
              <w:spacing w:after="0" w:line="182" w:lineRule="exact"/>
              <w:rPr>
                <w:sz w:val="20"/>
                <w:szCs w:val="20"/>
                <w:color w:val="auto"/>
              </w:rPr>
            </w:pPr>
            <w:r>
              <w:rPr>
                <w:rFonts w:ascii="Arial" w:cs="Arial" w:eastAsia="Arial" w:hAnsi="Arial"/>
                <w:sz w:val="16"/>
                <w:szCs w:val="16"/>
                <w:color w:val="auto"/>
              </w:rPr>
              <w:t>Common</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ind w:left="20"/>
              <w:spacing w:after="0" w:line="182" w:lineRule="exact"/>
              <w:rPr>
                <w:sz w:val="20"/>
                <w:szCs w:val="20"/>
                <w:color w:val="auto"/>
              </w:rPr>
            </w:pPr>
            <w:r>
              <w:rPr>
                <w:rFonts w:ascii="Arial" w:cs="Arial" w:eastAsia="Arial" w:hAnsi="Arial"/>
                <w:sz w:val="16"/>
                <w:szCs w:val="16"/>
                <w:color w:val="auto"/>
              </w:rPr>
              <w:t>Stock, par</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line="182" w:lineRule="exact"/>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15"/>
                <w:szCs w:val="15"/>
                <w:color w:val="auto"/>
              </w:rPr>
            </w:pPr>
          </w:p>
        </w:tc>
        <w:tc>
          <w:tcPr>
            <w:tcW w:w="8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15"/>
                <w:szCs w:val="15"/>
                <w:color w:val="auto"/>
              </w:rPr>
            </w:pPr>
          </w:p>
        </w:tc>
        <w:tc>
          <w:tcPr>
            <w:tcW w:w="800" w:type="dxa"/>
            <w:vAlign w:val="bottom"/>
            <w:shd w:val="clear" w:color="auto" w:fill="E7E7E2"/>
          </w:tcPr>
          <w:p>
            <w:pPr>
              <w:ind w:left="20"/>
              <w:spacing w:after="0" w:line="182" w:lineRule="exact"/>
              <w:rPr>
                <w:sz w:val="20"/>
                <w:szCs w:val="20"/>
                <w:color w:val="auto"/>
              </w:rPr>
            </w:pPr>
            <w:r>
              <w:rPr>
                <w:rFonts w:ascii="Arial" w:cs="Arial" w:eastAsia="Arial" w:hAnsi="Arial"/>
                <w:sz w:val="16"/>
                <w:szCs w:val="16"/>
                <w:color w:val="auto"/>
              </w:rPr>
              <w:t>value</w:t>
            </w:r>
          </w:p>
        </w:tc>
        <w:tc>
          <w:tcPr>
            <w:tcW w:w="20" w:type="dxa"/>
            <w:vAlign w:val="bottom"/>
          </w:tcPr>
          <w:p>
            <w:pPr>
              <w:spacing w:after="0"/>
              <w:rPr>
                <w:sz w:val="15"/>
                <w:szCs w:val="15"/>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8"/>
              </w:rPr>
              <w:t>457(r)</w:t>
            </w: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40" w:type="dxa"/>
            <w:vAlign w:val="bottom"/>
            <w:tcBorders>
              <w:left w:val="single" w:sz="8" w:color="auto"/>
            </w:tcBorders>
          </w:tcPr>
          <w:p>
            <w:pPr>
              <w:spacing w:after="0"/>
              <w:rPr>
                <w:sz w:val="10"/>
                <w:szCs w:val="10"/>
                <w:color w:val="auto"/>
              </w:rPr>
            </w:pPr>
          </w:p>
        </w:tc>
        <w:tc>
          <w:tcPr>
            <w:tcW w:w="760" w:type="dxa"/>
            <w:vAlign w:val="bottom"/>
            <w:vMerge w:val="restart"/>
            <w:shd w:val="clear" w:color="auto" w:fill="E7E7E2"/>
          </w:tcPr>
          <w:p>
            <w:pPr>
              <w:spacing w:after="0" w:line="182" w:lineRule="exact"/>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0"/>
                <w:szCs w:val="10"/>
                <w:color w:val="auto"/>
              </w:rPr>
            </w:pPr>
          </w:p>
        </w:tc>
        <w:tc>
          <w:tcPr>
            <w:tcW w:w="1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restart"/>
            <w:shd w:val="clear" w:color="auto" w:fill="E7E7E2"/>
          </w:tcPr>
          <w:p>
            <w:pPr>
              <w:ind w:left="20"/>
              <w:spacing w:after="0" w:line="182" w:lineRule="exact"/>
              <w:rPr>
                <w:sz w:val="20"/>
                <w:szCs w:val="20"/>
                <w:color w:val="auto"/>
              </w:rPr>
            </w:pPr>
            <w:r>
              <w:rPr>
                <w:rFonts w:ascii="Arial" w:cs="Arial" w:eastAsia="Arial" w:hAnsi="Arial"/>
                <w:sz w:val="16"/>
                <w:szCs w:val="16"/>
                <w:color w:val="auto"/>
              </w:rPr>
              <w:t>$0.0001</w:t>
            </w: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40" w:type="dxa"/>
            <w:vAlign w:val="bottom"/>
            <w:tcBorders>
              <w:left w:val="single" w:sz="8" w:color="auto"/>
            </w:tcBorders>
          </w:tcPr>
          <w:p>
            <w:pPr>
              <w:spacing w:after="0"/>
              <w:rPr>
                <w:sz w:val="5"/>
                <w:szCs w:val="5"/>
                <w:color w:val="auto"/>
              </w:rPr>
            </w:pPr>
          </w:p>
        </w:tc>
        <w:tc>
          <w:tcPr>
            <w:tcW w:w="76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ind w:left="20"/>
              <w:spacing w:after="0" w:line="182" w:lineRule="exact"/>
              <w:rPr>
                <w:sz w:val="20"/>
                <w:szCs w:val="20"/>
                <w:color w:val="auto"/>
              </w:rPr>
            </w:pPr>
            <w:r>
              <w:rPr>
                <w:rFonts w:ascii="Arial" w:cs="Arial" w:eastAsia="Arial" w:hAnsi="Arial"/>
                <w:sz w:val="16"/>
                <w:szCs w:val="16"/>
                <w:color w:val="auto"/>
              </w:rPr>
              <w:t>per share</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ind w:left="20"/>
              <w:spacing w:after="0" w:line="182" w:lineRule="exact"/>
              <w:rPr>
                <w:sz w:val="20"/>
                <w:szCs w:val="20"/>
                <w:color w:val="auto"/>
              </w:rPr>
            </w:pPr>
            <w:r>
              <w:rPr>
                <w:rFonts w:ascii="Arial" w:cs="Arial" w:eastAsia="Arial" w:hAnsi="Arial"/>
                <w:sz w:val="16"/>
                <w:szCs w:val="16"/>
                <w:color w:val="auto"/>
              </w:rPr>
              <w:t>("Common</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16"/>
                <w:szCs w:val="16"/>
                <w:color w:val="auto"/>
              </w:rPr>
              <w:t>Stock")</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ind w:left="20"/>
              <w:spacing w:after="0" w:line="171" w:lineRule="exact"/>
              <w:rPr>
                <w:sz w:val="20"/>
                <w:szCs w:val="20"/>
                <w:color w:val="auto"/>
              </w:rPr>
            </w:pPr>
            <w:r>
              <w:rPr>
                <w:rFonts w:ascii="Arial" w:cs="Arial" w:eastAsia="Arial" w:hAnsi="Arial"/>
                <w:sz w:val="16"/>
                <w:szCs w:val="16"/>
                <w:color w:val="auto"/>
              </w:rPr>
              <w:t>Preferred</w:t>
            </w: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ind w:left="20"/>
              <w:spacing w:after="0" w:line="182" w:lineRule="exact"/>
              <w:rPr>
                <w:sz w:val="20"/>
                <w:szCs w:val="20"/>
                <w:color w:val="auto"/>
              </w:rPr>
            </w:pPr>
            <w:r>
              <w:rPr>
                <w:rFonts w:ascii="Arial" w:cs="Arial" w:eastAsia="Arial" w:hAnsi="Arial"/>
                <w:sz w:val="16"/>
                <w:szCs w:val="16"/>
                <w:color w:val="auto"/>
              </w:rPr>
              <w:t>Stock, par</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vMerge w:val="restart"/>
            <w:shd w:val="clear" w:color="auto" w:fill="E7E7E2"/>
          </w:tcPr>
          <w:p>
            <w:pPr>
              <w:jc w:val="right"/>
              <w:spacing w:after="0" w:line="182" w:lineRule="exact"/>
              <w:rPr>
                <w:sz w:val="20"/>
                <w:szCs w:val="20"/>
                <w:color w:val="auto"/>
              </w:rPr>
            </w:pPr>
            <w:r>
              <w:rPr>
                <w:rFonts w:ascii="Arial" w:cs="Arial" w:eastAsia="Arial" w:hAnsi="Arial"/>
                <w:sz w:val="16"/>
                <w:szCs w:val="16"/>
                <w:color w:val="auto"/>
                <w:w w:val="89"/>
              </w:rPr>
              <w:t>2</w:t>
            </w:r>
          </w:p>
        </w:tc>
        <w:tc>
          <w:tcPr>
            <w:tcW w:w="20" w:type="dxa"/>
            <w:vAlign w:val="bottom"/>
          </w:tcPr>
          <w:p>
            <w:pPr>
              <w:spacing w:after="0"/>
              <w:rPr>
                <w:sz w:val="7"/>
                <w:szCs w:val="7"/>
                <w:color w:val="auto"/>
              </w:rPr>
            </w:pPr>
          </w:p>
        </w:tc>
        <w:tc>
          <w:tcPr>
            <w:tcW w:w="860" w:type="dxa"/>
            <w:vAlign w:val="bottom"/>
            <w:vMerge w:val="restart"/>
            <w:shd w:val="clear" w:color="auto" w:fill="E7E7E2"/>
          </w:tcPr>
          <w:p>
            <w:pPr>
              <w:spacing w:after="0" w:line="182" w:lineRule="exact"/>
              <w:rPr>
                <w:sz w:val="20"/>
                <w:szCs w:val="20"/>
                <w:color w:val="auto"/>
              </w:rPr>
            </w:pPr>
            <w:r>
              <w:rPr>
                <w:rFonts w:ascii="Arial" w:cs="Arial" w:eastAsia="Arial" w:hAnsi="Arial"/>
                <w:sz w:val="16"/>
                <w:szCs w:val="16"/>
                <w:color w:val="auto"/>
              </w:rPr>
              <w:t>Equity</w:t>
            </w:r>
          </w:p>
        </w:tc>
        <w:tc>
          <w:tcPr>
            <w:tcW w:w="20" w:type="dxa"/>
            <w:vAlign w:val="bottom"/>
          </w:tcPr>
          <w:p>
            <w:pPr>
              <w:spacing w:after="0"/>
              <w:rPr>
                <w:sz w:val="7"/>
                <w:szCs w:val="7"/>
                <w:color w:val="auto"/>
              </w:rPr>
            </w:pPr>
          </w:p>
        </w:tc>
        <w:tc>
          <w:tcPr>
            <w:tcW w:w="800" w:type="dxa"/>
            <w:vAlign w:val="bottom"/>
            <w:vMerge w:val="restart"/>
            <w:shd w:val="clear" w:color="auto" w:fill="E7E7E2"/>
          </w:tcPr>
          <w:p>
            <w:pPr>
              <w:ind w:left="20"/>
              <w:spacing w:after="0" w:line="182" w:lineRule="exact"/>
              <w:rPr>
                <w:sz w:val="20"/>
                <w:szCs w:val="20"/>
                <w:color w:val="auto"/>
              </w:rPr>
            </w:pPr>
            <w:r>
              <w:rPr>
                <w:rFonts w:ascii="Arial" w:cs="Arial" w:eastAsia="Arial" w:hAnsi="Arial"/>
                <w:sz w:val="16"/>
                <w:szCs w:val="16"/>
                <w:color w:val="auto"/>
              </w:rPr>
              <w:t>value</w:t>
            </w: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line="182" w:lineRule="exact"/>
              <w:rPr>
                <w:sz w:val="20"/>
                <w:szCs w:val="20"/>
                <w:color w:val="auto"/>
              </w:rPr>
            </w:pPr>
            <w:r>
              <w:rPr>
                <w:rFonts w:ascii="Arial" w:cs="Arial" w:eastAsia="Arial" w:hAnsi="Arial"/>
                <w:sz w:val="16"/>
                <w:szCs w:val="16"/>
                <w:color w:val="auto"/>
                <w:w w:val="98"/>
              </w:rPr>
              <w:t>457(r)</w:t>
            </w: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restart"/>
            <w:shd w:val="clear" w:color="auto" w:fill="E7E7E2"/>
          </w:tcPr>
          <w:p>
            <w:pPr>
              <w:jc w:val="center"/>
              <w:spacing w:after="0" w:line="182" w:lineRule="exact"/>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7"/>
                <w:szCs w:val="7"/>
                <w:color w:val="auto"/>
              </w:rPr>
            </w:pPr>
          </w:p>
        </w:tc>
        <w:tc>
          <w:tcPr>
            <w:tcW w:w="9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7"/>
                <w:szCs w:val="7"/>
                <w:color w:val="auto"/>
              </w:rPr>
            </w:pPr>
          </w:p>
        </w:tc>
        <w:tc>
          <w:tcPr>
            <w:tcW w:w="12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40" w:type="dxa"/>
            <w:vAlign w:val="bottom"/>
            <w:tcBorders>
              <w:left w:val="single" w:sz="8" w:color="auto"/>
            </w:tcBorders>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restart"/>
            <w:shd w:val="clear" w:color="auto" w:fill="E7E7E2"/>
          </w:tcPr>
          <w:p>
            <w:pPr>
              <w:ind w:left="20"/>
              <w:spacing w:after="0" w:line="182" w:lineRule="exact"/>
              <w:rPr>
                <w:sz w:val="20"/>
                <w:szCs w:val="20"/>
                <w:color w:val="auto"/>
              </w:rPr>
            </w:pPr>
            <w:r>
              <w:rPr>
                <w:rFonts w:ascii="Arial" w:cs="Arial" w:eastAsia="Arial" w:hAnsi="Arial"/>
                <w:sz w:val="16"/>
                <w:szCs w:val="16"/>
                <w:color w:val="auto"/>
              </w:rPr>
              <w:t>$0.0001</w:t>
            </w: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40" w:type="dxa"/>
            <w:vAlign w:val="bottom"/>
            <w:tcBorders>
              <w:left w:val="single" w:sz="8" w:color="auto"/>
            </w:tcBorders>
          </w:tcPr>
          <w:p>
            <w:pPr>
              <w:spacing w:after="0"/>
              <w:rPr>
                <w:sz w:val="5"/>
                <w:szCs w:val="5"/>
                <w:color w:val="auto"/>
              </w:rPr>
            </w:pPr>
          </w:p>
        </w:tc>
        <w:tc>
          <w:tcPr>
            <w:tcW w:w="7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16"/>
                <w:szCs w:val="16"/>
                <w:color w:val="auto"/>
              </w:rPr>
              <w:t>per share</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E7E7E2"/>
          </w:tcPr>
          <w:p>
            <w:pPr>
              <w:spacing w:after="0" w:line="171" w:lineRule="exact"/>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4"/>
                <w:szCs w:val="14"/>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3</w:t>
            </w:r>
          </w:p>
        </w:tc>
        <w:tc>
          <w:tcPr>
            <w:tcW w:w="20" w:type="dxa"/>
            <w:vAlign w:val="bottom"/>
          </w:tcPr>
          <w:p>
            <w:pPr>
              <w:spacing w:after="0"/>
              <w:rPr>
                <w:sz w:val="14"/>
                <w:szCs w:val="14"/>
                <w:color w:val="auto"/>
              </w:rPr>
            </w:pPr>
          </w:p>
        </w:tc>
        <w:tc>
          <w:tcPr>
            <w:tcW w:w="8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4"/>
                <w:szCs w:val="14"/>
                <w:color w:val="auto"/>
              </w:rPr>
            </w:pPr>
          </w:p>
        </w:tc>
        <w:tc>
          <w:tcPr>
            <w:tcW w:w="800" w:type="dxa"/>
            <w:vAlign w:val="bottom"/>
            <w:shd w:val="clear" w:color="auto" w:fill="E7E7E2"/>
          </w:tcPr>
          <w:p>
            <w:pPr>
              <w:ind w:left="20"/>
              <w:spacing w:after="0" w:line="171" w:lineRule="exact"/>
              <w:rPr>
                <w:sz w:val="20"/>
                <w:szCs w:val="20"/>
                <w:color w:val="auto"/>
              </w:rPr>
            </w:pPr>
            <w:r>
              <w:rPr>
                <w:rFonts w:ascii="Arial" w:cs="Arial" w:eastAsia="Arial" w:hAnsi="Arial"/>
                <w:sz w:val="16"/>
                <w:szCs w:val="16"/>
                <w:color w:val="auto"/>
              </w:rPr>
              <w:t>Debt</w:t>
            </w:r>
          </w:p>
        </w:tc>
        <w:tc>
          <w:tcPr>
            <w:tcW w:w="20" w:type="dxa"/>
            <w:vAlign w:val="bottom"/>
          </w:tcPr>
          <w:p>
            <w:pPr>
              <w:spacing w:after="0"/>
              <w:rPr>
                <w:sz w:val="14"/>
                <w:szCs w:val="14"/>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8"/>
              </w:rPr>
              <w:t>457(r)</w:t>
            </w: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0" w:type="dxa"/>
            <w:vAlign w:val="bottom"/>
            <w:tcBorders>
              <w:left w:val="single" w:sz="8" w:color="auto"/>
            </w:tcBorders>
          </w:tcPr>
          <w:p>
            <w:pPr>
              <w:spacing w:after="0"/>
              <w:rPr>
                <w:sz w:val="10"/>
                <w:szCs w:val="10"/>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0"/>
                <w:szCs w:val="10"/>
                <w:color w:val="auto"/>
              </w:rPr>
            </w:pPr>
          </w:p>
        </w:tc>
        <w:tc>
          <w:tcPr>
            <w:tcW w:w="1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40" w:type="dxa"/>
            <w:vAlign w:val="bottom"/>
            <w:tcBorders>
              <w:left w:val="single" w:sz="8" w:color="auto"/>
            </w:tcBorders>
          </w:tcPr>
          <w:p>
            <w:pPr>
              <w:spacing w:after="0"/>
              <w:rPr>
                <w:sz w:val="7"/>
                <w:szCs w:val="7"/>
                <w:color w:val="auto"/>
              </w:rPr>
            </w:pPr>
          </w:p>
        </w:tc>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E7E7E2"/>
          </w:tcPr>
          <w:p>
            <w:pPr>
              <w:spacing w:after="0" w:line="171" w:lineRule="exact"/>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4"/>
                <w:szCs w:val="14"/>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4</w:t>
            </w:r>
          </w:p>
        </w:tc>
        <w:tc>
          <w:tcPr>
            <w:tcW w:w="20" w:type="dxa"/>
            <w:vAlign w:val="bottom"/>
          </w:tcPr>
          <w:p>
            <w:pPr>
              <w:spacing w:after="0"/>
              <w:rPr>
                <w:sz w:val="14"/>
                <w:szCs w:val="14"/>
                <w:color w:val="auto"/>
              </w:rPr>
            </w:pPr>
          </w:p>
        </w:tc>
        <w:tc>
          <w:tcPr>
            <w:tcW w:w="8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4"/>
                <w:szCs w:val="14"/>
                <w:color w:val="auto"/>
              </w:rPr>
            </w:pPr>
          </w:p>
        </w:tc>
        <w:tc>
          <w:tcPr>
            <w:tcW w:w="8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Warrants</w:t>
            </w:r>
          </w:p>
        </w:tc>
        <w:tc>
          <w:tcPr>
            <w:tcW w:w="20" w:type="dxa"/>
            <w:vAlign w:val="bottom"/>
          </w:tcPr>
          <w:p>
            <w:pPr>
              <w:spacing w:after="0"/>
              <w:rPr>
                <w:sz w:val="14"/>
                <w:szCs w:val="14"/>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8"/>
              </w:rPr>
              <w:t>457(r)</w:t>
            </w: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0" w:type="dxa"/>
            <w:vAlign w:val="bottom"/>
            <w:tcBorders>
              <w:left w:val="single" w:sz="8" w:color="auto"/>
            </w:tcBorders>
          </w:tcPr>
          <w:p>
            <w:pPr>
              <w:spacing w:after="0"/>
              <w:rPr>
                <w:sz w:val="10"/>
                <w:szCs w:val="10"/>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0"/>
                <w:szCs w:val="10"/>
                <w:color w:val="auto"/>
              </w:rPr>
            </w:pPr>
          </w:p>
        </w:tc>
        <w:tc>
          <w:tcPr>
            <w:tcW w:w="1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40" w:type="dxa"/>
            <w:vAlign w:val="bottom"/>
            <w:tcBorders>
              <w:left w:val="single" w:sz="8" w:color="auto"/>
            </w:tcBorders>
          </w:tcPr>
          <w:p>
            <w:pPr>
              <w:spacing w:after="0"/>
              <w:rPr>
                <w:sz w:val="7"/>
                <w:szCs w:val="7"/>
                <w:color w:val="auto"/>
              </w:rPr>
            </w:pPr>
          </w:p>
        </w:tc>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E7E7E2"/>
          </w:tcPr>
          <w:p>
            <w:pPr>
              <w:spacing w:after="0" w:line="171" w:lineRule="exact"/>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4"/>
                <w:szCs w:val="14"/>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5</w:t>
            </w:r>
          </w:p>
        </w:tc>
        <w:tc>
          <w:tcPr>
            <w:tcW w:w="20" w:type="dxa"/>
            <w:vAlign w:val="bottom"/>
          </w:tcPr>
          <w:p>
            <w:pPr>
              <w:spacing w:after="0"/>
              <w:rPr>
                <w:sz w:val="14"/>
                <w:szCs w:val="14"/>
                <w:color w:val="auto"/>
              </w:rPr>
            </w:pPr>
          </w:p>
        </w:tc>
        <w:tc>
          <w:tcPr>
            <w:tcW w:w="8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4"/>
                <w:szCs w:val="14"/>
                <w:color w:val="auto"/>
              </w:rPr>
            </w:pPr>
          </w:p>
        </w:tc>
        <w:tc>
          <w:tcPr>
            <w:tcW w:w="8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Rights</w:t>
            </w:r>
          </w:p>
        </w:tc>
        <w:tc>
          <w:tcPr>
            <w:tcW w:w="20" w:type="dxa"/>
            <w:vAlign w:val="bottom"/>
          </w:tcPr>
          <w:p>
            <w:pPr>
              <w:spacing w:after="0"/>
              <w:rPr>
                <w:sz w:val="14"/>
                <w:szCs w:val="14"/>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8"/>
              </w:rPr>
              <w:t>457(r)</w:t>
            </w: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0" w:type="dxa"/>
            <w:vAlign w:val="bottom"/>
            <w:tcBorders>
              <w:left w:val="single" w:sz="8" w:color="auto"/>
            </w:tcBorders>
          </w:tcPr>
          <w:p>
            <w:pPr>
              <w:spacing w:after="0"/>
              <w:rPr>
                <w:sz w:val="10"/>
                <w:szCs w:val="10"/>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0"/>
                <w:szCs w:val="10"/>
                <w:color w:val="auto"/>
              </w:rPr>
            </w:pPr>
          </w:p>
        </w:tc>
        <w:tc>
          <w:tcPr>
            <w:tcW w:w="1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40" w:type="dxa"/>
            <w:vAlign w:val="bottom"/>
            <w:tcBorders>
              <w:left w:val="single" w:sz="8" w:color="auto"/>
            </w:tcBorders>
          </w:tcPr>
          <w:p>
            <w:pPr>
              <w:spacing w:after="0"/>
              <w:rPr>
                <w:sz w:val="7"/>
                <w:szCs w:val="7"/>
                <w:color w:val="auto"/>
              </w:rPr>
            </w:pPr>
          </w:p>
        </w:tc>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E7E7E2"/>
          </w:tcPr>
          <w:p>
            <w:pPr>
              <w:spacing w:after="0" w:line="171" w:lineRule="exact"/>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4"/>
                <w:szCs w:val="14"/>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6</w:t>
            </w:r>
          </w:p>
        </w:tc>
        <w:tc>
          <w:tcPr>
            <w:tcW w:w="20" w:type="dxa"/>
            <w:vAlign w:val="bottom"/>
          </w:tcPr>
          <w:p>
            <w:pPr>
              <w:spacing w:after="0"/>
              <w:rPr>
                <w:sz w:val="14"/>
                <w:szCs w:val="14"/>
                <w:color w:val="auto"/>
              </w:rPr>
            </w:pPr>
          </w:p>
        </w:tc>
        <w:tc>
          <w:tcPr>
            <w:tcW w:w="8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4"/>
                <w:szCs w:val="14"/>
                <w:color w:val="auto"/>
              </w:rPr>
            </w:pPr>
          </w:p>
        </w:tc>
        <w:tc>
          <w:tcPr>
            <w:tcW w:w="8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Units</w:t>
            </w:r>
          </w:p>
        </w:tc>
        <w:tc>
          <w:tcPr>
            <w:tcW w:w="20" w:type="dxa"/>
            <w:vAlign w:val="bottom"/>
          </w:tcPr>
          <w:p>
            <w:pPr>
              <w:spacing w:after="0"/>
              <w:rPr>
                <w:sz w:val="14"/>
                <w:szCs w:val="14"/>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8"/>
              </w:rPr>
              <w:t>457(r)</w:t>
            </w: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0" w:type="dxa"/>
            <w:vAlign w:val="bottom"/>
            <w:tcBorders>
              <w:left w:val="single" w:sz="8" w:color="auto"/>
            </w:tcBorders>
          </w:tcPr>
          <w:p>
            <w:pPr>
              <w:spacing w:after="0"/>
              <w:rPr>
                <w:sz w:val="10"/>
                <w:szCs w:val="10"/>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0"/>
                <w:szCs w:val="10"/>
                <w:color w:val="auto"/>
              </w:rPr>
            </w:pPr>
          </w:p>
        </w:tc>
        <w:tc>
          <w:tcPr>
            <w:tcW w:w="1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40" w:type="dxa"/>
            <w:vAlign w:val="bottom"/>
            <w:tcBorders>
              <w:left w:val="single" w:sz="8" w:color="auto"/>
            </w:tcBorders>
          </w:tcPr>
          <w:p>
            <w:pPr>
              <w:spacing w:after="0"/>
              <w:rPr>
                <w:sz w:val="7"/>
                <w:szCs w:val="7"/>
                <w:color w:val="auto"/>
              </w:rPr>
            </w:pPr>
          </w:p>
        </w:tc>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E7E7E2"/>
          </w:tcPr>
          <w:p>
            <w:pPr>
              <w:spacing w:after="0" w:line="171" w:lineRule="exact"/>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4"/>
                <w:szCs w:val="14"/>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7</w:t>
            </w:r>
          </w:p>
        </w:tc>
        <w:tc>
          <w:tcPr>
            <w:tcW w:w="20" w:type="dxa"/>
            <w:vAlign w:val="bottom"/>
          </w:tcPr>
          <w:p>
            <w:pPr>
              <w:spacing w:after="0"/>
              <w:rPr>
                <w:sz w:val="14"/>
                <w:szCs w:val="14"/>
                <w:color w:val="auto"/>
              </w:rPr>
            </w:pPr>
          </w:p>
        </w:tc>
        <w:tc>
          <w:tcPr>
            <w:tcW w:w="8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14"/>
                <w:szCs w:val="14"/>
                <w:color w:val="auto"/>
              </w:rPr>
            </w:pPr>
          </w:p>
        </w:tc>
        <w:tc>
          <w:tcPr>
            <w:tcW w:w="800" w:type="dxa"/>
            <w:vAlign w:val="bottom"/>
            <w:shd w:val="clear" w:color="auto" w:fill="E7E7E2"/>
          </w:tcPr>
          <w:p>
            <w:pPr>
              <w:ind w:left="20"/>
              <w:spacing w:after="0" w:line="171" w:lineRule="exact"/>
              <w:rPr>
                <w:sz w:val="20"/>
                <w:szCs w:val="20"/>
                <w:color w:val="auto"/>
              </w:rPr>
            </w:pPr>
            <w:r>
              <w:rPr>
                <w:rFonts w:ascii="Arial" w:cs="Arial" w:eastAsia="Arial" w:hAnsi="Arial"/>
                <w:sz w:val="16"/>
                <w:szCs w:val="16"/>
                <w:color w:val="auto"/>
              </w:rPr>
              <w:t>Common</w:t>
            </w:r>
          </w:p>
        </w:tc>
        <w:tc>
          <w:tcPr>
            <w:tcW w:w="20" w:type="dxa"/>
            <w:vAlign w:val="bottom"/>
          </w:tcPr>
          <w:p>
            <w:pPr>
              <w:spacing w:after="0"/>
              <w:rPr>
                <w:sz w:val="14"/>
                <w:szCs w:val="14"/>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457(o)</w:t>
            </w: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vMerge w:val="continue"/>
          </w:tcPr>
          <w:p>
            <w:pPr>
              <w:spacing w:after="0"/>
              <w:rPr>
                <w:sz w:val="14"/>
                <w:szCs w:val="14"/>
                <w:color w:val="auto"/>
              </w:rPr>
            </w:pPr>
          </w:p>
        </w:tc>
        <w:tc>
          <w:tcPr>
            <w:tcW w:w="1160" w:type="dxa"/>
            <w:vAlign w:val="bottom"/>
            <w:shd w:val="clear" w:color="auto" w:fill="E7E7E2"/>
          </w:tcPr>
          <w:p>
            <w:pPr>
              <w:jc w:val="right"/>
              <w:spacing w:after="0" w:line="171"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7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14"/>
                <w:szCs w:val="14"/>
                <w:color w:val="auto"/>
              </w:rPr>
            </w:pPr>
          </w:p>
        </w:tc>
        <w:tc>
          <w:tcPr>
            <w:tcW w:w="9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$ 51,787.50</w:t>
            </w: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8"/>
                <w:szCs w:val="18"/>
                <w:color w:val="auto"/>
              </w:rPr>
            </w:pPr>
          </w:p>
        </w:tc>
        <w:tc>
          <w:tcPr>
            <w:tcW w:w="12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16"/>
                <w:szCs w:val="16"/>
                <w:color w:val="auto"/>
              </w:rPr>
              <w:t>Stock</w:t>
            </w:r>
          </w:p>
        </w:tc>
        <w:tc>
          <w:tcPr>
            <w:tcW w:w="20" w:type="dxa"/>
            <w:vAlign w:val="bottom"/>
          </w:tcPr>
          <w:p>
            <w:pPr>
              <w:spacing w:after="0"/>
              <w:rPr>
                <w:sz w:val="18"/>
                <w:szCs w:val="18"/>
                <w:color w:val="auto"/>
              </w:rPr>
            </w:pPr>
          </w:p>
        </w:tc>
        <w:tc>
          <w:tcPr>
            <w:tcW w:w="90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jc w:val="right"/>
              <w:spacing w:after="0"/>
              <w:rPr>
                <w:sz w:val="20"/>
                <w:szCs w:val="20"/>
                <w:color w:val="auto"/>
              </w:rPr>
            </w:pPr>
            <w:r>
              <w:rPr>
                <w:rFonts w:ascii="Arial" w:cs="Arial" w:eastAsia="Arial" w:hAnsi="Arial"/>
                <w:sz w:val="16"/>
                <w:szCs w:val="16"/>
                <w:color w:val="auto"/>
              </w:rPr>
              <w:t>375,000,000.00</w:t>
            </w:r>
          </w:p>
        </w:tc>
        <w:tc>
          <w:tcPr>
            <w:tcW w:w="20" w:type="dxa"/>
            <w:vAlign w:val="bottom"/>
          </w:tcPr>
          <w:p>
            <w:pPr>
              <w:spacing w:after="0"/>
              <w:rPr>
                <w:sz w:val="18"/>
                <w:szCs w:val="18"/>
                <w:color w:val="auto"/>
              </w:rPr>
            </w:pPr>
          </w:p>
        </w:tc>
        <w:tc>
          <w:tcPr>
            <w:tcW w:w="78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E7E7E2"/>
          </w:tcPr>
          <w:p>
            <w:pPr>
              <w:spacing w:after="0" w:line="171" w:lineRule="exact"/>
              <w:rPr>
                <w:sz w:val="20"/>
                <w:szCs w:val="20"/>
                <w:color w:val="auto"/>
              </w:rPr>
            </w:pPr>
            <w:r>
              <w:rPr>
                <w:rFonts w:ascii="Arial" w:cs="Arial" w:eastAsia="Arial" w:hAnsi="Arial"/>
                <w:sz w:val="16"/>
                <w:szCs w:val="16"/>
                <w:color w:val="auto"/>
              </w:rPr>
              <w:t>Fees</w:t>
            </w: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line="182" w:lineRule="exact"/>
              <w:rPr>
                <w:sz w:val="20"/>
                <w:szCs w:val="20"/>
                <w:color w:val="auto"/>
              </w:rPr>
            </w:pPr>
            <w:r>
              <w:rPr>
                <w:rFonts w:ascii="Arial" w:cs="Arial" w:eastAsia="Arial" w:hAnsi="Arial"/>
                <w:sz w:val="16"/>
                <w:szCs w:val="16"/>
                <w:color w:val="auto"/>
              </w:rPr>
              <w:t>Previously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Paid</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40" w:type="dxa"/>
            <w:vAlign w:val="bottom"/>
            <w:gridSpan w:val="5"/>
          </w:tcPr>
          <w:p>
            <w:pPr>
              <w:jc w:val="center"/>
              <w:ind w:right="219"/>
              <w:spacing w:after="0"/>
              <w:rPr>
                <w:sz w:val="20"/>
                <w:szCs w:val="20"/>
                <w:color w:val="auto"/>
              </w:rPr>
            </w:pPr>
            <w:r>
              <w:rPr>
                <w:rFonts w:ascii="Arial" w:cs="Arial" w:eastAsia="Arial" w:hAnsi="Arial"/>
                <w:sz w:val="16"/>
                <w:szCs w:val="16"/>
                <w:b w:val="1"/>
                <w:bCs w:val="1"/>
                <w:color w:val="auto"/>
              </w:rPr>
              <w:t>Carry Forward Securities</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ind w:left="20"/>
              <w:spacing w:after="0" w:line="177" w:lineRule="exact"/>
              <w:rPr>
                <w:sz w:val="20"/>
                <w:szCs w:val="20"/>
                <w:color w:val="auto"/>
              </w:rPr>
            </w:pPr>
            <w:r>
              <w:rPr>
                <w:rFonts w:ascii="Arial" w:cs="Arial" w:eastAsia="Arial" w:hAnsi="Arial"/>
                <w:sz w:val="16"/>
                <w:szCs w:val="16"/>
                <w:color w:val="auto"/>
              </w:rPr>
              <w:t>Class A</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ind w:left="20"/>
              <w:spacing w:after="0" w:line="182" w:lineRule="exact"/>
              <w:rPr>
                <w:sz w:val="20"/>
                <w:szCs w:val="20"/>
                <w:color w:val="auto"/>
              </w:rPr>
            </w:pPr>
            <w:r>
              <w:rPr>
                <w:rFonts w:ascii="Arial" w:cs="Arial" w:eastAsia="Arial" w:hAnsi="Arial"/>
                <w:sz w:val="16"/>
                <w:szCs w:val="16"/>
                <w:color w:val="auto"/>
              </w:rPr>
              <w:t>Common</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ind w:left="20"/>
              <w:spacing w:after="0" w:line="182" w:lineRule="exact"/>
              <w:rPr>
                <w:sz w:val="20"/>
                <w:szCs w:val="20"/>
                <w:color w:val="auto"/>
              </w:rPr>
            </w:pPr>
            <w:r>
              <w:rPr>
                <w:rFonts w:ascii="Arial" w:cs="Arial" w:eastAsia="Arial" w:hAnsi="Arial"/>
                <w:sz w:val="16"/>
                <w:szCs w:val="16"/>
                <w:color w:val="auto"/>
              </w:rPr>
              <w:t>Stock, par</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restart"/>
            <w:shd w:val="clear" w:color="auto" w:fill="E7E7E2"/>
          </w:tcPr>
          <w:p>
            <w:pPr>
              <w:ind w:left="20"/>
              <w:spacing w:after="0" w:line="182" w:lineRule="exact"/>
              <w:rPr>
                <w:sz w:val="20"/>
                <w:szCs w:val="20"/>
                <w:color w:val="auto"/>
              </w:rPr>
            </w:pPr>
            <w:r>
              <w:rPr>
                <w:rFonts w:ascii="Arial" w:cs="Arial" w:eastAsia="Arial" w:hAnsi="Arial"/>
                <w:sz w:val="16"/>
                <w:szCs w:val="16"/>
                <w:color w:val="auto"/>
              </w:rPr>
              <w:t>value</w:t>
            </w: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vMerge w:val="restart"/>
            <w:shd w:val="clear" w:color="auto" w:fill="E7E7E2"/>
          </w:tcPr>
          <w:p>
            <w:pPr>
              <w:jc w:val="center"/>
              <w:spacing w:after="0" w:line="182" w:lineRule="exact"/>
              <w:rPr>
                <w:sz w:val="20"/>
                <w:szCs w:val="20"/>
                <w:color w:val="auto"/>
              </w:rPr>
            </w:pPr>
            <w:r>
              <w:rPr>
                <w:rFonts w:ascii="Arial" w:cs="Arial" w:eastAsia="Arial" w:hAnsi="Arial"/>
                <w:sz w:val="16"/>
                <w:szCs w:val="16"/>
                <w:color w:val="auto"/>
                <w:w w:val="99"/>
              </w:rPr>
              <w:t>333-</w:t>
            </w:r>
          </w:p>
        </w:tc>
        <w:tc>
          <w:tcPr>
            <w:tcW w:w="20" w:type="dxa"/>
            <w:vAlign w:val="bottom"/>
          </w:tcPr>
          <w:p>
            <w:pPr>
              <w:spacing w:after="0"/>
              <w:rPr>
                <w:sz w:val="7"/>
                <w:szCs w:val="7"/>
                <w:color w:val="auto"/>
              </w:rPr>
            </w:pPr>
          </w:p>
        </w:tc>
        <w:tc>
          <w:tcPr>
            <w:tcW w:w="8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7"/>
                <w:szCs w:val="7"/>
                <w:color w:val="auto"/>
              </w:rPr>
            </w:pPr>
          </w:p>
        </w:tc>
        <w:tc>
          <w:tcPr>
            <w:tcW w:w="80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S-3</w:t>
            </w:r>
          </w:p>
        </w:tc>
        <w:tc>
          <w:tcPr>
            <w:tcW w:w="20" w:type="dxa"/>
            <w:vAlign w:val="bottom"/>
          </w:tcPr>
          <w:p>
            <w:pPr>
              <w:spacing w:after="0"/>
              <w:rPr>
                <w:sz w:val="7"/>
                <w:szCs w:val="7"/>
                <w:color w:val="auto"/>
              </w:rPr>
            </w:pPr>
          </w:p>
        </w:tc>
        <w:tc>
          <w:tcPr>
            <w:tcW w:w="6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05/11/2026</w:t>
            </w: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40" w:type="dxa"/>
            <w:vAlign w:val="bottom"/>
            <w:tcBorders>
              <w:left w:val="single" w:sz="8" w:color="auto"/>
            </w:tcBorders>
          </w:tcPr>
          <w:p>
            <w:pPr>
              <w:spacing w:after="0"/>
              <w:rPr>
                <w:sz w:val="14"/>
                <w:szCs w:val="14"/>
                <w:color w:val="auto"/>
              </w:rPr>
            </w:pPr>
          </w:p>
        </w:tc>
        <w:tc>
          <w:tcPr>
            <w:tcW w:w="7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ind w:left="20"/>
              <w:spacing w:after="0" w:line="162" w:lineRule="exact"/>
              <w:rPr>
                <w:sz w:val="20"/>
                <w:szCs w:val="20"/>
                <w:color w:val="auto"/>
              </w:rPr>
            </w:pPr>
            <w:r>
              <w:rPr>
                <w:rFonts w:ascii="Arial" w:cs="Arial" w:eastAsia="Arial" w:hAnsi="Arial"/>
                <w:sz w:val="16"/>
                <w:szCs w:val="16"/>
                <w:color w:val="auto"/>
              </w:rPr>
              <w:t>$0.0001</w:t>
            </w: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jc w:val="center"/>
              <w:spacing w:after="0" w:line="162" w:lineRule="exact"/>
              <w:rPr>
                <w:sz w:val="20"/>
                <w:szCs w:val="20"/>
                <w:color w:val="auto"/>
              </w:rPr>
            </w:pPr>
            <w:r>
              <w:rPr>
                <w:rFonts w:ascii="Arial" w:cs="Arial" w:eastAsia="Arial" w:hAnsi="Arial"/>
                <w:sz w:val="16"/>
                <w:szCs w:val="16"/>
                <w:color w:val="auto"/>
              </w:rPr>
              <w:t>295754</w:t>
            </w: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40" w:type="dxa"/>
            <w:vAlign w:val="bottom"/>
            <w:tcBorders>
              <w:left w:val="single" w:sz="8" w:color="auto"/>
            </w:tcBorders>
          </w:tcPr>
          <w:p>
            <w:pPr>
              <w:spacing w:after="0"/>
              <w:rPr>
                <w:sz w:val="17"/>
                <w:szCs w:val="17"/>
                <w:color w:val="auto"/>
              </w:rPr>
            </w:pPr>
          </w:p>
        </w:tc>
        <w:tc>
          <w:tcPr>
            <w:tcW w:w="760" w:type="dxa"/>
            <w:vAlign w:val="bottom"/>
            <w:shd w:val="clear" w:color="auto" w:fill="E7E7E2"/>
          </w:tcPr>
          <w:p>
            <w:pPr>
              <w:spacing w:after="0" w:line="182" w:lineRule="exact"/>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16"/>
                <w:szCs w:val="16"/>
                <w:color w:val="auto"/>
              </w:rPr>
              <w:t>per share</w:t>
            </w:r>
          </w:p>
        </w:tc>
        <w:tc>
          <w:tcPr>
            <w:tcW w:w="20" w:type="dxa"/>
            <w:vAlign w:val="bottom"/>
          </w:tcPr>
          <w:p>
            <w:pPr>
              <w:spacing w:after="0"/>
              <w:rPr>
                <w:sz w:val="17"/>
                <w:szCs w:val="17"/>
                <w:color w:val="auto"/>
              </w:rPr>
            </w:pPr>
          </w:p>
        </w:tc>
        <w:tc>
          <w:tcPr>
            <w:tcW w:w="9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Borders>
              <w:right w:val="single" w:sz="8" w:color="auto"/>
            </w:tcBorders>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ind w:left="20"/>
              <w:spacing w:after="0" w:line="182" w:lineRule="exact"/>
              <w:rPr>
                <w:sz w:val="20"/>
                <w:szCs w:val="20"/>
                <w:color w:val="auto"/>
              </w:rPr>
            </w:pPr>
            <w:r>
              <w:rPr>
                <w:rFonts w:ascii="Arial" w:cs="Arial" w:eastAsia="Arial" w:hAnsi="Arial"/>
                <w:sz w:val="16"/>
                <w:szCs w:val="16"/>
                <w:color w:val="auto"/>
              </w:rPr>
              <w:t>("Common</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16"/>
                <w:szCs w:val="16"/>
                <w:color w:val="auto"/>
              </w:rPr>
              <w:t>Stock")</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ind w:left="20"/>
              <w:spacing w:after="0" w:line="171" w:lineRule="exact"/>
              <w:rPr>
                <w:sz w:val="20"/>
                <w:szCs w:val="20"/>
                <w:color w:val="auto"/>
              </w:rPr>
            </w:pPr>
            <w:r>
              <w:rPr>
                <w:rFonts w:ascii="Arial" w:cs="Arial" w:eastAsia="Arial" w:hAnsi="Arial"/>
                <w:sz w:val="16"/>
                <w:szCs w:val="16"/>
                <w:color w:val="auto"/>
              </w:rPr>
              <w:t>Preferred</w:t>
            </w: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line="182"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ind w:left="20"/>
              <w:spacing w:after="0" w:line="182" w:lineRule="exact"/>
              <w:rPr>
                <w:sz w:val="20"/>
                <w:szCs w:val="20"/>
                <w:color w:val="auto"/>
              </w:rPr>
            </w:pPr>
            <w:r>
              <w:rPr>
                <w:rFonts w:ascii="Arial" w:cs="Arial" w:eastAsia="Arial" w:hAnsi="Arial"/>
                <w:sz w:val="16"/>
                <w:szCs w:val="16"/>
                <w:color w:val="auto"/>
              </w:rPr>
              <w:t>Stock, par</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333-</w:t>
            </w: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7"/>
                <w:szCs w:val="7"/>
                <w:color w:val="auto"/>
              </w:rPr>
            </w:pPr>
          </w:p>
        </w:tc>
        <w:tc>
          <w:tcPr>
            <w:tcW w:w="8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value</w:t>
            </w: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S-3</w:t>
            </w:r>
          </w:p>
        </w:tc>
        <w:tc>
          <w:tcPr>
            <w:tcW w:w="20" w:type="dxa"/>
            <w:vAlign w:val="bottom"/>
          </w:tcPr>
          <w:p>
            <w:pPr>
              <w:spacing w:after="0"/>
              <w:rPr>
                <w:sz w:val="7"/>
                <w:szCs w:val="7"/>
                <w:color w:val="auto"/>
              </w:rPr>
            </w:pPr>
          </w:p>
        </w:tc>
        <w:tc>
          <w:tcPr>
            <w:tcW w:w="6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05/11/2026</w:t>
            </w: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40" w:type="dxa"/>
            <w:vAlign w:val="bottom"/>
            <w:tcBorders>
              <w:left w:val="single" w:sz="8" w:color="auto"/>
            </w:tcBorders>
          </w:tcPr>
          <w:p>
            <w:pPr>
              <w:spacing w:after="0"/>
              <w:rPr>
                <w:sz w:val="14"/>
                <w:szCs w:val="14"/>
                <w:color w:val="auto"/>
              </w:rPr>
            </w:pPr>
          </w:p>
        </w:tc>
        <w:tc>
          <w:tcPr>
            <w:tcW w:w="7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jc w:val="center"/>
              <w:spacing w:after="0" w:line="162" w:lineRule="exact"/>
              <w:rPr>
                <w:sz w:val="20"/>
                <w:szCs w:val="20"/>
                <w:color w:val="auto"/>
              </w:rPr>
            </w:pPr>
            <w:r>
              <w:rPr>
                <w:rFonts w:ascii="Arial" w:cs="Arial" w:eastAsia="Arial" w:hAnsi="Arial"/>
                <w:sz w:val="16"/>
                <w:szCs w:val="16"/>
                <w:color w:val="auto"/>
              </w:rPr>
              <w:t>295754</w:t>
            </w: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40" w:type="dxa"/>
            <w:vAlign w:val="bottom"/>
            <w:tcBorders>
              <w:left w:val="single" w:sz="8" w:color="auto"/>
            </w:tcBorders>
          </w:tcPr>
          <w:p>
            <w:pPr>
              <w:spacing w:after="0"/>
              <w:rPr>
                <w:sz w:val="9"/>
                <w:szCs w:val="9"/>
                <w:color w:val="auto"/>
              </w:rPr>
            </w:pPr>
          </w:p>
        </w:tc>
        <w:tc>
          <w:tcPr>
            <w:tcW w:w="760" w:type="dxa"/>
            <w:vAlign w:val="bottom"/>
            <w:shd w:val="clear" w:color="auto" w:fill="E7E7E2"/>
          </w:tcPr>
          <w:p>
            <w:pPr>
              <w:spacing w:after="0" w:line="111" w:lineRule="exact"/>
              <w:rPr>
                <w:sz w:val="20"/>
                <w:szCs w:val="20"/>
                <w:color w:val="auto"/>
              </w:rPr>
            </w:pPr>
            <w:r>
              <w:rPr>
                <w:rFonts w:ascii="Arial" w:cs="Arial" w:eastAsia="Arial" w:hAnsi="Arial"/>
                <w:sz w:val="12"/>
                <w:szCs w:val="12"/>
                <w:color w:val="auto"/>
              </w:rPr>
              <w:t>Securities</w:t>
            </w:r>
          </w:p>
        </w:tc>
        <w:tc>
          <w:tcPr>
            <w:tcW w:w="20" w:type="dxa"/>
            <w:vAlign w:val="bottom"/>
          </w:tcPr>
          <w:p>
            <w:pPr>
              <w:spacing w:after="0"/>
              <w:rPr>
                <w:sz w:val="9"/>
                <w:szCs w:val="9"/>
                <w:color w:val="auto"/>
              </w:rPr>
            </w:pPr>
          </w:p>
        </w:tc>
        <w:tc>
          <w:tcPr>
            <w:tcW w:w="1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shd w:val="clear" w:color="auto" w:fill="E7E7E2"/>
          </w:tcPr>
          <w:p>
            <w:pPr>
              <w:ind w:left="20"/>
              <w:spacing w:after="0" w:line="111" w:lineRule="exact"/>
              <w:rPr>
                <w:sz w:val="20"/>
                <w:szCs w:val="20"/>
                <w:color w:val="auto"/>
              </w:rPr>
            </w:pPr>
            <w:r>
              <w:rPr>
                <w:rFonts w:ascii="Arial" w:cs="Arial" w:eastAsia="Arial" w:hAnsi="Arial"/>
                <w:sz w:val="12"/>
                <w:szCs w:val="12"/>
                <w:color w:val="auto"/>
              </w:rPr>
              <w:t>$0.0001</w:t>
            </w:r>
          </w:p>
        </w:tc>
        <w:tc>
          <w:tcPr>
            <w:tcW w:w="20" w:type="dxa"/>
            <w:vAlign w:val="bottom"/>
          </w:tcPr>
          <w:p>
            <w:pPr>
              <w:spacing w:after="0"/>
              <w:rPr>
                <w:sz w:val="9"/>
                <w:szCs w:val="9"/>
                <w:color w:val="auto"/>
              </w:rPr>
            </w:pPr>
          </w:p>
        </w:tc>
        <w:tc>
          <w:tcPr>
            <w:tcW w:w="9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Borders>
              <w:right w:val="single" w:sz="8" w:color="auto"/>
            </w:tcBorders>
            <w:shd w:val="clear" w:color="auto" w:fill="E7E7E2"/>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16"/>
                <w:szCs w:val="16"/>
                <w:color w:val="auto"/>
              </w:rPr>
              <w:t>per share</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E7E7E2"/>
          </w:tcPr>
          <w:p>
            <w:pPr>
              <w:spacing w:after="0" w:line="171"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333-</w:t>
            </w:r>
          </w:p>
        </w:tc>
        <w:tc>
          <w:tcPr>
            <w:tcW w:w="20" w:type="dxa"/>
            <w:vAlign w:val="bottom"/>
          </w:tcPr>
          <w:p>
            <w:pPr>
              <w:spacing w:after="0"/>
              <w:rPr>
                <w:sz w:val="14"/>
                <w:szCs w:val="14"/>
                <w:color w:val="auto"/>
              </w:rPr>
            </w:pPr>
          </w:p>
        </w:tc>
        <w:tc>
          <w:tcPr>
            <w:tcW w:w="8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7"/>
                <w:szCs w:val="7"/>
                <w:color w:val="auto"/>
              </w:rPr>
            </w:pPr>
          </w:p>
        </w:tc>
        <w:tc>
          <w:tcPr>
            <w:tcW w:w="80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S-3</w:t>
            </w:r>
          </w:p>
        </w:tc>
        <w:tc>
          <w:tcPr>
            <w:tcW w:w="20" w:type="dxa"/>
            <w:vAlign w:val="bottom"/>
          </w:tcPr>
          <w:p>
            <w:pPr>
              <w:spacing w:after="0"/>
              <w:rPr>
                <w:sz w:val="7"/>
                <w:szCs w:val="7"/>
                <w:color w:val="auto"/>
              </w:rPr>
            </w:pPr>
          </w:p>
        </w:tc>
        <w:tc>
          <w:tcPr>
            <w:tcW w:w="6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05/11/2026</w:t>
            </w: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40" w:type="dxa"/>
            <w:vAlign w:val="bottom"/>
            <w:tcBorders>
              <w:left w:val="single" w:sz="8" w:color="auto"/>
            </w:tcBorders>
          </w:tcPr>
          <w:p>
            <w:pPr>
              <w:spacing w:after="0"/>
              <w:rPr>
                <w:sz w:val="14"/>
                <w:szCs w:val="14"/>
                <w:color w:val="auto"/>
              </w:rPr>
            </w:pPr>
          </w:p>
        </w:tc>
        <w:tc>
          <w:tcPr>
            <w:tcW w:w="7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ind w:left="20"/>
              <w:spacing w:after="0" w:line="162" w:lineRule="exact"/>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jc w:val="center"/>
              <w:spacing w:after="0" w:line="162" w:lineRule="exact"/>
              <w:rPr>
                <w:sz w:val="20"/>
                <w:szCs w:val="20"/>
                <w:color w:val="auto"/>
              </w:rPr>
            </w:pPr>
            <w:r>
              <w:rPr>
                <w:rFonts w:ascii="Arial" w:cs="Arial" w:eastAsia="Arial" w:hAnsi="Arial"/>
                <w:sz w:val="16"/>
                <w:szCs w:val="16"/>
                <w:color w:val="auto"/>
              </w:rPr>
              <w:t>295754</w:t>
            </w: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40" w:type="dxa"/>
            <w:vAlign w:val="bottom"/>
            <w:tcBorders>
              <w:left w:val="single" w:sz="8" w:color="auto"/>
            </w:tcBorders>
          </w:tcPr>
          <w:p>
            <w:pPr>
              <w:spacing w:after="0"/>
              <w:rPr>
                <w:sz w:val="12"/>
                <w:szCs w:val="12"/>
                <w:color w:val="auto"/>
              </w:rPr>
            </w:pPr>
          </w:p>
        </w:tc>
        <w:tc>
          <w:tcPr>
            <w:tcW w:w="760" w:type="dxa"/>
            <w:vAlign w:val="bottom"/>
            <w:shd w:val="clear" w:color="auto" w:fill="E7E7E2"/>
          </w:tcPr>
          <w:p>
            <w:pPr>
              <w:spacing w:after="0" w:line="142" w:lineRule="exact"/>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2"/>
                <w:szCs w:val="12"/>
                <w:color w:val="auto"/>
              </w:rPr>
            </w:pPr>
          </w:p>
        </w:tc>
        <w:tc>
          <w:tcPr>
            <w:tcW w:w="1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Borders>
              <w:right w:val="single" w:sz="8" w:color="auto"/>
            </w:tcBorders>
            <w:shd w:val="clear" w:color="auto" w:fill="E7E7E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E7E7E2"/>
          </w:tcPr>
          <w:p>
            <w:pPr>
              <w:spacing w:after="0" w:line="171"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333-</w:t>
            </w:r>
          </w:p>
        </w:tc>
        <w:tc>
          <w:tcPr>
            <w:tcW w:w="20" w:type="dxa"/>
            <w:vAlign w:val="bottom"/>
          </w:tcPr>
          <w:p>
            <w:pPr>
              <w:spacing w:after="0"/>
              <w:rPr>
                <w:sz w:val="14"/>
                <w:szCs w:val="14"/>
                <w:color w:val="auto"/>
              </w:rPr>
            </w:pPr>
          </w:p>
        </w:tc>
        <w:tc>
          <w:tcPr>
            <w:tcW w:w="8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7"/>
                <w:szCs w:val="7"/>
                <w:color w:val="auto"/>
              </w:rPr>
            </w:pPr>
          </w:p>
        </w:tc>
        <w:tc>
          <w:tcPr>
            <w:tcW w:w="8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Warrants</w:t>
            </w: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S-3</w:t>
            </w:r>
          </w:p>
        </w:tc>
        <w:tc>
          <w:tcPr>
            <w:tcW w:w="20" w:type="dxa"/>
            <w:vAlign w:val="bottom"/>
          </w:tcPr>
          <w:p>
            <w:pPr>
              <w:spacing w:after="0"/>
              <w:rPr>
                <w:sz w:val="7"/>
                <w:szCs w:val="7"/>
                <w:color w:val="auto"/>
              </w:rPr>
            </w:pPr>
          </w:p>
        </w:tc>
        <w:tc>
          <w:tcPr>
            <w:tcW w:w="6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05/11/2026</w:t>
            </w: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40" w:type="dxa"/>
            <w:vAlign w:val="bottom"/>
            <w:tcBorders>
              <w:left w:val="single" w:sz="8" w:color="auto"/>
            </w:tcBorders>
          </w:tcPr>
          <w:p>
            <w:pPr>
              <w:spacing w:after="0"/>
              <w:rPr>
                <w:sz w:val="9"/>
                <w:szCs w:val="9"/>
                <w:color w:val="auto"/>
              </w:rPr>
            </w:pPr>
          </w:p>
        </w:tc>
        <w:tc>
          <w:tcPr>
            <w:tcW w:w="76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shd w:val="clear" w:color="auto" w:fill="E7E7E2"/>
          </w:tcPr>
          <w:p>
            <w:pPr>
              <w:jc w:val="center"/>
              <w:spacing w:after="0" w:line="107" w:lineRule="exact"/>
              <w:rPr>
                <w:sz w:val="20"/>
                <w:szCs w:val="20"/>
                <w:color w:val="auto"/>
              </w:rPr>
            </w:pPr>
            <w:r>
              <w:rPr>
                <w:rFonts w:ascii="Arial" w:cs="Arial" w:eastAsia="Arial" w:hAnsi="Arial"/>
                <w:sz w:val="12"/>
                <w:szCs w:val="12"/>
                <w:color w:val="auto"/>
              </w:rPr>
              <w:t>295754</w:t>
            </w:r>
          </w:p>
        </w:tc>
        <w:tc>
          <w:tcPr>
            <w:tcW w:w="20" w:type="dxa"/>
            <w:vAlign w:val="bottom"/>
          </w:tcPr>
          <w:p>
            <w:pPr>
              <w:spacing w:after="0"/>
              <w:rPr>
                <w:sz w:val="9"/>
                <w:szCs w:val="9"/>
                <w:color w:val="auto"/>
              </w:rPr>
            </w:pPr>
          </w:p>
        </w:tc>
        <w:tc>
          <w:tcPr>
            <w:tcW w:w="82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Borders>
              <w:right w:val="single" w:sz="8" w:color="auto"/>
            </w:tcBorders>
            <w:shd w:val="clear" w:color="auto" w:fill="E7E7E2"/>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Borders>
              <w:right w:val="single" w:sz="8" w:color="auto"/>
            </w:tcBorders>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E7E7E2"/>
          </w:tcPr>
          <w:p>
            <w:pPr>
              <w:spacing w:after="0" w:line="171"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333-</w:t>
            </w:r>
          </w:p>
        </w:tc>
        <w:tc>
          <w:tcPr>
            <w:tcW w:w="20" w:type="dxa"/>
            <w:vAlign w:val="bottom"/>
          </w:tcPr>
          <w:p>
            <w:pPr>
              <w:spacing w:after="0"/>
              <w:rPr>
                <w:sz w:val="14"/>
                <w:szCs w:val="14"/>
                <w:color w:val="auto"/>
              </w:rPr>
            </w:pPr>
          </w:p>
        </w:tc>
        <w:tc>
          <w:tcPr>
            <w:tcW w:w="8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7"/>
                <w:szCs w:val="7"/>
                <w:color w:val="auto"/>
              </w:rPr>
            </w:pPr>
          </w:p>
        </w:tc>
        <w:tc>
          <w:tcPr>
            <w:tcW w:w="8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Rights</w:t>
            </w: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S-3</w:t>
            </w:r>
          </w:p>
        </w:tc>
        <w:tc>
          <w:tcPr>
            <w:tcW w:w="20" w:type="dxa"/>
            <w:vAlign w:val="bottom"/>
          </w:tcPr>
          <w:p>
            <w:pPr>
              <w:spacing w:after="0"/>
              <w:rPr>
                <w:sz w:val="7"/>
                <w:szCs w:val="7"/>
                <w:color w:val="auto"/>
              </w:rPr>
            </w:pPr>
          </w:p>
        </w:tc>
        <w:tc>
          <w:tcPr>
            <w:tcW w:w="6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05/11/2026</w:t>
            </w: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40" w:type="dxa"/>
            <w:vAlign w:val="bottom"/>
            <w:tcBorders>
              <w:left w:val="single" w:sz="8" w:color="auto"/>
            </w:tcBorders>
          </w:tcPr>
          <w:p>
            <w:pPr>
              <w:spacing w:after="0"/>
              <w:rPr>
                <w:sz w:val="14"/>
                <w:szCs w:val="14"/>
                <w:color w:val="auto"/>
              </w:rPr>
            </w:pPr>
          </w:p>
        </w:tc>
        <w:tc>
          <w:tcPr>
            <w:tcW w:w="7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jc w:val="center"/>
              <w:spacing w:after="0" w:line="162" w:lineRule="exact"/>
              <w:rPr>
                <w:sz w:val="20"/>
                <w:szCs w:val="20"/>
                <w:color w:val="auto"/>
              </w:rPr>
            </w:pPr>
            <w:r>
              <w:rPr>
                <w:rFonts w:ascii="Arial" w:cs="Arial" w:eastAsia="Arial" w:hAnsi="Arial"/>
                <w:sz w:val="16"/>
                <w:szCs w:val="16"/>
                <w:color w:val="auto"/>
              </w:rPr>
              <w:t>295754</w:t>
            </w: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40" w:type="dxa"/>
            <w:vAlign w:val="bottom"/>
            <w:tcBorders>
              <w:left w:val="single" w:sz="8" w:color="auto"/>
            </w:tcBorders>
          </w:tcPr>
          <w:p>
            <w:pPr>
              <w:spacing w:after="0"/>
              <w:rPr>
                <w:sz w:val="12"/>
                <w:szCs w:val="12"/>
                <w:color w:val="auto"/>
              </w:rPr>
            </w:pPr>
          </w:p>
        </w:tc>
        <w:tc>
          <w:tcPr>
            <w:tcW w:w="760" w:type="dxa"/>
            <w:vAlign w:val="bottom"/>
            <w:shd w:val="clear" w:color="auto" w:fill="E7E7E2"/>
          </w:tcPr>
          <w:p>
            <w:pPr>
              <w:spacing w:after="0" w:line="142" w:lineRule="exact"/>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2"/>
                <w:szCs w:val="12"/>
                <w:color w:val="auto"/>
              </w:rPr>
            </w:pPr>
          </w:p>
        </w:tc>
        <w:tc>
          <w:tcPr>
            <w:tcW w:w="1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Borders>
              <w:right w:val="single" w:sz="8" w:color="auto"/>
            </w:tcBorders>
            <w:shd w:val="clear" w:color="auto" w:fill="E7E7E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E7E7E2"/>
          </w:tcPr>
          <w:p>
            <w:pPr>
              <w:spacing w:after="0" w:line="171"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333-</w:t>
            </w:r>
          </w:p>
        </w:tc>
        <w:tc>
          <w:tcPr>
            <w:tcW w:w="20" w:type="dxa"/>
            <w:vAlign w:val="bottom"/>
          </w:tcPr>
          <w:p>
            <w:pPr>
              <w:spacing w:after="0"/>
              <w:rPr>
                <w:sz w:val="14"/>
                <w:szCs w:val="14"/>
                <w:color w:val="auto"/>
              </w:rPr>
            </w:pPr>
          </w:p>
        </w:tc>
        <w:tc>
          <w:tcPr>
            <w:tcW w:w="8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7"/>
                <w:szCs w:val="7"/>
                <w:color w:val="auto"/>
              </w:rPr>
            </w:pPr>
          </w:p>
        </w:tc>
        <w:tc>
          <w:tcPr>
            <w:tcW w:w="8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Units</w:t>
            </w: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S-3</w:t>
            </w:r>
          </w:p>
        </w:tc>
        <w:tc>
          <w:tcPr>
            <w:tcW w:w="20" w:type="dxa"/>
            <w:vAlign w:val="bottom"/>
          </w:tcPr>
          <w:p>
            <w:pPr>
              <w:spacing w:after="0"/>
              <w:rPr>
                <w:sz w:val="7"/>
                <w:szCs w:val="7"/>
                <w:color w:val="auto"/>
              </w:rPr>
            </w:pPr>
          </w:p>
        </w:tc>
        <w:tc>
          <w:tcPr>
            <w:tcW w:w="6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05/11/2026</w:t>
            </w: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40" w:type="dxa"/>
            <w:vAlign w:val="bottom"/>
            <w:tcBorders>
              <w:left w:val="single" w:sz="8" w:color="auto"/>
            </w:tcBorders>
          </w:tcPr>
          <w:p>
            <w:pPr>
              <w:spacing w:after="0"/>
              <w:rPr>
                <w:sz w:val="14"/>
                <w:szCs w:val="14"/>
                <w:color w:val="auto"/>
              </w:rPr>
            </w:pPr>
          </w:p>
        </w:tc>
        <w:tc>
          <w:tcPr>
            <w:tcW w:w="7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jc w:val="center"/>
              <w:spacing w:after="0" w:line="162" w:lineRule="exact"/>
              <w:rPr>
                <w:sz w:val="20"/>
                <w:szCs w:val="20"/>
                <w:color w:val="auto"/>
              </w:rPr>
            </w:pPr>
            <w:r>
              <w:rPr>
                <w:rFonts w:ascii="Arial" w:cs="Arial" w:eastAsia="Arial" w:hAnsi="Arial"/>
                <w:sz w:val="16"/>
                <w:szCs w:val="16"/>
                <w:color w:val="auto"/>
              </w:rPr>
              <w:t>295754</w:t>
            </w: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40" w:type="dxa"/>
            <w:vAlign w:val="bottom"/>
            <w:tcBorders>
              <w:left w:val="single" w:sz="8" w:color="auto"/>
            </w:tcBorders>
          </w:tcPr>
          <w:p>
            <w:pPr>
              <w:spacing w:after="0"/>
              <w:rPr>
                <w:sz w:val="12"/>
                <w:szCs w:val="12"/>
                <w:color w:val="auto"/>
              </w:rPr>
            </w:pPr>
          </w:p>
        </w:tc>
        <w:tc>
          <w:tcPr>
            <w:tcW w:w="760" w:type="dxa"/>
            <w:vAlign w:val="bottom"/>
            <w:shd w:val="clear" w:color="auto" w:fill="E7E7E2"/>
          </w:tcPr>
          <w:p>
            <w:pPr>
              <w:spacing w:after="0" w:line="142" w:lineRule="exact"/>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2"/>
                <w:szCs w:val="12"/>
                <w:color w:val="auto"/>
              </w:rPr>
            </w:pPr>
          </w:p>
        </w:tc>
        <w:tc>
          <w:tcPr>
            <w:tcW w:w="1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Borders>
              <w:right w:val="single" w:sz="8" w:color="auto"/>
            </w:tcBorders>
            <w:shd w:val="clear" w:color="auto" w:fill="E7E7E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E7E7E2"/>
          </w:tcPr>
          <w:p>
            <w:pPr>
              <w:spacing w:after="0" w:line="171"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line="171" w:lineRule="exact"/>
              <w:rPr>
                <w:sz w:val="20"/>
                <w:szCs w:val="20"/>
                <w:color w:val="auto"/>
              </w:rPr>
            </w:pPr>
            <w:r>
              <w:rPr>
                <w:rFonts w:ascii="Arial" w:cs="Arial" w:eastAsia="Arial" w:hAnsi="Arial"/>
                <w:sz w:val="16"/>
                <w:szCs w:val="16"/>
                <w:color w:val="auto"/>
                <w:w w:val="99"/>
              </w:rPr>
              <w:t>Unallocated</w:t>
            </w: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333-</w:t>
            </w:r>
          </w:p>
        </w:tc>
        <w:tc>
          <w:tcPr>
            <w:tcW w:w="20" w:type="dxa"/>
            <w:vAlign w:val="bottom"/>
          </w:tcPr>
          <w:p>
            <w:pPr>
              <w:spacing w:after="0"/>
              <w:rPr>
                <w:sz w:val="14"/>
                <w:szCs w:val="14"/>
                <w:color w:val="auto"/>
              </w:rPr>
            </w:pPr>
          </w:p>
        </w:tc>
        <w:tc>
          <w:tcPr>
            <w:tcW w:w="8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8</w:t>
            </w:r>
          </w:p>
        </w:tc>
        <w:tc>
          <w:tcPr>
            <w:tcW w:w="20" w:type="dxa"/>
            <w:vAlign w:val="bottom"/>
          </w:tcPr>
          <w:p>
            <w:pPr>
              <w:spacing w:after="0"/>
              <w:rPr>
                <w:sz w:val="7"/>
                <w:szCs w:val="7"/>
                <w:color w:val="auto"/>
              </w:rPr>
            </w:pPr>
          </w:p>
        </w:tc>
        <w:tc>
          <w:tcPr>
            <w:tcW w:w="8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(Universal)</w:t>
            </w: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S-3</w:t>
            </w:r>
          </w:p>
        </w:tc>
        <w:tc>
          <w:tcPr>
            <w:tcW w:w="20" w:type="dxa"/>
            <w:vAlign w:val="bottom"/>
          </w:tcPr>
          <w:p>
            <w:pPr>
              <w:spacing w:after="0"/>
              <w:rPr>
                <w:sz w:val="7"/>
                <w:szCs w:val="7"/>
                <w:color w:val="auto"/>
              </w:rPr>
            </w:pPr>
          </w:p>
        </w:tc>
        <w:tc>
          <w:tcPr>
            <w:tcW w:w="6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05/11/2026</w:t>
            </w:r>
          </w:p>
        </w:tc>
        <w:tc>
          <w:tcPr>
            <w:tcW w:w="20" w:type="dxa"/>
            <w:vAlign w:val="bottom"/>
          </w:tcPr>
          <w:p>
            <w:pPr>
              <w:spacing w:after="0"/>
              <w:rPr>
                <w:sz w:val="7"/>
                <w:szCs w:val="7"/>
                <w:color w:val="auto"/>
              </w:rPr>
            </w:pPr>
          </w:p>
        </w:tc>
        <w:tc>
          <w:tcPr>
            <w:tcW w:w="940" w:type="dxa"/>
            <w:vAlign w:val="bottom"/>
            <w:tcBorders>
              <w:right w:val="single" w:sz="8" w:color="auto"/>
            </w:tcBorders>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$ 34,525.00</w:t>
            </w:r>
          </w:p>
        </w:tc>
        <w:tc>
          <w:tcPr>
            <w:tcW w:w="0" w:type="dxa"/>
            <w:vAlign w:val="bottom"/>
          </w:tcPr>
          <w:p>
            <w:pPr>
              <w:spacing w:after="0"/>
              <w:rPr>
                <w:sz w:val="1"/>
                <w:szCs w:val="1"/>
                <w:color w:val="auto"/>
              </w:rPr>
            </w:pPr>
          </w:p>
        </w:tc>
      </w:tr>
      <w:tr>
        <w:trPr>
          <w:trHeight w:val="162"/>
        </w:trPr>
        <w:tc>
          <w:tcPr>
            <w:tcW w:w="40" w:type="dxa"/>
            <w:vAlign w:val="bottom"/>
            <w:tcBorders>
              <w:left w:val="single" w:sz="8" w:color="auto"/>
            </w:tcBorders>
          </w:tcPr>
          <w:p>
            <w:pPr>
              <w:spacing w:after="0"/>
              <w:rPr>
                <w:sz w:val="14"/>
                <w:szCs w:val="14"/>
                <w:color w:val="auto"/>
              </w:rPr>
            </w:pPr>
          </w:p>
        </w:tc>
        <w:tc>
          <w:tcPr>
            <w:tcW w:w="7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jc w:val="right"/>
              <w:spacing w:after="0" w:line="162" w:lineRule="exact"/>
              <w:rPr>
                <w:sz w:val="20"/>
                <w:szCs w:val="20"/>
                <w:color w:val="auto"/>
              </w:rPr>
            </w:pPr>
            <w:r>
              <w:rPr>
                <w:rFonts w:ascii="Arial" w:cs="Arial" w:eastAsia="Arial" w:hAnsi="Arial"/>
                <w:sz w:val="16"/>
                <w:szCs w:val="16"/>
                <w:color w:val="auto"/>
              </w:rPr>
              <w:t>125,000,000.00</w:t>
            </w: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jc w:val="center"/>
              <w:spacing w:after="0" w:line="162" w:lineRule="exact"/>
              <w:rPr>
                <w:sz w:val="20"/>
                <w:szCs w:val="20"/>
                <w:color w:val="auto"/>
              </w:rPr>
            </w:pPr>
            <w:r>
              <w:rPr>
                <w:rFonts w:ascii="Arial" w:cs="Arial" w:eastAsia="Arial" w:hAnsi="Arial"/>
                <w:sz w:val="16"/>
                <w:szCs w:val="16"/>
                <w:color w:val="auto"/>
              </w:rPr>
              <w:t>295754</w:t>
            </w: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vMerge w:val="continue"/>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40" w:type="dxa"/>
            <w:vAlign w:val="bottom"/>
            <w:tcBorders>
              <w:left w:val="single" w:sz="8" w:color="auto"/>
            </w:tcBorders>
          </w:tcPr>
          <w:p>
            <w:pPr>
              <w:spacing w:after="0"/>
              <w:rPr>
                <w:sz w:val="12"/>
                <w:szCs w:val="12"/>
                <w:color w:val="auto"/>
              </w:rPr>
            </w:pPr>
          </w:p>
        </w:tc>
        <w:tc>
          <w:tcPr>
            <w:tcW w:w="760" w:type="dxa"/>
            <w:vAlign w:val="bottom"/>
            <w:shd w:val="clear" w:color="auto" w:fill="E7E7E2"/>
          </w:tcPr>
          <w:p>
            <w:pPr>
              <w:spacing w:after="0" w:line="142" w:lineRule="exact"/>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2"/>
                <w:szCs w:val="12"/>
                <w:color w:val="auto"/>
              </w:rPr>
            </w:pPr>
          </w:p>
        </w:tc>
        <w:tc>
          <w:tcPr>
            <w:tcW w:w="1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shd w:val="clear" w:color="auto" w:fill="E7E7E2"/>
          </w:tcPr>
          <w:p>
            <w:pPr>
              <w:spacing w:after="0" w:line="142" w:lineRule="exact"/>
              <w:rPr>
                <w:sz w:val="20"/>
                <w:szCs w:val="20"/>
                <w:color w:val="auto"/>
              </w:rPr>
            </w:pPr>
            <w:r>
              <w:rPr>
                <w:rFonts w:ascii="Arial" w:cs="Arial" w:eastAsia="Arial" w:hAnsi="Arial"/>
                <w:sz w:val="16"/>
                <w:szCs w:val="16"/>
                <w:color w:val="auto"/>
              </w:rPr>
              <w:t>Shelf</w:t>
            </w:r>
          </w:p>
        </w:tc>
        <w:tc>
          <w:tcPr>
            <w:tcW w:w="20" w:type="dxa"/>
            <w:vAlign w:val="bottom"/>
          </w:tcPr>
          <w:p>
            <w:pPr>
              <w:spacing w:after="0"/>
              <w:rPr>
                <w:sz w:val="12"/>
                <w:szCs w:val="12"/>
                <w:color w:val="auto"/>
              </w:rPr>
            </w:pPr>
          </w:p>
        </w:tc>
        <w:tc>
          <w:tcPr>
            <w:tcW w:w="8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Borders>
              <w:right w:val="single" w:sz="8" w:color="auto"/>
            </w:tcBorders>
            <w:shd w:val="clear" w:color="auto" w:fill="E7E7E2"/>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Arial" w:cs="Arial" w:eastAsia="Arial" w:hAnsi="Arial"/>
                <w:sz w:val="16"/>
                <w:szCs w:val="16"/>
                <w:color w:val="auto"/>
              </w:rPr>
              <w:t>Total Offering Amounts:</w:t>
            </w: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$ 51,787.50</w:t>
            </w: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0" w:type="dxa"/>
            <w:vAlign w:val="bottom"/>
            <w:tcBorders>
              <w:lef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500,000,000.00</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0" w:type="dxa"/>
            <w:vAlign w:val="bottom"/>
            <w:gridSpan w:val="5"/>
          </w:tcPr>
          <w:p>
            <w:pPr>
              <w:jc w:val="right"/>
              <w:spacing w:after="0"/>
              <w:rPr>
                <w:sz w:val="20"/>
                <w:szCs w:val="20"/>
                <w:color w:val="auto"/>
              </w:rPr>
            </w:pPr>
            <w:r>
              <w:rPr>
                <w:rFonts w:ascii="Arial" w:cs="Arial" w:eastAsia="Arial" w:hAnsi="Arial"/>
                <w:sz w:val="16"/>
                <w:szCs w:val="16"/>
                <w:color w:val="auto"/>
              </w:rPr>
              <w:t>Total Fees Previously Paid:</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80" w:type="dxa"/>
            <w:vAlign w:val="bottom"/>
            <w:gridSpan w:val="3"/>
          </w:tcPr>
          <w:p>
            <w:pPr>
              <w:jc w:val="right"/>
              <w:spacing w:after="0"/>
              <w:rPr>
                <w:sz w:val="20"/>
                <w:szCs w:val="20"/>
                <w:color w:val="auto"/>
              </w:rPr>
            </w:pPr>
            <w:r>
              <w:rPr>
                <w:rFonts w:ascii="Arial" w:cs="Arial" w:eastAsia="Arial" w:hAnsi="Arial"/>
                <w:sz w:val="16"/>
                <w:szCs w:val="16"/>
                <w:color w:val="auto"/>
              </w:rPr>
              <w:t>Total Fee Offsets:</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0" w:type="dxa"/>
            <w:vAlign w:val="bottom"/>
            <w:tcBorders>
              <w:left w:val="single" w:sz="8" w:color="auto"/>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Net Fee Due:</w:t>
            </w:r>
          </w:p>
        </w:tc>
        <w:tc>
          <w:tcPr>
            <w:tcW w:w="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$ 51,787.50</w:t>
            </w:r>
          </w:p>
        </w:tc>
        <w:tc>
          <w:tcPr>
            <w:tcW w:w="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Offering Note</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0"/>
          <w:szCs w:val="10"/>
          <w:color w:val="auto"/>
        </w:rPr>
        <w:t>1</w:t>
      </w:r>
    </w:p>
    <w:p>
      <w:pPr>
        <w:sectPr>
          <w:pgSz w:w="11900" w:h="16848" w:orient="portrait"/>
          <w:cols w:equalWidth="0" w:num="1">
            <w:col w:w="11360"/>
          </w:cols>
          <w:pgMar w:left="300" w:top="141" w:right="239" w:bottom="0" w:gutter="0" w:footer="0" w:header="0"/>
        </w:sectPr>
      </w:pPr>
    </w:p>
    <w:p>
      <w:pPr>
        <w:spacing w:after="0" w:line="57" w:lineRule="exact"/>
        <w:rPr>
          <w:sz w:val="20"/>
          <w:szCs w:val="20"/>
          <w:color w:val="auto"/>
        </w:rPr>
      </w:pPr>
    </w:p>
    <w:p>
      <w:pPr>
        <w:ind w:left="200" w:right="140"/>
        <w:spacing w:after="0" w:line="276" w:lineRule="auto"/>
        <w:rPr>
          <w:sz w:val="20"/>
          <w:szCs w:val="20"/>
          <w:color w:val="auto"/>
        </w:rPr>
      </w:pPr>
      <w:r>
        <w:rPr>
          <w:rFonts w:ascii="Arial" w:cs="Arial" w:eastAsia="Arial" w:hAnsi="Arial"/>
          <w:sz w:val="16"/>
          <w:szCs w:val="16"/>
          <w:color w:val="auto"/>
        </w:rPr>
        <w:t>This registration statement registers an unspecified number of securities or aggregate principal amount, as applicable, as may from time to time be offered at unspecified prices and, in addition, an unspecified number of additional shares of common stock as may be issued from time to time upon conversion of</w:t>
      </w:r>
    </w:p>
    <w:p>
      <w:pPr>
        <w:sectPr>
          <w:pgSz w:w="11900" w:h="16848" w:orient="portrait"/>
          <w:cols w:equalWidth="0" w:num="1">
            <w:col w:w="11360"/>
          </w:cols>
          <w:pgMar w:left="300" w:top="141" w:right="239" w:bottom="0" w:gutter="0" w:footer="0" w:header="0"/>
          <w:type w:val="continuous"/>
        </w:sectPr>
      </w:pPr>
    </w:p>
    <w:bookmarkStart w:id="147" w:name="page148"/>
    <w:bookmarkEnd w:id="147"/>
    <w:p>
      <w:pPr>
        <w:ind w:left="200" w:right="220"/>
        <w:spacing w:after="0" w:line="242" w:lineRule="auto"/>
        <w:rPr>
          <w:sz w:val="20"/>
          <w:szCs w:val="20"/>
          <w:color w:val="auto"/>
        </w:rPr>
      </w:pPr>
      <w:r>
        <w:rPr>
          <w:rFonts w:ascii="Arial" w:cs="Arial" w:eastAsia="Arial" w:hAnsi="Arial"/>
          <w:sz w:val="16"/>
          <w:szCs w:val="16"/>
          <w:color w:val="auto"/>
        </w:rPr>
        <w:t>any debt securities or shares of preferred stock that are convertible into common stock or exercise of warrants that are exercisable for common stock or pursuant to any anti-dilution adjustments with respect to any such convertible debt securities, shares of preferred stock or warrants. The proposed maximum offering prices per security and aggregate offering prices per class of securities will be determined from time to time by the registrant in connection with the issuance by the registrant of the securities registered hereunder and is not specified as to each class of security. Separate consideration may or may not be received for securities that are issuable on exercise, conversion or exchange of other securities, or that are issued in units. Pursuant to Form S-3 Instruction 2.A.iii.c. of the Instructions to the Calculation of Filing Fee Tables and Related Disclosure, the registrant elects to pay all of the registration fee on a deferred basis in reliance upon Rules 456(b) and 457(r) under the Securities Act of 1933, as amended (the "Securities Act"), at the fee rate in effect at that time. Additionally, pursuant to Rule 416 under the Securities Act, this registration statement registers such indeterminate number of additional shares of common stock as may be issued in connection with stock splits, stock dividends or similar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3910"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1">
                      <a:extLst>
                        <a:ext uri="{28A0092B-C50C-407E-A947-70E740481C1C}"/>
                      </a:extLst>
                    </a:blip>
                    <a:srcRect/>
                    <a:stretch>
                      <a:fillRect/>
                    </a:stretch>
                  </pic:blipFill>
                  <pic:spPr bwMode="auto">
                    <a:xfrm>
                      <a:off x="0" y="0"/>
                      <a:ext cx="7153910" cy="38100"/>
                    </a:xfrm>
                    <a:prstGeom prst="rect">
                      <a:avLst/>
                    </a:prstGeom>
                    <a:noFill/>
                  </pic:spPr>
                </pic:pic>
              </a:graphicData>
            </a:graphic>
          </wp:anchor>
        </w:drawing>
      </w:r>
    </w:p>
    <w:p>
      <w:pPr>
        <w:spacing w:after="0" w:line="219" w:lineRule="exact"/>
        <w:rPr>
          <w:sz w:val="20"/>
          <w:szCs w:val="20"/>
          <w:color w:val="auto"/>
        </w:rPr>
      </w:pPr>
    </w:p>
    <w:p>
      <w:pPr>
        <w:ind w:left="40"/>
        <w:spacing w:after="0"/>
        <w:rPr>
          <w:sz w:val="20"/>
          <w:szCs w:val="20"/>
          <w:color w:val="auto"/>
        </w:rPr>
      </w:pPr>
      <w:r>
        <w:rPr>
          <w:rFonts w:ascii="Arial" w:cs="Arial" w:eastAsia="Arial" w:hAnsi="Arial"/>
          <w:sz w:val="10"/>
          <w:szCs w:val="10"/>
          <w:color w:val="auto"/>
        </w:rPr>
        <w:t>2</w:t>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3910"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2">
                      <a:extLst>
                        <a:ext uri="{28A0092B-C50C-407E-A947-70E740481C1C}"/>
                      </a:extLst>
                    </a:blip>
                    <a:srcRect/>
                    <a:stretch>
                      <a:fillRect/>
                    </a:stretch>
                  </pic:blipFill>
                  <pic:spPr bwMode="auto">
                    <a:xfrm>
                      <a:off x="0" y="0"/>
                      <a:ext cx="7153910" cy="38100"/>
                    </a:xfrm>
                    <a:prstGeom prst="rect">
                      <a:avLst/>
                    </a:prstGeom>
                    <a:noFill/>
                  </pic:spPr>
                </pic:pic>
              </a:graphicData>
            </a:graphic>
          </wp:anchor>
        </w:drawing>
      </w:r>
    </w:p>
    <w:p>
      <w:pPr>
        <w:spacing w:after="0" w:line="251" w:lineRule="exact"/>
        <w:rPr>
          <w:sz w:val="20"/>
          <w:szCs w:val="20"/>
          <w:color w:val="auto"/>
        </w:rPr>
      </w:pPr>
    </w:p>
    <w:p>
      <w:pPr>
        <w:ind w:left="40"/>
        <w:spacing w:after="0"/>
        <w:rPr>
          <w:sz w:val="20"/>
          <w:szCs w:val="20"/>
          <w:color w:val="auto"/>
        </w:rPr>
      </w:pPr>
      <w:r>
        <w:rPr>
          <w:rFonts w:ascii="Arial" w:cs="Arial" w:eastAsia="Arial" w:hAnsi="Arial"/>
          <w:sz w:val="10"/>
          <w:szCs w:val="10"/>
          <w:color w:val="auto"/>
        </w:rPr>
        <w:t>3</w:t>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3910"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3">
                      <a:extLst>
                        <a:ext uri="{28A0092B-C50C-407E-A947-70E740481C1C}"/>
                      </a:extLst>
                    </a:blip>
                    <a:srcRect/>
                    <a:stretch>
                      <a:fillRect/>
                    </a:stretch>
                  </pic:blipFill>
                  <pic:spPr bwMode="auto">
                    <a:xfrm>
                      <a:off x="0" y="0"/>
                      <a:ext cx="7153910" cy="38100"/>
                    </a:xfrm>
                    <a:prstGeom prst="rect">
                      <a:avLst/>
                    </a:prstGeom>
                    <a:noFill/>
                  </pic:spPr>
                </pic:pic>
              </a:graphicData>
            </a:graphic>
          </wp:anchor>
        </w:drawing>
      </w:r>
    </w:p>
    <w:p>
      <w:pPr>
        <w:spacing w:after="0" w:line="251" w:lineRule="exact"/>
        <w:rPr>
          <w:sz w:val="20"/>
          <w:szCs w:val="20"/>
          <w:color w:val="auto"/>
        </w:rPr>
      </w:pPr>
    </w:p>
    <w:p>
      <w:pPr>
        <w:ind w:left="40"/>
        <w:spacing w:after="0"/>
        <w:rPr>
          <w:sz w:val="20"/>
          <w:szCs w:val="20"/>
          <w:color w:val="auto"/>
        </w:rPr>
      </w:pPr>
      <w:r>
        <w:rPr>
          <w:rFonts w:ascii="Arial" w:cs="Arial" w:eastAsia="Arial" w:hAnsi="Arial"/>
          <w:sz w:val="10"/>
          <w:szCs w:val="10"/>
          <w:color w:val="auto"/>
        </w:rPr>
        <w:t>4</w:t>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3910"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4">
                      <a:extLst>
                        <a:ext uri="{28A0092B-C50C-407E-A947-70E740481C1C}"/>
                      </a:extLst>
                    </a:blip>
                    <a:srcRect/>
                    <a:stretch>
                      <a:fillRect/>
                    </a:stretch>
                  </pic:blipFill>
                  <pic:spPr bwMode="auto">
                    <a:xfrm>
                      <a:off x="0" y="0"/>
                      <a:ext cx="7153910" cy="38100"/>
                    </a:xfrm>
                    <a:prstGeom prst="rect">
                      <a:avLst/>
                    </a:prstGeom>
                    <a:noFill/>
                  </pic:spPr>
                </pic:pic>
              </a:graphicData>
            </a:graphic>
          </wp:anchor>
        </w:drawing>
      </w:r>
    </w:p>
    <w:p>
      <w:pPr>
        <w:spacing w:after="0" w:line="251" w:lineRule="exact"/>
        <w:rPr>
          <w:sz w:val="20"/>
          <w:szCs w:val="20"/>
          <w:color w:val="auto"/>
        </w:rPr>
      </w:pPr>
    </w:p>
    <w:p>
      <w:pPr>
        <w:ind w:left="40"/>
        <w:spacing w:after="0"/>
        <w:rPr>
          <w:sz w:val="20"/>
          <w:szCs w:val="20"/>
          <w:color w:val="auto"/>
        </w:rPr>
      </w:pPr>
      <w:r>
        <w:rPr>
          <w:rFonts w:ascii="Arial" w:cs="Arial" w:eastAsia="Arial" w:hAnsi="Arial"/>
          <w:sz w:val="10"/>
          <w:szCs w:val="10"/>
          <w:color w:val="auto"/>
        </w:rPr>
        <w:t>5</w:t>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3910"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5">
                      <a:extLst>
                        <a:ext uri="{28A0092B-C50C-407E-A947-70E740481C1C}"/>
                      </a:extLst>
                    </a:blip>
                    <a:srcRect/>
                    <a:stretch>
                      <a:fillRect/>
                    </a:stretch>
                  </pic:blipFill>
                  <pic:spPr bwMode="auto">
                    <a:xfrm>
                      <a:off x="0" y="0"/>
                      <a:ext cx="7153910" cy="38100"/>
                    </a:xfrm>
                    <a:prstGeom prst="rect">
                      <a:avLst/>
                    </a:prstGeom>
                    <a:noFill/>
                  </pic:spPr>
                </pic:pic>
              </a:graphicData>
            </a:graphic>
          </wp:anchor>
        </w:drawing>
      </w:r>
    </w:p>
    <w:p>
      <w:pPr>
        <w:spacing w:after="0" w:line="251" w:lineRule="exact"/>
        <w:rPr>
          <w:sz w:val="20"/>
          <w:szCs w:val="20"/>
          <w:color w:val="auto"/>
        </w:rPr>
      </w:pPr>
    </w:p>
    <w:p>
      <w:pPr>
        <w:ind w:left="40"/>
        <w:spacing w:after="0"/>
        <w:rPr>
          <w:sz w:val="20"/>
          <w:szCs w:val="20"/>
          <w:color w:val="auto"/>
        </w:rPr>
      </w:pPr>
      <w:r>
        <w:rPr>
          <w:rFonts w:ascii="Arial" w:cs="Arial" w:eastAsia="Arial" w:hAnsi="Arial"/>
          <w:sz w:val="10"/>
          <w:szCs w:val="10"/>
          <w:color w:val="auto"/>
        </w:rPr>
        <w:t>6</w:t>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3910"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6">
                      <a:extLst>
                        <a:ext uri="{28A0092B-C50C-407E-A947-70E740481C1C}"/>
                      </a:extLst>
                    </a:blip>
                    <a:srcRect/>
                    <a:stretch>
                      <a:fillRect/>
                    </a:stretch>
                  </pic:blipFill>
                  <pic:spPr bwMode="auto">
                    <a:xfrm>
                      <a:off x="0" y="0"/>
                      <a:ext cx="7153910" cy="38100"/>
                    </a:xfrm>
                    <a:prstGeom prst="rect">
                      <a:avLst/>
                    </a:prstGeom>
                    <a:noFill/>
                  </pic:spPr>
                </pic:pic>
              </a:graphicData>
            </a:graphic>
          </wp:anchor>
        </w:drawing>
      </w:r>
    </w:p>
    <w:p>
      <w:pPr>
        <w:spacing w:after="0" w:line="251" w:lineRule="exact"/>
        <w:rPr>
          <w:sz w:val="20"/>
          <w:szCs w:val="20"/>
          <w:color w:val="auto"/>
        </w:rPr>
      </w:pPr>
    </w:p>
    <w:p>
      <w:pPr>
        <w:ind w:left="40"/>
        <w:spacing w:after="0"/>
        <w:rPr>
          <w:sz w:val="20"/>
          <w:szCs w:val="20"/>
          <w:color w:val="auto"/>
        </w:rPr>
      </w:pPr>
      <w:r>
        <w:rPr>
          <w:rFonts w:ascii="Arial" w:cs="Arial" w:eastAsia="Arial" w:hAnsi="Arial"/>
          <w:sz w:val="10"/>
          <w:szCs w:val="10"/>
          <w:color w:val="auto"/>
        </w:rPr>
        <w:t>7</w:t>
      </w:r>
    </w:p>
    <w:p>
      <w:pPr>
        <w:spacing w:after="0" w:line="57" w:lineRule="exact"/>
        <w:rPr>
          <w:sz w:val="20"/>
          <w:szCs w:val="20"/>
          <w:color w:val="auto"/>
        </w:rPr>
      </w:pPr>
    </w:p>
    <w:p>
      <w:pPr>
        <w:ind w:left="200" w:right="180"/>
        <w:spacing w:after="0" w:line="276" w:lineRule="auto"/>
        <w:rPr>
          <w:sz w:val="20"/>
          <w:szCs w:val="20"/>
          <w:color w:val="auto"/>
        </w:rPr>
      </w:pPr>
      <w:r>
        <w:rPr>
          <w:rFonts w:ascii="Arial" w:cs="Arial" w:eastAsia="Arial" w:hAnsi="Arial"/>
          <w:sz w:val="16"/>
          <w:szCs w:val="16"/>
          <w:color w:val="auto"/>
        </w:rPr>
        <w:t>The maximum aggregate offering price is being used to calculate the registration fee pursuant to Rule 457(o) under the Securities Act. The amount of the registration fee is calculated in accordance with Rule 457(r)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40005</wp:posOffset>
            </wp:positionV>
            <wp:extent cx="7153910"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7">
                      <a:extLst>
                        <a:ext uri="{28A0092B-C50C-407E-A947-70E740481C1C}"/>
                      </a:extLst>
                    </a:blip>
                    <a:srcRect/>
                    <a:stretch>
                      <a:fillRect/>
                    </a:stretch>
                  </pic:blipFill>
                  <pic:spPr bwMode="auto">
                    <a:xfrm>
                      <a:off x="0" y="0"/>
                      <a:ext cx="7153910" cy="3810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0"/>
          <w:szCs w:val="10"/>
          <w:color w:val="auto"/>
        </w:rPr>
        <w:t>8</w:t>
      </w:r>
    </w:p>
    <w:p>
      <w:pPr>
        <w:spacing w:after="0" w:line="57" w:lineRule="exact"/>
        <w:rPr>
          <w:sz w:val="20"/>
          <w:szCs w:val="20"/>
          <w:color w:val="auto"/>
        </w:rPr>
      </w:pPr>
    </w:p>
    <w:p>
      <w:pPr>
        <w:ind w:left="200" w:right="200"/>
        <w:spacing w:after="0" w:line="243" w:lineRule="auto"/>
        <w:rPr>
          <w:sz w:val="20"/>
          <w:szCs w:val="20"/>
          <w:color w:val="auto"/>
        </w:rPr>
      </w:pPr>
      <w:r>
        <w:rPr>
          <w:rFonts w:ascii="Arial" w:cs="Arial" w:eastAsia="Arial" w:hAnsi="Arial"/>
          <w:sz w:val="16"/>
          <w:szCs w:val="16"/>
          <w:color w:val="auto"/>
        </w:rPr>
        <w:t>The Registrant previously registered an aggregate principal amount of $250,000,000 of securities pursuant to a Registration Statement on Form S-3ASR (File No. 333-295754) filed on May 11, 2026 (the "Prior Registration Statement"). Pursuant to Rule 415(a)(6), securities having an aggregate principal amount of $125,000,000 registered hereunder are unsold securities (the "Unsold Securities") previously registered on Prior Registration Statement. In connection with the filing of the Prior Registration Statement, a registration fee in the amount of $34,525 was paid. Pursuant to Rule 415(a)(6), (i) the registration fee applicable to the Unsold Securities is being carried forward to this registration statement and will continue to be applied to the Unsold Securities, and (ii) the offering of the Unsold Securities registered on the Prior Registration Statement will be deemed terminated as of the date of effectiveness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3910"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8">
                      <a:extLst>
                        <a:ext uri="{28A0092B-C50C-407E-A947-70E740481C1C}"/>
                      </a:extLst>
                    </a:blip>
                    <a:srcRect/>
                    <a:stretch>
                      <a:fillRect/>
                    </a:stretch>
                  </pic:blipFill>
                  <pic:spPr bwMode="auto">
                    <a:xfrm>
                      <a:off x="0" y="0"/>
                      <a:ext cx="7153910" cy="3810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40" w:type="dxa"/>
            <w:vAlign w:val="bottom"/>
            <w:tcBorders>
              <w:bottom w:val="single" w:sz="8" w:color="auto"/>
            </w:tcBorders>
          </w:tcPr>
          <w:p>
            <w:pPr>
              <w:spacing w:after="0"/>
              <w:rPr>
                <w:sz w:val="22"/>
                <w:szCs w:val="22"/>
                <w:color w:val="auto"/>
              </w:rPr>
            </w:pPr>
          </w:p>
        </w:tc>
        <w:tc>
          <w:tcPr>
            <w:tcW w:w="3400" w:type="dxa"/>
            <w:vAlign w:val="bottom"/>
            <w:tcBorders>
              <w:bottom w:val="single" w:sz="8" w:color="auto"/>
            </w:tcBorders>
            <w:gridSpan w:val="9"/>
          </w:tcPr>
          <w:p>
            <w:pPr>
              <w:spacing w:after="0"/>
              <w:rPr>
                <w:sz w:val="20"/>
                <w:szCs w:val="20"/>
                <w:color w:val="auto"/>
              </w:rPr>
            </w:pPr>
            <w:r>
              <w:rPr>
                <w:rFonts w:ascii="Arial" w:cs="Arial" w:eastAsia="Arial" w:hAnsi="Arial"/>
                <w:sz w:val="16"/>
                <w:szCs w:val="16"/>
                <w:b w:val="1"/>
                <w:bCs w:val="1"/>
                <w:color w:val="auto"/>
              </w:rPr>
              <w:t>Table 2: Fee Offset Claims and Sources</w:t>
            </w:r>
          </w:p>
        </w:tc>
        <w:tc>
          <w:tcPr>
            <w:tcW w:w="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6"/>
          </w:tcPr>
          <w:p>
            <w:pPr>
              <w:ind w:left="380"/>
              <w:spacing w:after="0" w:line="184" w:lineRule="exact"/>
              <w:rPr>
                <w:sz w:val="20"/>
                <w:szCs w:val="20"/>
                <w:color w:val="auto"/>
              </w:rPr>
            </w:pPr>
            <w:r>
              <w:rPr>
                <w:rFonts w:ascii="MS PGothic" w:cs="MS PGothic" w:eastAsia="MS PGothic" w:hAnsi="MS PGothic"/>
                <w:sz w:val="16"/>
                <w:szCs w:val="16"/>
                <w:color w:val="auto"/>
                <w:highlight w:val="black"/>
                <w:w w:val="99"/>
              </w:rPr>
              <w:t>☑</w:t>
            </w:r>
            <w:r>
              <w:rPr>
                <w:rFonts w:ascii="Arial" w:cs="Arial" w:eastAsia="Arial" w:hAnsi="Arial"/>
                <w:sz w:val="16"/>
                <w:szCs w:val="16"/>
                <w:b w:val="1"/>
                <w:bCs w:val="1"/>
                <w:color w:val="auto"/>
                <w:w w:val="99"/>
              </w:rPr>
              <w:t>Not Applicable</w:t>
            </w: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4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3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5"/>
                <w:szCs w:val="15"/>
                <w:color w:val="auto"/>
              </w:rPr>
            </w:pPr>
          </w:p>
        </w:tc>
        <w:tc>
          <w:tcPr>
            <w:tcW w:w="820" w:type="dxa"/>
            <w:vAlign w:val="bottom"/>
            <w:gridSpan w:val="3"/>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Security</w:t>
            </w:r>
          </w:p>
        </w:tc>
        <w:tc>
          <w:tcPr>
            <w:tcW w:w="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3"/>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Unsold</w:t>
            </w:r>
          </w:p>
        </w:tc>
        <w:tc>
          <w:tcPr>
            <w:tcW w:w="20" w:type="dxa"/>
            <w:vAlign w:val="bottom"/>
          </w:tcPr>
          <w:p>
            <w:pPr>
              <w:spacing w:after="0"/>
              <w:rPr>
                <w:sz w:val="15"/>
                <w:szCs w:val="15"/>
                <w:color w:val="auto"/>
              </w:rPr>
            </w:pPr>
          </w:p>
        </w:tc>
        <w:tc>
          <w:tcPr>
            <w:tcW w:w="960" w:type="dxa"/>
            <w:vAlign w:val="bottom"/>
            <w:gridSpan w:val="3"/>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Fee</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4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Form or</w:t>
            </w: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6"/>
              </w:rPr>
              <w:t>Type</w:t>
            </w:r>
          </w:p>
        </w:tc>
        <w:tc>
          <w:tcPr>
            <w:tcW w:w="20" w:type="dxa"/>
            <w:vAlign w:val="bottom"/>
          </w:tcPr>
          <w:p>
            <w:pPr>
              <w:spacing w:after="0"/>
              <w:rPr>
                <w:sz w:val="15"/>
                <w:szCs w:val="15"/>
                <w:color w:val="auto"/>
              </w:rPr>
            </w:pPr>
          </w:p>
        </w:tc>
        <w:tc>
          <w:tcPr>
            <w:tcW w:w="820" w:type="dxa"/>
            <w:vAlign w:val="bottom"/>
            <w:gridSpan w:val="3"/>
            <w:shd w:val="clear" w:color="auto" w:fill="9ADAF6"/>
          </w:tcPr>
          <w:p>
            <w:pPr>
              <w:jc w:val="center"/>
              <w:ind w:left="3"/>
              <w:spacing w:after="0" w:line="182" w:lineRule="exact"/>
              <w:rPr>
                <w:sz w:val="20"/>
                <w:szCs w:val="20"/>
                <w:color w:val="auto"/>
              </w:rPr>
            </w:pPr>
            <w:r>
              <w:rPr>
                <w:rFonts w:ascii="Arial" w:cs="Arial" w:eastAsia="Arial" w:hAnsi="Arial"/>
                <w:sz w:val="16"/>
                <w:szCs w:val="16"/>
                <w:b w:val="1"/>
                <w:bCs w:val="1"/>
                <w:color w:val="auto"/>
              </w:rPr>
              <w:t>Title</w:t>
            </w:r>
          </w:p>
        </w:tc>
        <w:tc>
          <w:tcPr>
            <w:tcW w:w="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3"/>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Securities</w:t>
            </w:r>
          </w:p>
        </w:tc>
        <w:tc>
          <w:tcPr>
            <w:tcW w:w="20" w:type="dxa"/>
            <w:vAlign w:val="bottom"/>
          </w:tcPr>
          <w:p>
            <w:pPr>
              <w:spacing w:after="0"/>
              <w:rPr>
                <w:sz w:val="15"/>
                <w:szCs w:val="15"/>
                <w:color w:val="auto"/>
              </w:rPr>
            </w:pPr>
          </w:p>
        </w:tc>
        <w:tc>
          <w:tcPr>
            <w:tcW w:w="960" w:type="dxa"/>
            <w:vAlign w:val="bottom"/>
            <w:gridSpan w:val="3"/>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Offering</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Paid</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Registrant or Filer</w:t>
            </w:r>
          </w:p>
        </w:tc>
        <w:tc>
          <w:tcPr>
            <w:tcW w:w="20" w:type="dxa"/>
            <w:vAlign w:val="bottom"/>
          </w:tcPr>
          <w:p>
            <w:pPr>
              <w:spacing w:after="0"/>
              <w:rPr>
                <w:sz w:val="7"/>
                <w:szCs w:val="7"/>
                <w:color w:val="auto"/>
              </w:rPr>
            </w:pPr>
          </w:p>
        </w:tc>
        <w:tc>
          <w:tcPr>
            <w:tcW w:w="64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File</w:t>
            </w:r>
          </w:p>
        </w:tc>
        <w:tc>
          <w:tcPr>
            <w:tcW w:w="20" w:type="dxa"/>
            <w:vAlign w:val="bottom"/>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7"/>
                <w:szCs w:val="7"/>
                <w:color w:val="auto"/>
              </w:rPr>
            </w:pPr>
          </w:p>
        </w:tc>
        <w:tc>
          <w:tcPr>
            <w:tcW w:w="66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900" w:type="dxa"/>
            <w:vAlign w:val="bottom"/>
            <w:gridSpan w:val="4"/>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88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96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7"/>
                <w:szCs w:val="7"/>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w:t>
            </w:r>
          </w:p>
        </w:tc>
        <w:tc>
          <w:tcPr>
            <w:tcW w:w="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40" w:type="dxa"/>
            <w:vAlign w:val="bottom"/>
            <w:tcBorders>
              <w:left w:val="single" w:sz="8" w:color="auto"/>
            </w:tcBorders>
          </w:tcPr>
          <w:p>
            <w:pPr>
              <w:spacing w:after="0"/>
              <w:rPr>
                <w:sz w:val="14"/>
                <w:szCs w:val="14"/>
                <w:color w:val="auto"/>
              </w:rPr>
            </w:pPr>
          </w:p>
        </w:tc>
        <w:tc>
          <w:tcPr>
            <w:tcW w:w="42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9ADAF6"/>
          </w:tcPr>
          <w:p>
            <w:pPr>
              <w:jc w:val="center"/>
              <w:spacing w:after="0" w:line="162" w:lineRule="exact"/>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620" w:type="dxa"/>
            <w:vAlign w:val="bottom"/>
            <w:shd w:val="clear" w:color="auto" w:fill="9ADAF6"/>
          </w:tcPr>
          <w:p>
            <w:pPr>
              <w:jc w:val="center"/>
              <w:spacing w:after="0" w:line="162" w:lineRule="exact"/>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3"/>
            <w:shd w:val="clear" w:color="auto" w:fill="9ADAF6"/>
          </w:tcPr>
          <w:p>
            <w:pPr>
              <w:jc w:val="center"/>
              <w:spacing w:after="0" w:line="162"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4"/>
                <w:szCs w:val="14"/>
                <w:color w:val="auto"/>
              </w:rPr>
            </w:pPr>
          </w:p>
        </w:tc>
        <w:tc>
          <w:tcPr>
            <w:tcW w:w="8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4"/>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4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60" w:type="dxa"/>
            <w:vAlign w:val="bottom"/>
            <w:shd w:val="clear" w:color="auto" w:fill="9ADAF6"/>
          </w:tcPr>
          <w:p>
            <w:pPr>
              <w:jc w:val="center"/>
              <w:ind w:right="199"/>
              <w:spacing w:after="0" w:line="182" w:lineRule="exact"/>
              <w:rPr>
                <w:sz w:val="20"/>
                <w:szCs w:val="20"/>
                <w:color w:val="auto"/>
              </w:rPr>
            </w:pPr>
            <w:r>
              <w:rPr>
                <w:rFonts w:ascii="Arial" w:cs="Arial" w:eastAsia="Arial" w:hAnsi="Arial"/>
                <w:sz w:val="16"/>
                <w:szCs w:val="16"/>
                <w:b w:val="1"/>
                <w:bCs w:val="1"/>
                <w:color w:val="auto"/>
              </w:rPr>
              <w:t>Name</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6"/>
              </w:rPr>
              <w:t>Type</w:t>
            </w:r>
          </w:p>
        </w:tc>
        <w:tc>
          <w:tcPr>
            <w:tcW w:w="20" w:type="dxa"/>
            <w:vAlign w:val="bottom"/>
          </w:tcPr>
          <w:p>
            <w:pPr>
              <w:spacing w:after="0"/>
              <w:rPr>
                <w:sz w:val="15"/>
                <w:szCs w:val="15"/>
                <w:color w:val="auto"/>
              </w:rPr>
            </w:pPr>
          </w:p>
        </w:tc>
        <w:tc>
          <w:tcPr>
            <w:tcW w:w="74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62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5"/>
                <w:szCs w:val="15"/>
                <w:color w:val="auto"/>
              </w:rPr>
            </w:pPr>
          </w:p>
        </w:tc>
        <w:tc>
          <w:tcPr>
            <w:tcW w:w="660" w:type="dxa"/>
            <w:vAlign w:val="bottom"/>
            <w:gridSpan w:val="3"/>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with Fee</w:t>
            </w:r>
          </w:p>
        </w:tc>
        <w:tc>
          <w:tcPr>
            <w:tcW w:w="20" w:type="dxa"/>
            <w:vAlign w:val="bottom"/>
          </w:tcPr>
          <w:p>
            <w:pPr>
              <w:spacing w:after="0"/>
              <w:rPr>
                <w:sz w:val="15"/>
                <w:szCs w:val="15"/>
                <w:color w:val="auto"/>
              </w:rPr>
            </w:pPr>
          </w:p>
        </w:tc>
        <w:tc>
          <w:tcPr>
            <w:tcW w:w="820" w:type="dxa"/>
            <w:vAlign w:val="bottom"/>
            <w:gridSpan w:val="3"/>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with Fee</w:t>
            </w:r>
          </w:p>
        </w:tc>
        <w:tc>
          <w:tcPr>
            <w:tcW w:w="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3"/>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with Fee</w:t>
            </w:r>
          </w:p>
        </w:tc>
        <w:tc>
          <w:tcPr>
            <w:tcW w:w="20" w:type="dxa"/>
            <w:vAlign w:val="bottom"/>
          </w:tcPr>
          <w:p>
            <w:pPr>
              <w:spacing w:after="0"/>
              <w:rPr>
                <w:sz w:val="15"/>
                <w:szCs w:val="15"/>
                <w:color w:val="auto"/>
              </w:rPr>
            </w:pPr>
          </w:p>
        </w:tc>
        <w:tc>
          <w:tcPr>
            <w:tcW w:w="960" w:type="dxa"/>
            <w:vAlign w:val="bottom"/>
            <w:gridSpan w:val="3"/>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Fee</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40" w:type="dxa"/>
            <w:vAlign w:val="bottom"/>
            <w:tcBorders>
              <w:left w:val="single" w:sz="8" w:color="auto"/>
            </w:tcBorders>
          </w:tcPr>
          <w:p>
            <w:pPr>
              <w:spacing w:after="0"/>
              <w:rPr>
                <w:sz w:val="9"/>
                <w:szCs w:val="9"/>
                <w:color w:val="auto"/>
              </w:rPr>
            </w:pPr>
          </w:p>
        </w:tc>
        <w:tc>
          <w:tcPr>
            <w:tcW w:w="42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13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3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820" w:type="dxa"/>
            <w:vAlign w:val="bottom"/>
            <w:gridSpan w:val="3"/>
            <w:shd w:val="clear" w:color="auto" w:fill="9ADAF6"/>
          </w:tcPr>
          <w:p>
            <w:pPr>
              <w:jc w:val="center"/>
              <w:ind w:left="3"/>
              <w:spacing w:after="0" w:line="111" w:lineRule="exact"/>
              <w:rPr>
                <w:sz w:val="20"/>
                <w:szCs w:val="20"/>
                <w:color w:val="auto"/>
              </w:rPr>
            </w:pPr>
            <w:r>
              <w:rPr>
                <w:rFonts w:ascii="Arial" w:cs="Arial" w:eastAsia="Arial" w:hAnsi="Arial"/>
                <w:sz w:val="12"/>
                <w:szCs w:val="12"/>
                <w:b w:val="1"/>
                <w:bCs w:val="1"/>
                <w:color w:val="auto"/>
              </w:rPr>
              <w:t>Offset</w:t>
            </w:r>
          </w:p>
        </w:tc>
        <w:tc>
          <w:tcPr>
            <w:tcW w:w="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gridSpan w:val="3"/>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60" w:type="dxa"/>
            <w:vAlign w:val="bottom"/>
            <w:gridSpan w:val="3"/>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with Fee</w:t>
            </w:r>
          </w:p>
        </w:tc>
        <w:tc>
          <w:tcPr>
            <w:tcW w:w="20" w:type="dxa"/>
            <w:vAlign w:val="bottom"/>
          </w:tcPr>
          <w:p>
            <w:pPr>
              <w:spacing w:after="0"/>
              <w:rPr>
                <w:sz w:val="9"/>
                <w:szCs w:val="9"/>
                <w:color w:val="auto"/>
              </w:rPr>
            </w:pPr>
          </w:p>
        </w:tc>
        <w:tc>
          <w:tcPr>
            <w:tcW w:w="660" w:type="dxa"/>
            <w:vAlign w:val="bottom"/>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Offset</w:t>
            </w:r>
          </w:p>
        </w:tc>
        <w:tc>
          <w:tcPr>
            <w:tcW w:w="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4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3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5"/>
                <w:szCs w:val="15"/>
                <w:color w:val="auto"/>
              </w:rPr>
            </w:pPr>
          </w:p>
        </w:tc>
        <w:tc>
          <w:tcPr>
            <w:tcW w:w="820" w:type="dxa"/>
            <w:vAlign w:val="bottom"/>
            <w:gridSpan w:val="3"/>
            <w:shd w:val="clear" w:color="auto" w:fill="9ADAF6"/>
          </w:tcPr>
          <w:p>
            <w:pPr>
              <w:jc w:val="center"/>
              <w:ind w:left="3"/>
              <w:spacing w:after="0" w:line="182" w:lineRule="exact"/>
              <w:rPr>
                <w:sz w:val="20"/>
                <w:szCs w:val="20"/>
                <w:color w:val="auto"/>
              </w:rPr>
            </w:pPr>
            <w:r>
              <w:rPr>
                <w:rFonts w:ascii="Arial" w:cs="Arial" w:eastAsia="Arial" w:hAnsi="Arial"/>
                <w:sz w:val="16"/>
                <w:szCs w:val="16"/>
                <w:b w:val="1"/>
                <w:bCs w:val="1"/>
                <w:color w:val="auto"/>
                <w:w w:val="99"/>
              </w:rPr>
              <w:t>Claimed</w:t>
            </w:r>
          </w:p>
        </w:tc>
        <w:tc>
          <w:tcPr>
            <w:tcW w:w="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3"/>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5"/>
                <w:szCs w:val="15"/>
                <w:color w:val="auto"/>
              </w:rPr>
            </w:pPr>
          </w:p>
        </w:tc>
        <w:tc>
          <w:tcPr>
            <w:tcW w:w="960" w:type="dxa"/>
            <w:vAlign w:val="bottom"/>
            <w:gridSpan w:val="3"/>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Offset</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Source</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42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3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80" w:type="dxa"/>
            <w:vAlign w:val="bottom"/>
            <w:shd w:val="clear" w:color="auto" w:fill="9ADAF6"/>
          </w:tcPr>
          <w:p>
            <w:pPr>
              <w:spacing w:after="0"/>
              <w:rPr>
                <w:sz w:val="18"/>
                <w:szCs w:val="18"/>
                <w:color w:val="auto"/>
              </w:rPr>
            </w:pPr>
          </w:p>
        </w:tc>
        <w:tc>
          <w:tcPr>
            <w:tcW w:w="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40" w:type="dxa"/>
            <w:vAlign w:val="bottom"/>
            <w:gridSpan w:val="10"/>
          </w:tcPr>
          <w:p>
            <w:pPr>
              <w:ind w:left="500"/>
              <w:spacing w:after="0"/>
              <w:rPr>
                <w:sz w:val="20"/>
                <w:szCs w:val="20"/>
                <w:color w:val="auto"/>
              </w:rPr>
            </w:pPr>
            <w:r>
              <w:rPr>
                <w:rFonts w:ascii="Arial" w:cs="Arial" w:eastAsia="Arial" w:hAnsi="Arial"/>
                <w:sz w:val="16"/>
                <w:szCs w:val="16"/>
                <w:b w:val="1"/>
                <w:bCs w:val="1"/>
                <w:color w:val="auto"/>
              </w:rPr>
              <w:t>Rules 457(b) and 0-11(a)(2)</w:t>
            </w: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82" w:lineRule="exact"/>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1000" w:type="dxa"/>
            <w:vAlign w:val="bottom"/>
            <w:gridSpan w:val="3"/>
            <w:shd w:val="clear" w:color="auto" w:fill="E7E7E2"/>
          </w:tcPr>
          <w:p>
            <w:pPr>
              <w:spacing w:after="0" w:line="171" w:lineRule="exact"/>
              <w:rPr>
                <w:sz w:val="20"/>
                <w:szCs w:val="20"/>
                <w:color w:val="auto"/>
              </w:rPr>
            </w:pPr>
            <w:r>
              <w:rPr>
                <w:rFonts w:ascii="Arial" w:cs="Arial" w:eastAsia="Arial" w:hAnsi="Arial"/>
                <w:sz w:val="16"/>
                <w:szCs w:val="16"/>
                <w:color w:val="auto"/>
              </w:rPr>
              <w:t>Fee Offset</w:t>
            </w:r>
          </w:p>
        </w:tc>
        <w:tc>
          <w:tcPr>
            <w:tcW w:w="20" w:type="dxa"/>
            <w:vAlign w:val="bottom"/>
            <w:vMerge w:val="continue"/>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13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6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3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80" w:type="dxa"/>
            <w:vAlign w:val="bottom"/>
            <w:shd w:val="clear" w:color="auto" w:fill="E7E7E2"/>
          </w:tcPr>
          <w:p>
            <w:pPr>
              <w:spacing w:after="0"/>
              <w:rPr>
                <w:sz w:val="14"/>
                <w:szCs w:val="14"/>
                <w:color w:val="auto"/>
              </w:rPr>
            </w:pPr>
          </w:p>
        </w:tc>
        <w:tc>
          <w:tcPr>
            <w:tcW w:w="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3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2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gridSpan w:val="3"/>
          </w:tcPr>
          <w:p>
            <w:pPr>
              <w:ind w:left="300"/>
              <w:spacing w:after="0"/>
              <w:rPr>
                <w:sz w:val="20"/>
                <w:szCs w:val="20"/>
                <w:color w:val="auto"/>
              </w:rPr>
            </w:pPr>
            <w:r>
              <w:rPr>
                <w:rFonts w:ascii="Arial" w:cs="Arial" w:eastAsia="Arial" w:hAnsi="Arial"/>
                <w:sz w:val="16"/>
                <w:szCs w:val="16"/>
                <w:b w:val="1"/>
                <w:bCs w:val="1"/>
                <w:color w:val="auto"/>
              </w:rPr>
              <w:t>Rule 457(p)</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82" w:lineRule="exact"/>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1000" w:type="dxa"/>
            <w:vAlign w:val="bottom"/>
            <w:gridSpan w:val="3"/>
            <w:shd w:val="clear" w:color="auto" w:fill="E7E7E2"/>
          </w:tcPr>
          <w:p>
            <w:pPr>
              <w:spacing w:after="0" w:line="171" w:lineRule="exact"/>
              <w:rPr>
                <w:sz w:val="20"/>
                <w:szCs w:val="20"/>
                <w:color w:val="auto"/>
              </w:rPr>
            </w:pPr>
            <w:r>
              <w:rPr>
                <w:rFonts w:ascii="Arial" w:cs="Arial" w:eastAsia="Arial" w:hAnsi="Arial"/>
                <w:sz w:val="16"/>
                <w:szCs w:val="16"/>
                <w:color w:val="auto"/>
              </w:rPr>
              <w:t>Fee Offset</w:t>
            </w:r>
          </w:p>
        </w:tc>
        <w:tc>
          <w:tcPr>
            <w:tcW w:w="20" w:type="dxa"/>
            <w:vAlign w:val="bottom"/>
            <w:vMerge w:val="continue"/>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13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6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3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80" w:type="dxa"/>
            <w:vAlign w:val="bottom"/>
            <w:shd w:val="clear" w:color="auto" w:fill="E7E7E2"/>
          </w:tcPr>
          <w:p>
            <w:pPr>
              <w:spacing w:after="0"/>
              <w:rPr>
                <w:sz w:val="14"/>
                <w:szCs w:val="14"/>
                <w:color w:val="auto"/>
              </w:rPr>
            </w:pPr>
          </w:p>
        </w:tc>
        <w:tc>
          <w:tcPr>
            <w:tcW w:w="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3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2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9"/>
          </w:tcPr>
          <w:p>
            <w:pPr>
              <w:spacing w:after="0"/>
              <w:rPr>
                <w:sz w:val="20"/>
                <w:szCs w:val="20"/>
                <w:color w:val="auto"/>
              </w:rPr>
            </w:pPr>
            <w:r>
              <w:rPr>
                <w:rFonts w:ascii="Arial" w:cs="Arial" w:eastAsia="Arial" w:hAnsi="Arial"/>
                <w:sz w:val="16"/>
                <w:szCs w:val="16"/>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80"/>
              <w:spacing w:after="0" w:line="184" w:lineRule="exact"/>
              <w:rPr>
                <w:sz w:val="20"/>
                <w:szCs w:val="20"/>
                <w:color w:val="auto"/>
              </w:rPr>
            </w:pPr>
            <w:r>
              <w:rPr>
                <w:rFonts w:ascii="MS PGothic" w:cs="MS PGothic" w:eastAsia="MS PGothic" w:hAnsi="MS PGothic"/>
                <w:sz w:val="16"/>
                <w:szCs w:val="16"/>
                <w:color w:val="auto"/>
                <w:highlight w:val="black"/>
                <w:w w:val="99"/>
              </w:rPr>
              <w:t>☑</w:t>
            </w:r>
            <w:r>
              <w:rPr>
                <w:rFonts w:ascii="Arial" w:cs="Arial" w:eastAsia="Arial" w:hAnsi="Arial"/>
                <w:sz w:val="16"/>
                <w:szCs w:val="16"/>
                <w:b w:val="1"/>
                <w:bCs w:val="1"/>
                <w:color w:val="auto"/>
                <w:w w:val="99"/>
              </w:rPr>
              <w:t>Not Applicable</w:t>
            </w: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gridSpan w:val="3"/>
            <w:shd w:val="clear" w:color="auto" w:fill="9ADAF6"/>
          </w:tcPr>
          <w:p>
            <w:pPr>
              <w:ind w:left="380"/>
              <w:spacing w:after="0"/>
              <w:rPr>
                <w:sz w:val="20"/>
                <w:szCs w:val="20"/>
                <w:color w:val="auto"/>
              </w:rPr>
            </w:pPr>
            <w:r>
              <w:rPr>
                <w:rFonts w:ascii="Arial" w:cs="Arial" w:eastAsia="Arial" w:hAnsi="Arial"/>
                <w:sz w:val="16"/>
                <w:szCs w:val="16"/>
                <w:b w:val="1"/>
                <w:bCs w:val="1"/>
                <w:color w:val="auto"/>
              </w:rPr>
              <w:t>Amount of</w:t>
            </w: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rPr>
                <w:sz w:val="20"/>
                <w:szCs w:val="20"/>
                <w:color w:val="auto"/>
              </w:rPr>
            </w:pPr>
            <w:r>
              <w:rPr>
                <w:rFonts w:ascii="Arial" w:cs="Arial" w:eastAsia="Arial" w:hAnsi="Arial"/>
                <w:sz w:val="16"/>
                <w:szCs w:val="16"/>
                <w:b w:val="1"/>
                <w:bCs w:val="1"/>
                <w:color w:val="auto"/>
              </w:rPr>
              <w:t>Maximum Aggregate</w:t>
            </w: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60" w:type="dxa"/>
            <w:vAlign w:val="bottom"/>
            <w:vMerge w:val="restart"/>
            <w:shd w:val="clear" w:color="auto" w:fill="9ADAF6"/>
          </w:tcPr>
          <w:p>
            <w:pPr>
              <w:jc w:val="center"/>
              <w:ind w:right="122"/>
              <w:spacing w:after="0"/>
              <w:rPr>
                <w:sz w:val="20"/>
                <w:szCs w:val="20"/>
                <w:color w:val="auto"/>
              </w:rPr>
            </w:pPr>
            <w:r>
              <w:rPr>
                <w:rFonts w:ascii="Arial" w:cs="Arial" w:eastAsia="Arial" w:hAnsi="Arial"/>
                <w:sz w:val="16"/>
                <w:szCs w:val="16"/>
                <w:b w:val="1"/>
                <w:bCs w:val="1"/>
                <w:color w:val="auto"/>
              </w:rPr>
              <w:t>Initial</w:t>
            </w:r>
          </w:p>
        </w:tc>
        <w:tc>
          <w:tcPr>
            <w:tcW w:w="60" w:type="dxa"/>
            <w:vAlign w:val="bottom"/>
            <w:tcBorders>
              <w:left w:val="single" w:sz="8" w:color="9ADAF6"/>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gridSpan w:val="3"/>
            <w:vMerge w:val="restart"/>
            <w:shd w:val="clear" w:color="auto" w:fill="9ADAF6"/>
          </w:tcPr>
          <w:p>
            <w:pPr>
              <w:ind w:left="400"/>
              <w:spacing w:after="0" w:line="182" w:lineRule="exact"/>
              <w:rPr>
                <w:sz w:val="20"/>
                <w:szCs w:val="20"/>
                <w:color w:val="auto"/>
              </w:rPr>
            </w:pPr>
            <w:r>
              <w:rPr>
                <w:rFonts w:ascii="Arial" w:cs="Arial" w:eastAsia="Arial" w:hAnsi="Arial"/>
                <w:sz w:val="16"/>
                <w:szCs w:val="16"/>
                <w:b w:val="1"/>
                <w:bCs w:val="1"/>
                <w:color w:val="auto"/>
              </w:rPr>
              <w:t>Securities</w:t>
            </w:r>
          </w:p>
        </w:tc>
        <w:tc>
          <w:tcPr>
            <w:tcW w:w="20" w:type="dxa"/>
            <w:vAlign w:val="bottom"/>
            <w:shd w:val="clear" w:color="auto" w:fill="9ADAF6"/>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shd w:val="clear" w:color="auto" w:fill="9ADAF6"/>
          </w:tcPr>
          <w:p>
            <w:pPr>
              <w:spacing w:after="0"/>
              <w:rPr>
                <w:sz w:val="7"/>
                <w:szCs w:val="7"/>
                <w:color w:val="auto"/>
              </w:rPr>
            </w:pPr>
          </w:p>
        </w:tc>
        <w:tc>
          <w:tcPr>
            <w:tcW w:w="1640" w:type="dxa"/>
            <w:vAlign w:val="bottom"/>
            <w:gridSpan w:val="4"/>
            <w:vMerge w:val="restart"/>
            <w:shd w:val="clear" w:color="auto" w:fill="9ADAF6"/>
          </w:tcPr>
          <w:p>
            <w:pPr>
              <w:jc w:val="center"/>
              <w:ind w:right="283"/>
              <w:spacing w:after="0" w:line="182" w:lineRule="exact"/>
              <w:rPr>
                <w:sz w:val="20"/>
                <w:szCs w:val="20"/>
                <w:color w:val="auto"/>
              </w:rPr>
            </w:pPr>
            <w:r>
              <w:rPr>
                <w:rFonts w:ascii="Arial" w:cs="Arial" w:eastAsia="Arial" w:hAnsi="Arial"/>
                <w:sz w:val="16"/>
                <w:szCs w:val="16"/>
                <w:b w:val="1"/>
                <w:bCs w:val="1"/>
                <w:color w:val="auto"/>
              </w:rPr>
              <w:t>Offering Price of</w:t>
            </w:r>
          </w:p>
        </w:tc>
        <w:tc>
          <w:tcPr>
            <w:tcW w:w="20" w:type="dxa"/>
            <w:vAlign w:val="bottom"/>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600" w:type="dxa"/>
            <w:vAlign w:val="bottom"/>
            <w:gridSpan w:val="3"/>
            <w:vMerge w:val="restart"/>
            <w:shd w:val="clear" w:color="auto" w:fill="9ADAF6"/>
          </w:tcPr>
          <w:p>
            <w:pPr>
              <w:ind w:left="60"/>
              <w:spacing w:after="0" w:line="182" w:lineRule="exact"/>
              <w:rPr>
                <w:sz w:val="20"/>
                <w:szCs w:val="20"/>
                <w:color w:val="auto"/>
              </w:rPr>
            </w:pPr>
            <w:r>
              <w:rPr>
                <w:rFonts w:ascii="Arial" w:cs="Arial" w:eastAsia="Arial" w:hAnsi="Arial"/>
                <w:sz w:val="16"/>
                <w:szCs w:val="16"/>
                <w:b w:val="1"/>
                <w:bCs w:val="1"/>
                <w:color w:val="auto"/>
              </w:rPr>
              <w:t>Form</w:t>
            </w: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vMerge w:val="continue"/>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gridSpan w:val="3"/>
            <w:vMerge w:val="restart"/>
            <w:shd w:val="clear" w:color="auto" w:fill="9ADAF6"/>
          </w:tcPr>
          <w:p>
            <w:pPr>
              <w:ind w:left="260"/>
              <w:spacing w:after="0" w:line="182" w:lineRule="exact"/>
              <w:rPr>
                <w:sz w:val="20"/>
                <w:szCs w:val="20"/>
                <w:color w:val="auto"/>
              </w:rPr>
            </w:pPr>
            <w:r>
              <w:rPr>
                <w:rFonts w:ascii="Arial" w:cs="Arial" w:eastAsia="Arial" w:hAnsi="Arial"/>
                <w:sz w:val="16"/>
                <w:szCs w:val="16"/>
                <w:b w:val="1"/>
                <w:bCs w:val="1"/>
                <w:color w:val="auto"/>
                <w:w w:val="99"/>
              </w:rPr>
              <w:t>Security Type</w:t>
            </w: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780" w:type="dxa"/>
            <w:vAlign w:val="bottom"/>
            <w:gridSpan w:val="5"/>
            <w:vMerge w:val="restart"/>
            <w:shd w:val="clear" w:color="auto" w:fill="9ADAF6"/>
          </w:tcPr>
          <w:p>
            <w:pPr>
              <w:ind w:left="660"/>
              <w:spacing w:after="0" w:line="182" w:lineRule="exact"/>
              <w:rPr>
                <w:sz w:val="20"/>
                <w:szCs w:val="20"/>
                <w:color w:val="auto"/>
              </w:rPr>
            </w:pPr>
            <w:r>
              <w:rPr>
                <w:rFonts w:ascii="Arial" w:cs="Arial" w:eastAsia="Arial" w:hAnsi="Arial"/>
                <w:sz w:val="16"/>
                <w:szCs w:val="16"/>
                <w:b w:val="1"/>
                <w:bCs w:val="1"/>
                <w:color w:val="auto"/>
              </w:rPr>
              <w:t>Security Class Title</w:t>
            </w:r>
          </w:p>
        </w:tc>
        <w:tc>
          <w:tcPr>
            <w:tcW w:w="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shd w:val="clear" w:color="auto" w:fill="9ADAF6"/>
          </w:tcPr>
          <w:p>
            <w:pPr>
              <w:spacing w:after="0"/>
              <w:rPr>
                <w:sz w:val="7"/>
                <w:szCs w:val="7"/>
                <w:color w:val="auto"/>
              </w:rPr>
            </w:pPr>
          </w:p>
        </w:tc>
        <w:tc>
          <w:tcPr>
            <w:tcW w:w="1640" w:type="dxa"/>
            <w:vAlign w:val="bottom"/>
            <w:gridSpan w:val="4"/>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60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gridSpan w:val="3"/>
            <w:vMerge w:val="restart"/>
            <w:shd w:val="clear" w:color="auto" w:fill="9ADAF6"/>
          </w:tcPr>
          <w:p>
            <w:pPr>
              <w:ind w:left="80"/>
              <w:spacing w:after="0" w:line="182" w:lineRule="exact"/>
              <w:rPr>
                <w:sz w:val="20"/>
                <w:szCs w:val="20"/>
                <w:color w:val="auto"/>
              </w:rPr>
            </w:pPr>
            <w:r>
              <w:rPr>
                <w:rFonts w:ascii="Arial" w:cs="Arial" w:eastAsia="Arial" w:hAnsi="Arial"/>
                <w:sz w:val="16"/>
                <w:szCs w:val="16"/>
                <w:b w:val="1"/>
                <w:bCs w:val="1"/>
                <w:color w:val="auto"/>
              </w:rPr>
              <w:t>File Number</w:t>
            </w:r>
          </w:p>
        </w:tc>
        <w:tc>
          <w:tcPr>
            <w:tcW w:w="20" w:type="dxa"/>
            <w:vAlign w:val="bottom"/>
          </w:tcPr>
          <w:p>
            <w:pPr>
              <w:spacing w:after="0"/>
              <w:rPr>
                <w:sz w:val="7"/>
                <w:szCs w:val="7"/>
                <w:color w:val="auto"/>
              </w:rPr>
            </w:pPr>
          </w:p>
        </w:tc>
        <w:tc>
          <w:tcPr>
            <w:tcW w:w="880" w:type="dxa"/>
            <w:vAlign w:val="bottom"/>
            <w:gridSpan w:val="3"/>
            <w:vMerge w:val="restart"/>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8"/>
              </w:rPr>
              <w:t>Effective</w:t>
            </w: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780" w:type="dxa"/>
            <w:vAlign w:val="bottom"/>
            <w:gridSpan w:val="5"/>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gridSpan w:val="3"/>
            <w:vMerge w:val="restart"/>
            <w:shd w:val="clear" w:color="auto" w:fill="9ADAF6"/>
          </w:tcPr>
          <w:p>
            <w:pPr>
              <w:ind w:left="380"/>
              <w:spacing w:after="0" w:line="182" w:lineRule="exact"/>
              <w:rPr>
                <w:sz w:val="20"/>
                <w:szCs w:val="20"/>
                <w:color w:val="auto"/>
              </w:rPr>
            </w:pPr>
            <w:r>
              <w:rPr>
                <w:rFonts w:ascii="Arial" w:cs="Arial" w:eastAsia="Arial" w:hAnsi="Arial"/>
                <w:sz w:val="16"/>
                <w:szCs w:val="16"/>
                <w:b w:val="1"/>
                <w:bCs w:val="1"/>
                <w:color w:val="auto"/>
              </w:rPr>
              <w:t>Previously</w:t>
            </w:r>
          </w:p>
        </w:tc>
        <w:tc>
          <w:tcPr>
            <w:tcW w:w="20" w:type="dxa"/>
            <w:vAlign w:val="bottom"/>
            <w:shd w:val="clear" w:color="auto" w:fill="9ADAF6"/>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gridSpan w:val="5"/>
            <w:vMerge w:val="restart"/>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Securities Previously</w:t>
            </w:r>
          </w:p>
        </w:tc>
        <w:tc>
          <w:tcPr>
            <w:tcW w:w="20" w:type="dxa"/>
            <w:vAlign w:val="bottom"/>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520" w:type="dxa"/>
            <w:vAlign w:val="bottom"/>
            <w:gridSpan w:val="2"/>
            <w:vMerge w:val="restart"/>
            <w:shd w:val="clear" w:color="auto" w:fill="9ADAF6"/>
          </w:tcPr>
          <w:p>
            <w:pPr>
              <w:spacing w:after="0" w:line="182" w:lineRule="exact"/>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7"/>
                <w:szCs w:val="7"/>
                <w:color w:val="auto"/>
              </w:rPr>
            </w:pPr>
          </w:p>
        </w:tc>
        <w:tc>
          <w:tcPr>
            <w:tcW w:w="112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gridSpan w:val="3"/>
            <w:vMerge w:val="continue"/>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gridSpan w:val="5"/>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520" w:type="dxa"/>
            <w:vAlign w:val="bottom"/>
            <w:gridSpan w:val="2"/>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vMerge w:val="restart"/>
            <w:shd w:val="clear" w:color="auto" w:fill="9ADAF6"/>
          </w:tcPr>
          <w:p>
            <w:pPr>
              <w:jc w:val="center"/>
              <w:ind w:right="122"/>
              <w:spacing w:after="0"/>
              <w:rPr>
                <w:sz w:val="20"/>
                <w:szCs w:val="20"/>
                <w:color w:val="auto"/>
              </w:rPr>
            </w:pPr>
            <w:r>
              <w:rPr>
                <w:rFonts w:ascii="Arial" w:cs="Arial" w:eastAsia="Arial" w:hAnsi="Arial"/>
                <w:sz w:val="16"/>
                <w:szCs w:val="16"/>
                <w:b w:val="1"/>
                <w:bCs w:val="1"/>
                <w:color w:val="auto"/>
                <w:w w:val="97"/>
              </w:rPr>
              <w:t>Date</w:t>
            </w: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40" w:type="dxa"/>
            <w:vAlign w:val="bottom"/>
            <w:tcBorders>
              <w:left w:val="single" w:sz="8" w:color="auto"/>
            </w:tcBorders>
          </w:tcPr>
          <w:p>
            <w:pPr>
              <w:spacing w:after="0"/>
              <w:rPr>
                <w:sz w:val="11"/>
                <w:szCs w:val="11"/>
                <w:color w:val="auto"/>
              </w:rPr>
            </w:pPr>
          </w:p>
        </w:tc>
        <w:tc>
          <w:tcPr>
            <w:tcW w:w="4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3"/>
            <w:vMerge w:val="restart"/>
            <w:shd w:val="clear" w:color="auto" w:fill="9ADAF6"/>
          </w:tcPr>
          <w:p>
            <w:pPr>
              <w:ind w:left="360"/>
              <w:spacing w:after="0"/>
              <w:rPr>
                <w:sz w:val="20"/>
                <w:szCs w:val="20"/>
                <w:color w:val="auto"/>
              </w:rPr>
            </w:pPr>
            <w:r>
              <w:rPr>
                <w:rFonts w:ascii="Arial" w:cs="Arial" w:eastAsia="Arial" w:hAnsi="Arial"/>
                <w:sz w:val="16"/>
                <w:szCs w:val="16"/>
                <w:b w:val="1"/>
                <w:bCs w:val="1"/>
                <w:color w:val="auto"/>
              </w:rPr>
              <w:t>Registered</w:t>
            </w:r>
          </w:p>
        </w:tc>
        <w:tc>
          <w:tcPr>
            <w:tcW w:w="20" w:type="dxa"/>
            <w:vAlign w:val="bottom"/>
            <w:shd w:val="clear" w:color="auto" w:fill="9ADAF6"/>
          </w:tcPr>
          <w:p>
            <w:pPr>
              <w:spacing w:after="0"/>
              <w:rPr>
                <w:sz w:val="11"/>
                <w:szCs w:val="11"/>
                <w:color w:val="auto"/>
              </w:rPr>
            </w:pPr>
          </w:p>
        </w:tc>
        <w:tc>
          <w:tcPr>
            <w:tcW w:w="2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620" w:type="dxa"/>
            <w:vAlign w:val="bottom"/>
            <w:gridSpan w:val="3"/>
            <w:vMerge w:val="restart"/>
            <w:shd w:val="clear" w:color="auto" w:fill="9ADAF6"/>
          </w:tcPr>
          <w:p>
            <w:pPr>
              <w:jc w:val="center"/>
              <w:ind w:right="303"/>
              <w:spacing w:after="0"/>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60" w:type="dxa"/>
            <w:vAlign w:val="bottom"/>
            <w:vMerge w:val="continue"/>
            <w:shd w:val="clear" w:color="auto" w:fill="9ADAF6"/>
          </w:tcPr>
          <w:p>
            <w:pPr>
              <w:spacing w:after="0"/>
              <w:rPr>
                <w:sz w:val="11"/>
                <w:szCs w:val="11"/>
                <w:color w:val="auto"/>
              </w:rPr>
            </w:pPr>
          </w:p>
        </w:tc>
        <w:tc>
          <w:tcPr>
            <w:tcW w:w="60" w:type="dxa"/>
            <w:vAlign w:val="bottom"/>
            <w:tcBorders>
              <w:left w:val="single" w:sz="8" w:color="9ADAF6"/>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62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00"/>
      </w:cols>
      <w:pgMar w:left="300" w:top="12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74A3FE6"/>
    <w:multiLevelType w:val="hybridMultilevel"/>
    <w:lvl w:ilvl="0">
      <w:lvlJc w:val="left"/>
      <w:lvlText w:val="·"/>
      <w:numFmt w:val="bullet"/>
      <w:start w:val="1"/>
    </w:lvl>
  </w:abstractNum>
  <w:abstractNum w:abstractNumId="1">
    <w:nsid w:val="4F4EF005"/>
    <w:multiLevelType w:val="hybridMultilevel"/>
    <w:lvl w:ilvl="0">
      <w:lvlJc w:val="left"/>
      <w:lvlText w:val="·"/>
      <w:numFmt w:val="bullet"/>
      <w:start w:val="1"/>
    </w:lvl>
  </w:abstractNum>
  <w:abstractNum w:abstractNumId="2">
    <w:nsid w:val="23F9C13C"/>
    <w:multiLevelType w:val="hybridMultilevel"/>
    <w:lvl w:ilvl="0">
      <w:lvlJc w:val="left"/>
      <w:lvlText w:val="·"/>
      <w:numFmt w:val="bullet"/>
      <w:start w:val="1"/>
    </w:lvl>
  </w:abstractNum>
  <w:abstractNum w:abstractNumId="3">
    <w:nsid w:val="649BB77C"/>
    <w:multiLevelType w:val="hybridMultilevel"/>
    <w:lvl w:ilvl="0">
      <w:lvlJc w:val="left"/>
      <w:lvlText w:val="·"/>
      <w:numFmt w:val="bullet"/>
      <w:start w:val="1"/>
    </w:lvl>
  </w:abstractNum>
  <w:abstractNum w:abstractNumId="4">
    <w:nsid w:val="275AC794"/>
    <w:multiLevelType w:val="hybridMultilevel"/>
    <w:lvl w:ilvl="0">
      <w:lvlJc w:val="left"/>
      <w:lvlText w:val="·"/>
      <w:numFmt w:val="bullet"/>
      <w:start w:val="1"/>
    </w:lvl>
  </w:abstractNum>
  <w:abstractNum w:abstractNumId="5">
    <w:nsid w:val="39386575"/>
    <w:multiLevelType w:val="hybridMultilevel"/>
    <w:lvl w:ilvl="0">
      <w:lvlJc w:val="left"/>
      <w:lvlText w:val="·"/>
      <w:numFmt w:val="bullet"/>
      <w:start w:val="1"/>
    </w:lvl>
  </w:abstractNum>
  <w:abstractNum w:abstractNumId="6">
    <w:nsid w:val="1CF10FD8"/>
    <w:multiLevelType w:val="hybridMultilevel"/>
    <w:lvl w:ilvl="0">
      <w:lvlJc w:val="left"/>
      <w:lvlText w:val="·"/>
      <w:numFmt w:val="bullet"/>
      <w:start w:val="1"/>
    </w:lvl>
  </w:abstractNum>
  <w:abstractNum w:abstractNumId="7">
    <w:nsid w:val="180115BE"/>
    <w:multiLevelType w:val="hybridMultilevel"/>
    <w:lvl w:ilvl="0">
      <w:lvlJc w:val="left"/>
      <w:lvlText w:val="·"/>
      <w:numFmt w:val="bullet"/>
      <w:start w:val="1"/>
    </w:lvl>
  </w:abstractNum>
  <w:abstractNum w:abstractNumId="8">
    <w:nsid w:val="235BA861"/>
    <w:multiLevelType w:val="hybridMultilevel"/>
    <w:lvl w:ilvl="0">
      <w:lvlJc w:val="left"/>
      <w:lvlText w:val="·"/>
      <w:numFmt w:val="bullet"/>
      <w:start w:val="1"/>
    </w:lvl>
  </w:abstractNum>
  <w:abstractNum w:abstractNumId="9">
    <w:nsid w:val="47398C89"/>
    <w:multiLevelType w:val="hybridMultilevel"/>
    <w:lvl w:ilvl="0">
      <w:lvlJc w:val="left"/>
      <w:lvlText w:val="·"/>
      <w:numFmt w:val="bullet"/>
      <w:start w:val="1"/>
    </w:lvl>
  </w:abstractNum>
  <w:abstractNum w:abstractNumId="10">
    <w:nsid w:val="354FE9F9"/>
    <w:multiLevelType w:val="hybridMultilevel"/>
    <w:lvl w:ilvl="0">
      <w:lvlJc w:val="left"/>
      <w:lvlText w:val="·"/>
      <w:numFmt w:val="bullet"/>
      <w:start w:val="1"/>
    </w:lvl>
  </w:abstractNum>
  <w:abstractNum w:abstractNumId="11">
    <w:nsid w:val="15B5AF5C"/>
    <w:multiLevelType w:val="hybridMultilevel"/>
    <w:lvl w:ilvl="0">
      <w:lvlJc w:val="left"/>
      <w:lvlText w:val="·"/>
      <w:numFmt w:val="bullet"/>
      <w:start w:val="1"/>
    </w:lvl>
  </w:abstractNum>
  <w:abstractNum w:abstractNumId="12">
    <w:nsid w:val="741226BB"/>
    <w:multiLevelType w:val="hybridMultilevel"/>
    <w:lvl w:ilvl="0">
      <w:lvlJc w:val="left"/>
      <w:lvlText w:val="·"/>
      <w:numFmt w:val="bullet"/>
      <w:start w:val="1"/>
    </w:lvl>
  </w:abstractNum>
  <w:abstractNum w:abstractNumId="13">
    <w:nsid w:val="D34B6A8"/>
    <w:multiLevelType w:val="hybridMultilevel"/>
    <w:lvl w:ilvl="0">
      <w:lvlJc w:val="left"/>
      <w:lvlText w:val="·"/>
      <w:numFmt w:val="bullet"/>
      <w:start w:val="1"/>
    </w:lvl>
  </w:abstractNum>
  <w:abstractNum w:abstractNumId="14">
    <w:nsid w:val="10233C99"/>
    <w:multiLevelType w:val="hybridMultilevel"/>
    <w:lvl w:ilvl="0">
      <w:lvlJc w:val="left"/>
      <w:lvlText w:val="·"/>
      <w:numFmt w:val="bullet"/>
      <w:start w:val="1"/>
    </w:lvl>
  </w:abstractNum>
  <w:abstractNum w:abstractNumId="15">
    <w:nsid w:val="3F6AB60F"/>
    <w:multiLevelType w:val="hybridMultilevel"/>
    <w:lvl w:ilvl="0">
      <w:lvlJc w:val="left"/>
      <w:lvlText w:val="·"/>
      <w:numFmt w:val="bullet"/>
      <w:start w:val="1"/>
    </w:lvl>
  </w:abstractNum>
  <w:abstractNum w:abstractNumId="16">
    <w:nsid w:val="61574095"/>
    <w:multiLevelType w:val="hybridMultilevel"/>
    <w:lvl w:ilvl="0">
      <w:lvlJc w:val="left"/>
      <w:lvlText w:val="·"/>
      <w:numFmt w:val="bullet"/>
      <w:start w:val="1"/>
    </w:lvl>
  </w:abstractNum>
  <w:abstractNum w:abstractNumId="17">
    <w:nsid w:val="7E0C57B1"/>
    <w:multiLevelType w:val="hybridMultilevel"/>
    <w:lvl w:ilvl="0">
      <w:lvlJc w:val="left"/>
      <w:lvlText w:val="·"/>
      <w:numFmt w:val="bullet"/>
      <w:start w:val="1"/>
    </w:lvl>
  </w:abstractNum>
  <w:abstractNum w:abstractNumId="18">
    <w:nsid w:val="77AE35EB"/>
    <w:multiLevelType w:val="hybridMultilevel"/>
    <w:lvl w:ilvl="0">
      <w:lvlJc w:val="left"/>
      <w:lvlText w:val="·"/>
      <w:numFmt w:val="bullet"/>
      <w:start w:val="1"/>
    </w:lvl>
  </w:abstractNum>
  <w:abstractNum w:abstractNumId="19">
    <w:nsid w:val="579BE4F1"/>
    <w:multiLevelType w:val="hybridMultilevel"/>
    <w:lvl w:ilvl="0">
      <w:lvlJc w:val="left"/>
      <w:lvlText w:val="·"/>
      <w:numFmt w:val="bullet"/>
      <w:start w:val="1"/>
    </w:lvl>
  </w:abstractNum>
  <w:abstractNum w:abstractNumId="20">
    <w:nsid w:val="310C50B3"/>
    <w:multiLevelType w:val="hybridMultilevel"/>
    <w:lvl w:ilvl="0">
      <w:lvlJc w:val="left"/>
      <w:lvlText w:val="·"/>
      <w:numFmt w:val="bullet"/>
      <w:start w:val="1"/>
    </w:lvl>
  </w:abstractNum>
  <w:abstractNum w:abstractNumId="21">
    <w:nsid w:val="5FF87E05"/>
    <w:multiLevelType w:val="hybridMultilevel"/>
    <w:lvl w:ilvl="0">
      <w:lvlJc w:val="left"/>
      <w:lvlText w:val="·"/>
      <w:numFmt w:val="bullet"/>
      <w:start w:val="1"/>
    </w:lvl>
  </w:abstractNum>
  <w:abstractNum w:abstractNumId="22">
    <w:nsid w:val="2F305DEF"/>
    <w:multiLevelType w:val="hybridMultilevel"/>
    <w:lvl w:ilvl="0">
      <w:lvlJc w:val="left"/>
      <w:lvlText w:val="·"/>
      <w:numFmt w:val="bullet"/>
      <w:start w:val="1"/>
    </w:lvl>
  </w:abstractNum>
  <w:abstractNum w:abstractNumId="23">
    <w:nsid w:val="25A70BF7"/>
    <w:multiLevelType w:val="hybridMultilevel"/>
    <w:lvl w:ilvl="0">
      <w:lvlJc w:val="left"/>
      <w:lvlText w:val="·"/>
      <w:numFmt w:val="bullet"/>
      <w:start w:val="1"/>
    </w:lvl>
  </w:abstractNum>
  <w:abstractNum w:abstractNumId="24">
    <w:nsid w:val="1DBABF00"/>
    <w:multiLevelType w:val="hybridMultilevel"/>
    <w:lvl w:ilvl="0">
      <w:lvlJc w:val="left"/>
      <w:lvlText w:val="·"/>
      <w:numFmt w:val="bullet"/>
      <w:start w:val="1"/>
    </w:lvl>
  </w:abstractNum>
  <w:abstractNum w:abstractNumId="25">
    <w:nsid w:val="4AD084E9"/>
    <w:multiLevelType w:val="hybridMultilevel"/>
    <w:lvl w:ilvl="0">
      <w:lvlJc w:val="left"/>
      <w:lvlText w:val="·"/>
      <w:numFmt w:val="bullet"/>
      <w:start w:val="1"/>
    </w:lvl>
  </w:abstractNum>
  <w:abstractNum w:abstractNumId="26">
    <w:nsid w:val="1F48EAA1"/>
    <w:multiLevelType w:val="hybridMultilevel"/>
    <w:lvl w:ilvl="0">
      <w:lvlJc w:val="left"/>
      <w:lvlText w:val="·"/>
      <w:numFmt w:val="bullet"/>
      <w:start w:val="1"/>
    </w:lvl>
  </w:abstractNum>
  <w:abstractNum w:abstractNumId="27">
    <w:nsid w:val="1381823A"/>
    <w:multiLevelType w:val="hybridMultilevel"/>
    <w:lvl w:ilvl="0">
      <w:lvlJc w:val="left"/>
      <w:lvlText w:val="(%1)"/>
      <w:numFmt w:val="decimal"/>
      <w:start w:val="4"/>
    </w:lvl>
  </w:abstractNum>
  <w:abstractNum w:abstractNumId="28">
    <w:nsid w:val="5DB70AE5"/>
    <w:multiLevelType w:val="hybridMultilevel"/>
    <w:lvl w:ilvl="0">
      <w:lvlJc w:val="left"/>
      <w:lvlText w:val="·"/>
      <w:numFmt w:val="bullet"/>
      <w:start w:val="1"/>
    </w:lvl>
  </w:abstractNum>
  <w:abstractNum w:abstractNumId="29">
    <w:nsid w:val="100F8FCA"/>
    <w:multiLevelType w:val="hybridMultilevel"/>
    <w:lvl w:ilvl="0">
      <w:lvlJc w:val="left"/>
      <w:lvlText w:val="·"/>
      <w:numFmt w:val="bullet"/>
      <w:start w:val="1"/>
    </w:lvl>
  </w:abstractNum>
  <w:abstractNum w:abstractNumId="30">
    <w:nsid w:val="6590700B"/>
    <w:multiLevelType w:val="hybridMultilevel"/>
    <w:lvl w:ilvl="0">
      <w:lvlJc w:val="left"/>
      <w:lvlText w:val="·"/>
      <w:numFmt w:val="bullet"/>
      <w:start w:val="1"/>
    </w:lvl>
  </w:abstractNum>
  <w:abstractNum w:abstractNumId="31">
    <w:nsid w:val="15014ACB"/>
    <w:multiLevelType w:val="hybridMultilevel"/>
    <w:lvl w:ilvl="0">
      <w:lvlJc w:val="left"/>
      <w:lvlText w:val="·"/>
      <w:numFmt w:val="bullet"/>
      <w:start w:val="1"/>
    </w:lvl>
  </w:abstractNum>
  <w:abstractNum w:abstractNumId="32">
    <w:nsid w:val="5F5E7FD0"/>
    <w:multiLevelType w:val="hybridMultilevel"/>
    <w:lvl w:ilvl="0">
      <w:lvlJc w:val="left"/>
      <w:lvlText w:val="·"/>
      <w:numFmt w:val="bullet"/>
      <w:start w:val="1"/>
    </w:lvl>
  </w:abstractNum>
  <w:abstractNum w:abstractNumId="33">
    <w:nsid w:val="98A3148"/>
    <w:multiLevelType w:val="hybridMultilevel"/>
    <w:lvl w:ilvl="0">
      <w:lvlJc w:val="left"/>
      <w:lvlText w:val="·"/>
      <w:numFmt w:val="bullet"/>
      <w:start w:val="1"/>
    </w:lvl>
  </w:abstractNum>
  <w:abstractNum w:abstractNumId="34">
    <w:nsid w:val="799D0247"/>
    <w:multiLevelType w:val="hybridMultilevel"/>
    <w:lvl w:ilvl="0">
      <w:lvlJc w:val="left"/>
      <w:lvlText w:val="†"/>
      <w:numFmt w:val="bullet"/>
      <w:start w:val="1"/>
    </w:lvl>
  </w:abstractNum>
  <w:abstractNum w:abstractNumId="35">
    <w:nsid w:val="6B94764"/>
    <w:multiLevelType w:val="hybridMultilevel"/>
    <w:lvl w:ilvl="0">
      <w:lvlJc w:val="left"/>
      <w:lvlText w:val="*"/>
      <w:numFmt w:val="bullet"/>
      <w:start w:val="1"/>
    </w:lvl>
    <w:lvl w:ilvl="1">
      <w:lvlJc w:val="left"/>
      <w:lvlText w:val="%2"/>
      <w:numFmt w:val="decimal"/>
      <w:start w:val="107"/>
    </w:lvl>
  </w:abstractNum>
  <w:abstractNum w:abstractNumId="36">
    <w:nsid w:val="42C296BD"/>
    <w:multiLevelType w:val="hybridMultilevel"/>
    <w:lvl w:ilvl="0">
      <w:lvlJc w:val="left"/>
      <w:lvlText w:val="**"/>
      <w:numFmt w:val="bullet"/>
      <w:start w:val="1"/>
    </w:lvl>
    <w:lvl w:ilvl="1">
      <w:lvlJc w:val="left"/>
      <w:lvlText w:val="%2"/>
      <w:numFmt w:val="decimal"/>
      <w:start w:val="1"/>
    </w:lvl>
  </w:abstractNum>
  <w:abstractNum w:abstractNumId="37">
    <w:nsid w:val="168E121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8">
    <w:nsid w:val="1EBA5D2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9">
    <w:nsid w:val="661E3F1E"/>
    <w:multiLevelType w:val="hybridMultilevel"/>
    <w:lvl w:ilvl="0">
      <w:lvlJc w:val="left"/>
      <w:lvlText w:val="(%1)"/>
      <w:numFmt w:val="decimal"/>
      <w:start w:val="5"/>
    </w:lvl>
    <w:lvl w:ilvl="1">
      <w:lvlJc w:val="left"/>
      <w:lvlText w:val="(%2)"/>
      <w:numFmt w:val="lowerRoman"/>
      <w:start w:val="1"/>
    </w:lvl>
  </w:abstractNum>
  <w:abstractNum w:abstractNumId="40">
    <w:nsid w:val="5DC79EA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41">
    <w:nsid w:val="540A471C"/>
    <w:multiLevelType w:val="hybridMultilevel"/>
    <w:lvl w:ilvl="0">
      <w:lvlJc w:val="left"/>
      <w:lvlText w:val="(%1)"/>
      <w:numFmt w:val="decimal"/>
      <w:start w:val="6"/>
    </w:lvl>
    <w:lvl w:ilvl="1">
      <w:lvlJc w:val="left"/>
      <w:lvlText w:val="(%2)"/>
      <w:numFmt w:val="lowerLetter"/>
      <w:start w:val="2"/>
    </w:lvl>
    <w:lvl w:ilvl="2">
      <w:lvlJc w:val="left"/>
      <w:lvlText w:val="%3"/>
      <w:numFmt w:val="lowerRoman"/>
      <w:start w:val="1"/>
    </w:lvl>
  </w:abstractNum>
  <w:abstractNum w:abstractNumId="42">
    <w:nsid w:val="7BD3EE7B"/>
    <w:multiLevelType w:val="hybridMultilevel"/>
    <w:lvl w:ilvl="0">
      <w:lvlJc w:val="left"/>
      <w:lvlText w:val="(%1)"/>
      <w:numFmt w:val="upperLetter"/>
      <w:start w:val="1"/>
    </w:lvl>
  </w:abstractNum>
  <w:abstractNum w:abstractNumId="43">
    <w:nsid w:val="51D9C564"/>
    <w:multiLevelType w:val="hybridMultilevel"/>
    <w:lvl w:ilvl="0">
      <w:lvlJc w:val="left"/>
      <w:lvlText w:val="%1"/>
      <w:numFmt w:val="lowerRoman"/>
      <w:start w:val="1"/>
    </w:lvl>
    <w:lvl w:ilvl="1">
      <w:lvlJc w:val="left"/>
      <w:lvlText w:val="(%2)"/>
      <w:numFmt w:val="upperLetter"/>
      <w:start w:val="2"/>
    </w:lvl>
  </w:abstractNum>
  <w:abstractNum w:abstractNumId="44">
    <w:nsid w:val="613EFDC5"/>
    <w:multiLevelType w:val="hybridMultilevel"/>
    <w:lvl w:ilvl="0">
      <w:lvlJc w:val="left"/>
      <w:lvlText w:val="(%1)"/>
      <w:numFmt w:val="lowerRoman"/>
      <w:start w:val="2"/>
    </w:lvl>
    <w:lvl w:ilvl="1">
      <w:lvlJc w:val="left"/>
      <w:lvlText w:val="%2"/>
      <w:numFmt w:val="upperLetter"/>
      <w:start w:val="1"/>
    </w:lvl>
  </w:abstractNum>
  <w:abstractNum w:abstractNumId="45">
    <w:nsid w:val="BF72B14"/>
    <w:multiLevelType w:val="hybridMultilevel"/>
    <w:lvl w:ilvl="0">
      <w:lvlJc w:val="left"/>
      <w:lvlText w:val="%1"/>
      <w:numFmt w:val="lowerRoman"/>
      <w:start w:val="1"/>
    </w:lvl>
    <w:lvl w:ilvl="1">
      <w:lvlJc w:val="left"/>
      <w:lvlText w:val="(%2)"/>
      <w:numFmt w:val="upperLetter"/>
      <w:start w:val="1"/>
    </w:lvl>
  </w:abstractNum>
  <w:abstractNum w:abstractNumId="46">
    <w:nsid w:val="11447B73"/>
    <w:multiLevelType w:val="hybridMultilevel"/>
    <w:lvl w:ilvl="0">
      <w:lvlJc w:val="left"/>
      <w:lvlText w:val="(%1)"/>
      <w:numFmt w:val="lowerRoman"/>
      <w:start w:val="3"/>
    </w:lvl>
    <w:lvl w:ilvl="1">
      <w:lvlJc w:val="left"/>
      <w:lvlText w:val="%2"/>
      <w:numFmt w:val="upperLetter"/>
      <w:start w:val="1"/>
    </w:lvl>
  </w:abstractNum>
  <w:abstractNum w:abstractNumId="47">
    <w:nsid w:val="42963E5A"/>
    <w:multiLevelType w:val="hybridMultilevel"/>
    <w:lvl w:ilvl="0">
      <w:lvlJc w:val="left"/>
      <w:lvlText w:val="(%1)"/>
      <w:numFmt w:val="upperLetter"/>
      <w:start w:val="1"/>
    </w:lvl>
  </w:abstractNum>
  <w:abstractNum w:abstractNumId="48">
    <w:nsid w:val="A0382C5"/>
    <w:multiLevelType w:val="hybridMultilevel"/>
    <w:lvl w:ilvl="0">
      <w:lvlJc w:val="left"/>
      <w:lvlText w:val="(%1)"/>
      <w:numFmt w:val="lowerRoman"/>
      <w:start w:val="5"/>
    </w:lvl>
  </w:abstractNum>
  <w:abstractNum w:abstractNumId="49">
    <w:nsid w:val="8F2B15E"/>
    <w:multiLevelType w:val="hybridMultilevel"/>
    <w:lvl w:ilvl="0">
      <w:lvlJc w:val="left"/>
      <w:lvlText w:val="(%1)"/>
      <w:numFmt w:val="upperLetter"/>
      <w:start w:val="2"/>
    </w:lvl>
  </w:abstractNum>
  <w:abstractNum w:abstractNumId="50">
    <w:nsid w:val="1A32234B"/>
    <w:multiLevelType w:val="hybridMultilevel"/>
    <w:lvl w:ilvl="0">
      <w:lvlJc w:val="left"/>
      <w:lvlText w:val="(%1)"/>
      <w:numFmt w:val="lowerRoman"/>
      <w:start w:val="1"/>
    </w:lvl>
  </w:abstractNum>
  <w:abstractNum w:abstractNumId="51">
    <w:nsid w:val="3B0FD379"/>
    <w:multiLevelType w:val="hybridMultilevel"/>
    <w:lvl w:ilvl="0">
      <w:lvlJc w:val="left"/>
      <w:lvlText w:val="(%1)"/>
      <w:numFmt w:val="lowerRoman"/>
      <w:start w:val="3"/>
    </w:lvl>
  </w:abstractNum>
  <w:abstractNum w:abstractNumId="52">
    <w:nsid w:val="68EB2F63"/>
    <w:multiLevelType w:val="hybridMultilevel"/>
    <w:lvl w:ilvl="0">
      <w:lvlJc w:val="left"/>
      <w:lvlText w:val="(%1)"/>
      <w:numFmt w:val="decimal"/>
      <w:start w:val="1"/>
    </w:lvl>
  </w:abstractNum>
  <w:abstractNum w:abstractNumId="53">
    <w:nsid w:val="4962813B"/>
    <w:multiLevelType w:val="hybridMultilevel"/>
    <w:lvl w:ilvl="0">
      <w:lvlJc w:val="left"/>
      <w:lvlText w:val="(%1)"/>
      <w:numFmt w:val="decimal"/>
      <w:start w:val="1"/>
    </w:lvl>
  </w:abstractNum>
  <w:abstractNum w:abstractNumId="54">
    <w:nsid w:val="60B6DF70"/>
    <w:multiLevelType w:val="hybridMultilevel"/>
    <w:lvl w:ilvl="0">
      <w:lvlJc w:val="left"/>
      <w:lvlText w:val="(%1)"/>
      <w:numFmt w:val="decimal"/>
      <w:start w:val="1"/>
    </w:lvl>
  </w:abstractNum>
  <w:abstractNum w:abstractNumId="55">
    <w:nsid w:val="6A5EE64"/>
    <w:multiLevelType w:val="hybridMultilevel"/>
    <w:lvl w:ilvl="0">
      <w:lvlJc w:val="left"/>
      <w:lvlText w:val="(%1)"/>
      <w:numFmt w:val="decimal"/>
      <w:start w:val="1"/>
    </w:lvl>
  </w:abstractNum>
  <w:abstractNum w:abstractNumId="56">
    <w:nsid w:val="14330624"/>
    <w:multiLevelType w:val="hybridMultilevel"/>
    <w:lvl w:ilvl="0">
      <w:lvlJc w:val="left"/>
      <w:lvlText w:val="(%1)"/>
      <w:numFmt w:val="decimal"/>
      <w:start w:val="5"/>
    </w:lvl>
  </w:abstractNum>
  <w:abstractNum w:abstractNumId="57">
    <w:nsid w:val="7FFFCA11"/>
    <w:multiLevelType w:val="hybridMultilevel"/>
    <w:lvl w:ilvl="0">
      <w:lvlJc w:val="left"/>
      <w:lvlText w:val="%1"/>
      <w:numFmt w:val="decimal"/>
      <w:start w:val="1"/>
    </w:lvl>
    <w:lvl w:ilvl="1">
      <w:lvlJc w:val="left"/>
      <w:lvlText w:val="(%2)"/>
      <w:numFmt w:val="decimal"/>
      <w:start w:val="1"/>
    </w:lvl>
  </w:abstractNum>
  <w:abstractNum w:abstractNumId="58">
    <w:nsid w:val="1A27709E"/>
    <w:multiLevelType w:val="hybridMultilevel"/>
    <w:lvl w:ilvl="0">
      <w:lvlJc w:val="left"/>
      <w:lvlText w:val="(%1)"/>
      <w:numFmt w:val="decimal"/>
      <w:start w:val="2"/>
    </w:lvl>
    <w:lvl w:ilvl="1">
      <w:lvlJc w:val="left"/>
      <w:lvlText w:val="%2"/>
      <w:numFmt w:val="decimal"/>
      <w:start w:val="1"/>
    </w:lvl>
  </w:abstractNum>
  <w:abstractNum w:abstractNumId="59">
    <w:nsid w:val="71EA1109"/>
    <w:multiLevelType w:val="hybridMultilevel"/>
    <w:lvl w:ilvl="0">
      <w:lvlJc w:val="left"/>
      <w:lvlText w:val="(%1)"/>
      <w:numFmt w:val="decimal"/>
      <w:start w:val="1"/>
    </w:lvl>
  </w:abstractNum>
  <w:abstractNum w:abstractNumId="60">
    <w:nsid w:val="100F59DC"/>
    <w:multiLevelType w:val="hybridMultilevel"/>
    <w:lvl w:ilvl="0">
      <w:lvlJc w:val="left"/>
      <w:lvlText w:val="(%1)"/>
      <w:numFmt w:val="decimal"/>
      <w:start w:val="1"/>
    </w:lvl>
  </w:abstractNum>
  <w:abstractNum w:abstractNumId="61">
    <w:nsid w:val="7FB7E0AA"/>
    <w:multiLevelType w:val="hybridMultilevel"/>
    <w:lvl w:ilvl="0">
      <w:lvlJc w:val="left"/>
      <w:lvlText w:val="(%1)"/>
      <w:numFmt w:val="decimal"/>
      <w:start w:val="1"/>
    </w:lvl>
  </w:abstractNum>
  <w:abstractNum w:abstractNumId="62">
    <w:nsid w:val="6EB5BD4"/>
    <w:multiLevelType w:val="hybridMultilevel"/>
    <w:lvl w:ilvl="0">
      <w:lvlJc w:val="left"/>
      <w:lvlText w:val="(%1)"/>
      <w:numFmt w:val="decimal"/>
      <w:start w:val="1"/>
    </w:lvl>
  </w:abstractNum>
  <w:abstractNum w:abstractNumId="63">
    <w:nsid w:val="6F6DD9AC"/>
    <w:multiLevelType w:val="hybridMultilevel"/>
    <w:lvl w:ilvl="0">
      <w:lvlJc w:val="left"/>
      <w:lvlText w:val="(%1)"/>
      <w:numFmt w:val="decimal"/>
      <w:start w:val="1"/>
    </w:lvl>
  </w:abstractNum>
  <w:abstractNum w:abstractNumId="64">
    <w:nsid w:val="94211F2"/>
    <w:multiLevelType w:val="hybridMultilevel"/>
    <w:lvl w:ilvl="0">
      <w:lvlJc w:val="left"/>
      <w:lvlText w:val="(%1)"/>
      <w:numFmt w:val="lowerLetter"/>
      <w:start w:val="1"/>
    </w:lvl>
  </w:abstractNum>
  <w:abstractNum w:abstractNumId="65">
    <w:nsid w:val="885E1B"/>
    <w:multiLevelType w:val="hybridMultilevel"/>
    <w:lvl w:ilvl="0">
      <w:lvlJc w:val="left"/>
      <w:lvlText w:val="(%1)"/>
      <w:numFmt w:val="lowerLetter"/>
      <w:start w:val="2"/>
    </w:lvl>
  </w:abstractNum>
  <w:abstractNum w:abstractNumId="66">
    <w:nsid w:val="76272110"/>
    <w:multiLevelType w:val="hybridMultilevel"/>
    <w:lvl w:ilvl="0">
      <w:lvlJc w:val="left"/>
      <w:lvlText w:val="(%1)"/>
      <w:numFmt w:val="lowerLetter"/>
      <w:start w:val="4"/>
    </w:lvl>
  </w:abstractNum>
  <w:abstractNum w:abstractNumId="67">
    <w:nsid w:val="4C04A8AF"/>
    <w:multiLevelType w:val="hybridMultilevel"/>
    <w:lvl w:ilvl="0">
      <w:lvlJc w:val="left"/>
      <w:lvlText w:val="(%1)"/>
      <w:numFmt w:val="decimal"/>
      <w:start w:val="1"/>
    </w:lvl>
  </w:abstractNum>
  <w:abstractNum w:abstractNumId="68">
    <w:nsid w:val="1716703B"/>
    <w:multiLevelType w:val="hybridMultilevel"/>
    <w:lvl w:ilvl="0">
      <w:lvlJc w:val="left"/>
      <w:lvlText w:val="(%1)"/>
      <w:numFmt w:val="decimal"/>
      <w:start w:val="7"/>
    </w:lvl>
  </w:abstractNum>
  <w:abstractNum w:abstractNumId="69">
    <w:nsid w:val="14E17E33"/>
    <w:multiLevelType w:val="hybridMultilevel"/>
    <w:lvl w:ilvl="0">
      <w:lvlJc w:val="left"/>
      <w:lvlText w:val="(%1)"/>
      <w:numFmt w:val="lowerLetter"/>
      <w:start w:val="1"/>
    </w:lvl>
  </w:abstractNum>
  <w:abstractNum w:abstractNumId="70">
    <w:nsid w:val="3222E7CD"/>
    <w:multiLevelType w:val="hybridMultilevel"/>
    <w:lvl w:ilvl="0">
      <w:lvlJc w:val="left"/>
      <w:lvlText w:val="(%1)"/>
      <w:numFmt w:val="decimal"/>
      <w:start w:val="1"/>
    </w:lvl>
  </w:abstractNum>
  <w:abstractNum w:abstractNumId="71">
    <w:nsid w:val="74DE0EE3"/>
    <w:multiLevelType w:val="hybridMultilevel"/>
    <w:lvl w:ilvl="0">
      <w:lvlJc w:val="left"/>
      <w:lvlText w:val="(%1)"/>
      <w:numFmt w:val="decimal"/>
      <w:start w:val="1"/>
    </w:lvl>
  </w:abstractNum>
  <w:abstractNum w:abstractNumId="72">
    <w:nsid w:val="68EBC550"/>
    <w:multiLevelType w:val="hybridMultilevel"/>
    <w:lvl w:ilvl="0">
      <w:lvlJc w:val="left"/>
      <w:lvlText w:val="(%1)"/>
      <w:numFmt w:val="decimal"/>
      <w:start w:val="2"/>
    </w:lvl>
  </w:abstractNum>
  <w:abstractNum w:abstractNumId="73">
    <w:nsid w:val="2DF6D648"/>
    <w:multiLevelType w:val="hybridMultilevel"/>
    <w:lvl w:ilvl="0">
      <w:lvlJc w:val="left"/>
      <w:lvlText w:val="(%1)"/>
      <w:numFmt w:val="lowerLetter"/>
      <w:start w:val="1"/>
    </w:lvl>
  </w:abstractNum>
  <w:abstractNum w:abstractNumId="74">
    <w:nsid w:val="46B7D447"/>
    <w:multiLevelType w:val="hybridMultilevel"/>
    <w:lvl w:ilvl="0">
      <w:lvlJc w:val="left"/>
      <w:lvlText w:val="(%1)"/>
      <w:numFmt w:val="lowerLetter"/>
      <w:start w:val="6"/>
    </w:lvl>
  </w:abstractNum>
  <w:abstractNum w:abstractNumId="75">
    <w:nsid w:val="4A2AC315"/>
    <w:multiLevelType w:val="hybridMultilevel"/>
    <w:lvl w:ilvl="0">
      <w:lvlJc w:val="left"/>
      <w:lvlText w:val="(%1)"/>
      <w:numFmt w:val="decimal"/>
      <w:start w:val="1"/>
    </w:lvl>
  </w:abstractNum>
  <w:abstractNum w:abstractNumId="76">
    <w:nsid w:val="39EE015C"/>
    <w:multiLevelType w:val="hybridMultilevel"/>
    <w:lvl w:ilvl="0">
      <w:lvlJc w:val="left"/>
      <w:lvlText w:val="(%1)"/>
      <w:numFmt w:val="decimal"/>
      <w:start w:val="3"/>
    </w:lvl>
  </w:abstractNum>
  <w:abstractNum w:abstractNumId="77">
    <w:nsid w:val="57FC4FBB"/>
    <w:multiLevelType w:val="hybridMultilevel"/>
    <w:lvl w:ilvl="0">
      <w:lvlJc w:val="left"/>
      <w:lvlText w:val="(%1)"/>
      <w:numFmt w:val="decimal"/>
      <w:start w:val="8"/>
    </w:lvl>
  </w:abstractNum>
  <w:abstractNum w:abstractNumId="78">
    <w:nsid w:val="CC1016F"/>
    <w:multiLevelType w:val="hybridMultilevel"/>
    <w:lvl w:ilvl="0">
      <w:lvlJc w:val="left"/>
      <w:lvlText w:val="(%1)"/>
      <w:numFmt w:val="lowerLetter"/>
      <w:start w:val="1"/>
    </w:lvl>
  </w:abstractNum>
  <w:abstractNum w:abstractNumId="79">
    <w:nsid w:val="43F18422"/>
    <w:multiLevelType w:val="hybridMultilevel"/>
    <w:lvl w:ilvl="0">
      <w:lvlJc w:val="left"/>
      <w:lvlText w:val="(%1)"/>
      <w:numFmt w:val="lowerLetter"/>
      <w:start w:val="1"/>
    </w:lvl>
  </w:abstractNum>
  <w:abstractNum w:abstractNumId="80">
    <w:nsid w:val="60EF0119"/>
    <w:multiLevelType w:val="hybridMultilevel"/>
    <w:lvl w:ilvl="0">
      <w:lvlJc w:val="left"/>
      <w:lvlText w:val="(%1)"/>
      <w:numFmt w:val="decimal"/>
      <w:start w:val="1"/>
    </w:lvl>
  </w:abstractNum>
  <w:abstractNum w:abstractNumId="81">
    <w:nsid w:val="26F324BA"/>
    <w:multiLevelType w:val="hybridMultilevel"/>
    <w:lvl w:ilvl="0">
      <w:lvlJc w:val="left"/>
      <w:lvlText w:val="(%1)"/>
      <w:numFmt w:val="lowerLetter"/>
      <w:start w:val="2"/>
    </w:lvl>
  </w:abstractNum>
  <w:abstractNum w:abstractNumId="82">
    <w:nsid w:val="7F01579B"/>
    <w:multiLevelType w:val="hybridMultilevel"/>
    <w:lvl w:ilvl="0">
      <w:lvlJc w:val="left"/>
      <w:lvlText w:val="(%1)"/>
      <w:numFmt w:val="decimal"/>
      <w:start w:val="1"/>
    </w:lvl>
  </w:abstractNum>
  <w:abstractNum w:abstractNumId="83">
    <w:nsid w:val="49DA307D"/>
    <w:multiLevelType w:val="hybridMultilevel"/>
    <w:lvl w:ilvl="0">
      <w:lvlJc w:val="left"/>
      <w:lvlText w:val="(%1)"/>
      <w:numFmt w:val="lowerLetter"/>
      <w:start w:val="4"/>
    </w:lvl>
  </w:abstractNum>
  <w:abstractNum w:abstractNumId="84">
    <w:nsid w:val="7055A5F5"/>
    <w:multiLevelType w:val="hybridMultilevel"/>
    <w:lvl w:ilvl="0">
      <w:lvlJc w:val="left"/>
      <w:lvlText w:val="(%1)"/>
      <w:numFmt w:val="lowerLetter"/>
      <w:start w:val="1"/>
    </w:lvl>
  </w:abstractNum>
  <w:abstractNum w:abstractNumId="85">
    <w:nsid w:val="5FB8370B"/>
    <w:multiLevelType w:val="hybridMultilevel"/>
    <w:lvl w:ilvl="0">
      <w:lvlJc w:val="left"/>
      <w:lvlText w:val="(%1)"/>
      <w:numFmt w:val="decimal"/>
      <w:start w:val="1"/>
    </w:lvl>
  </w:abstractNum>
  <w:abstractNum w:abstractNumId="86">
    <w:nsid w:val="50801EE1"/>
    <w:multiLevelType w:val="hybridMultilevel"/>
    <w:lvl w:ilvl="0">
      <w:lvlJc w:val="left"/>
      <w:lvlText w:val="(%1)"/>
      <w:numFmt w:val="lowerLetter"/>
      <w:start w:val="1"/>
    </w:lvl>
  </w:abstractNum>
  <w:abstractNum w:abstractNumId="87">
    <w:nsid w:val="488AC1A"/>
    <w:multiLevelType w:val="hybridMultilevel"/>
    <w:lvl w:ilvl="0">
      <w:lvlJc w:val="left"/>
      <w:lvlText w:val="(%1)"/>
      <w:numFmt w:val="lowerLetter"/>
      <w:start w:val="3"/>
    </w:lvl>
  </w:abstractNum>
  <w:abstractNum w:abstractNumId="88">
    <w:nsid w:val="5FB8011C"/>
    <w:multiLevelType w:val="hybridMultilevel"/>
    <w:lvl w:ilvl="0">
      <w:lvlJc w:val="left"/>
      <w:lvlText w:val="(%1)"/>
      <w:numFmt w:val="lowerLetter"/>
      <w:start w:val="1"/>
    </w:lvl>
  </w:abstractNum>
  <w:abstractNum w:abstractNumId="89">
    <w:nsid w:val="6AA78F7F"/>
    <w:multiLevelType w:val="hybridMultilevel"/>
    <w:lvl w:ilvl="0">
      <w:lvlJc w:val="left"/>
      <w:lvlText w:val="(%1)"/>
      <w:numFmt w:val="decimal"/>
      <w:start w:val="1"/>
    </w:lvl>
  </w:abstractNum>
  <w:abstractNum w:abstractNumId="90">
    <w:nsid w:val="7672BD23"/>
    <w:multiLevelType w:val="hybridMultilevel"/>
    <w:lvl w:ilvl="0">
      <w:lvlJc w:val="left"/>
      <w:lvlText w:val="(%1)"/>
      <w:numFmt w:val="lowerLetter"/>
      <w:start w:val="5"/>
    </w:lvl>
  </w:abstractNum>
  <w:abstractNum w:abstractNumId="91">
    <w:nsid w:val="6FC75AF8"/>
    <w:multiLevelType w:val="hybridMultilevel"/>
    <w:lvl w:ilvl="0">
      <w:lvlJc w:val="left"/>
      <w:lvlText w:val="(%1)"/>
      <w:numFmt w:val="lowerLetter"/>
      <w:start w:val="1"/>
    </w:lvl>
  </w:abstractNum>
  <w:abstractNum w:abstractNumId="92">
    <w:nsid w:val="6A5F7029"/>
    <w:multiLevelType w:val="hybridMultilevel"/>
    <w:lvl w:ilvl="0">
      <w:lvlJc w:val="left"/>
      <w:lvlText w:val="(%1)"/>
      <w:numFmt w:val="lowerLetter"/>
      <w:start w:val="3"/>
    </w:lvl>
  </w:abstractNum>
  <w:abstractNum w:abstractNumId="93">
    <w:nsid w:val="7D5E18F8"/>
    <w:multiLevelType w:val="hybridMultilevel"/>
    <w:lvl w:ilvl="0">
      <w:lvlJc w:val="left"/>
      <w:lvlText w:val="(%1)"/>
      <w:numFmt w:val="lowerLetter"/>
      <w:start w:val="1"/>
    </w:lvl>
  </w:abstractNum>
  <w:abstractNum w:abstractNumId="94">
    <w:nsid w:val="5F3534A4"/>
    <w:multiLevelType w:val="hybridMultilevel"/>
    <w:lvl w:ilvl="0">
      <w:lvlJc w:val="left"/>
      <w:lvlText w:val="(%1)"/>
      <w:numFmt w:val="lowerLetter"/>
      <w:start w:val="2"/>
    </w:lvl>
  </w:abstractNum>
  <w:abstractNum w:abstractNumId="95">
    <w:nsid w:val="73A1821B"/>
    <w:multiLevelType w:val="hybridMultilevel"/>
    <w:lvl w:ilvl="0">
      <w:lvlJc w:val="left"/>
      <w:lvlText w:val="(%1)"/>
      <w:numFmt w:val="lowerLetter"/>
      <w:start w:val="1"/>
    </w:lvl>
  </w:abstractNum>
  <w:abstractNum w:abstractNumId="96">
    <w:nsid w:val="7DE67713"/>
    <w:multiLevelType w:val="hybridMultilevel"/>
    <w:lvl w:ilvl="0">
      <w:lvlJc w:val="left"/>
      <w:lvlText w:val="(%1)"/>
      <w:numFmt w:val="lowerLetter"/>
      <w:start w:val="1"/>
    </w:lvl>
  </w:abstractNum>
  <w:abstractNum w:abstractNumId="97">
    <w:nsid w:val="555C55B5"/>
    <w:multiLevelType w:val="hybridMultilevel"/>
    <w:lvl w:ilvl="0">
      <w:lvlJc w:val="left"/>
      <w:lvlText w:val="(%1)"/>
      <w:numFmt w:val="lowerRoman"/>
      <w:start w:val="1"/>
    </w:lvl>
  </w:abstractNum>
  <w:abstractNum w:abstractNumId="98">
    <w:nsid w:val="3FA62ACA"/>
    <w:multiLevelType w:val="hybridMultilevel"/>
    <w:lvl w:ilvl="0">
      <w:lvlJc w:val="left"/>
      <w:lvlText w:val="(%1)"/>
      <w:numFmt w:val="lowerLetter"/>
      <w:start w:val="2"/>
    </w:lvl>
  </w:abstractNum>
  <w:abstractNum w:abstractNumId="99">
    <w:nsid w:val="14FCE74E"/>
    <w:multiLevelType w:val="hybridMultilevel"/>
    <w:lvl w:ilvl="0">
      <w:lvlJc w:val="left"/>
      <w:lvlText w:val="(%1)"/>
      <w:numFmt w:val="lowerLetter"/>
      <w:start w:val="1"/>
    </w:lvl>
  </w:abstractNum>
  <w:abstractNum w:abstractNumId="100">
    <w:nsid w:val="6A3DD3E8"/>
    <w:multiLevelType w:val="hybridMultilevel"/>
    <w:lvl w:ilvl="0">
      <w:lvlJc w:val="left"/>
      <w:lvlText w:val="(%1)"/>
      <w:numFmt w:val="lowerLetter"/>
      <w:start w:val="1"/>
    </w:lvl>
  </w:abstractNum>
  <w:abstractNum w:abstractNumId="101">
    <w:nsid w:val="71C91298"/>
    <w:multiLevelType w:val="hybridMultilevel"/>
    <w:lvl w:ilvl="0">
      <w:lvlJc w:val="left"/>
      <w:lvlText w:val="(%1)"/>
      <w:numFmt w:val="lowerLetter"/>
      <w:start w:val="9"/>
    </w:lvl>
  </w:abstractNum>
  <w:abstractNum w:abstractNumId="102">
    <w:nsid w:val="9DAF632"/>
    <w:multiLevelType w:val="hybridMultilevel"/>
    <w:lvl w:ilvl="0">
      <w:lvlJc w:val="left"/>
      <w:lvlText w:val="(%1)"/>
      <w:numFmt w:val="decimal"/>
      <w:start w:val="1"/>
    </w:lvl>
  </w:abstractNum>
  <w:abstractNum w:abstractNumId="103">
    <w:nsid w:val="53299938"/>
    <w:multiLevelType w:val="hybridMultilevel"/>
    <w:lvl w:ilvl="0">
      <w:lvlJc w:val="left"/>
      <w:lvlText w:val="(%1)"/>
      <w:numFmt w:val="decimal"/>
      <w:start w:val="1"/>
    </w:lvl>
  </w:abstractNum>
  <w:abstractNum w:abstractNumId="104">
    <w:nsid w:val="1FBFE8E0"/>
    <w:multiLevelType w:val="hybridMultilevel"/>
    <w:lvl w:ilvl="0">
      <w:lvlJc w:val="left"/>
      <w:lvlText w:val="(%1)"/>
      <w:numFmt w:val="lowerLetter"/>
      <w:start w:val="1"/>
    </w:lvl>
  </w:abstractNum>
  <w:abstractNum w:abstractNumId="105">
    <w:nsid w:val="5092CA79"/>
    <w:multiLevelType w:val="hybridMultilevel"/>
    <w:lvl w:ilvl="0">
      <w:lvlJc w:val="left"/>
      <w:lvlText w:val="(%1)"/>
      <w:numFmt w:val="lowerLetter"/>
      <w:start w:val="1"/>
    </w:lvl>
  </w:abstractNum>
  <w:abstractNum w:abstractNumId="106">
    <w:nsid w:val="1D545C4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jpe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jpeg"/><Relationship Id="rId79" Type="http://schemas.openxmlformats.org/officeDocument/2006/relationships/image" Target="media/image62.png"/><Relationship Id="rId82" Type="http://schemas.openxmlformats.org/officeDocument/2006/relationships/image" Target="media/image63.png"/><Relationship Id="rId83" Type="http://schemas.openxmlformats.org/officeDocument/2006/relationships/image" Target="media/image64.png"/><Relationship Id="rId84" Type="http://schemas.openxmlformats.org/officeDocument/2006/relationships/image" Target="media/image65.png"/><Relationship Id="rId85" Type="http://schemas.openxmlformats.org/officeDocument/2006/relationships/image" Target="media/image66.png"/><Relationship Id="rId86" Type="http://schemas.openxmlformats.org/officeDocument/2006/relationships/image" Target="media/image67.png"/><Relationship Id="rId87" Type="http://schemas.openxmlformats.org/officeDocument/2006/relationships/image" Target="media/image68.png"/><Relationship Id="rId88" Type="http://schemas.openxmlformats.org/officeDocument/2006/relationships/image" Target="media/image69.png"/><Relationship Id="rId89" Type="http://schemas.openxmlformats.org/officeDocument/2006/relationships/image" Target="media/image70.png"/><Relationship Id="rId90" Type="http://schemas.openxmlformats.org/officeDocument/2006/relationships/image" Target="media/image71.png"/><Relationship Id="rId91" Type="http://schemas.openxmlformats.org/officeDocument/2006/relationships/image" Target="media/image72.png"/><Relationship Id="rId92" Type="http://schemas.openxmlformats.org/officeDocument/2006/relationships/image" Target="media/image73.png"/><Relationship Id="rId93" Type="http://schemas.openxmlformats.org/officeDocument/2006/relationships/image" Target="media/image74.png"/><Relationship Id="rId94" Type="http://schemas.openxmlformats.org/officeDocument/2006/relationships/image" Target="media/image75.png"/><Relationship Id="rId95" Type="http://schemas.openxmlformats.org/officeDocument/2006/relationships/image" Target="media/image76.png"/><Relationship Id="rId96" Type="http://schemas.openxmlformats.org/officeDocument/2006/relationships/image" Target="media/image77.png"/><Relationship Id="rId97" Type="http://schemas.openxmlformats.org/officeDocument/2006/relationships/image" Target="media/image78.png"/><Relationship Id="rId98" Type="http://schemas.openxmlformats.org/officeDocument/2006/relationships/image" Target="media/image79.png"/><Relationship Id="rId99" Type="http://schemas.openxmlformats.org/officeDocument/2006/relationships/image" Target="media/image80.png"/><Relationship Id="rId100" Type="http://schemas.openxmlformats.org/officeDocument/2006/relationships/image" Target="media/image81.png"/><Relationship Id="rId101" Type="http://schemas.openxmlformats.org/officeDocument/2006/relationships/image" Target="media/image82.png"/><Relationship Id="rId102" Type="http://schemas.openxmlformats.org/officeDocument/2006/relationships/image" Target="media/image83.png"/><Relationship Id="rId103" Type="http://schemas.openxmlformats.org/officeDocument/2006/relationships/image" Target="media/image84.png"/><Relationship Id="rId104" Type="http://schemas.openxmlformats.org/officeDocument/2006/relationships/image" Target="media/image85.png"/><Relationship Id="rId105" Type="http://schemas.openxmlformats.org/officeDocument/2006/relationships/image" Target="media/image86.png"/><Relationship Id="rId106" Type="http://schemas.openxmlformats.org/officeDocument/2006/relationships/image" Target="media/image87.png"/><Relationship Id="rId107" Type="http://schemas.openxmlformats.org/officeDocument/2006/relationships/image" Target="media/image88.png"/><Relationship Id="rId108" Type="http://schemas.openxmlformats.org/officeDocument/2006/relationships/image" Target="media/image89.png"/><Relationship Id="rId109" Type="http://schemas.openxmlformats.org/officeDocument/2006/relationships/image" Target="media/image90.png"/><Relationship Id="rId110" Type="http://schemas.openxmlformats.org/officeDocument/2006/relationships/image" Target="media/image91.png"/><Relationship Id="rId111" Type="http://schemas.openxmlformats.org/officeDocument/2006/relationships/image" Target="media/image92.png"/><Relationship Id="rId112" Type="http://schemas.openxmlformats.org/officeDocument/2006/relationships/image" Target="media/image93.png"/><Relationship Id="rId113" Type="http://schemas.openxmlformats.org/officeDocument/2006/relationships/image" Target="media/image94.png"/><Relationship Id="rId114" Type="http://schemas.openxmlformats.org/officeDocument/2006/relationships/image" Target="media/image95.png"/><Relationship Id="rId115" Type="http://schemas.openxmlformats.org/officeDocument/2006/relationships/image" Target="media/image96.png"/><Relationship Id="rId116" Type="http://schemas.openxmlformats.org/officeDocument/2006/relationships/image" Target="media/image97.png"/><Relationship Id="rId117" Type="http://schemas.openxmlformats.org/officeDocument/2006/relationships/image" Target="media/image98.png"/><Relationship Id="rId118" Type="http://schemas.openxmlformats.org/officeDocument/2006/relationships/image" Target="media/image99.png"/><Relationship Id="rId119" Type="http://schemas.openxmlformats.org/officeDocument/2006/relationships/image" Target="media/image100.png"/><Relationship Id="rId120" Type="http://schemas.openxmlformats.org/officeDocument/2006/relationships/image" Target="media/image101.png"/><Relationship Id="rId121" Type="http://schemas.openxmlformats.org/officeDocument/2006/relationships/image" Target="media/image102.png"/><Relationship Id="rId122" Type="http://schemas.openxmlformats.org/officeDocument/2006/relationships/image" Target="media/image103.png"/><Relationship Id="rId123" Type="http://schemas.openxmlformats.org/officeDocument/2006/relationships/image" Target="media/image104.png"/><Relationship Id="rId124" Type="http://schemas.openxmlformats.org/officeDocument/2006/relationships/image" Target="media/image105.png"/><Relationship Id="rId125" Type="http://schemas.openxmlformats.org/officeDocument/2006/relationships/image" Target="media/image106.png"/><Relationship Id="rId126" Type="http://schemas.openxmlformats.org/officeDocument/2006/relationships/image" Target="media/image107.png"/><Relationship Id="rId127" Type="http://schemas.openxmlformats.org/officeDocument/2006/relationships/image" Target="media/image108.png"/><Relationship Id="rId128" Type="http://schemas.openxmlformats.org/officeDocument/2006/relationships/image" Target="media/image109.png"/><Relationship Id="rId129" Type="http://schemas.openxmlformats.org/officeDocument/2006/relationships/image" Target="media/image110.png"/><Relationship Id="rId130" Type="http://schemas.openxmlformats.org/officeDocument/2006/relationships/image" Target="media/image111.png"/><Relationship Id="rId131" Type="http://schemas.openxmlformats.org/officeDocument/2006/relationships/image" Target="media/image112.png"/><Relationship Id="rId132" Type="http://schemas.openxmlformats.org/officeDocument/2006/relationships/image" Target="media/image113.png"/><Relationship Id="rId133" Type="http://schemas.openxmlformats.org/officeDocument/2006/relationships/image" Target="media/image114.png"/><Relationship Id="rId134" Type="http://schemas.openxmlformats.org/officeDocument/2006/relationships/image" Target="media/image115.png"/><Relationship Id="rId135" Type="http://schemas.openxmlformats.org/officeDocument/2006/relationships/image" Target="media/image116.png"/><Relationship Id="rId136" Type="http://schemas.openxmlformats.org/officeDocument/2006/relationships/image" Target="media/image117.png"/><Relationship Id="rId137" Type="http://schemas.openxmlformats.org/officeDocument/2006/relationships/image" Target="media/image118.png"/><Relationship Id="rId138" Type="http://schemas.openxmlformats.org/officeDocument/2006/relationships/image" Target="media/image119.png"/><Relationship Id="rId139" Type="http://schemas.openxmlformats.org/officeDocument/2006/relationships/image" Target="media/image120.png"/><Relationship Id="rId140" Type="http://schemas.openxmlformats.org/officeDocument/2006/relationships/image" Target="media/image121.png"/><Relationship Id="rId141" Type="http://schemas.openxmlformats.org/officeDocument/2006/relationships/image" Target="media/image122.png"/><Relationship Id="rId142" Type="http://schemas.openxmlformats.org/officeDocument/2006/relationships/image" Target="media/image123.png"/><Relationship Id="rId143" Type="http://schemas.openxmlformats.org/officeDocument/2006/relationships/image" Target="media/image124.png"/><Relationship Id="rId144" Type="http://schemas.openxmlformats.org/officeDocument/2006/relationships/image" Target="media/image125.png"/><Relationship Id="rId145" Type="http://schemas.openxmlformats.org/officeDocument/2006/relationships/image" Target="media/image126.png"/><Relationship Id="rId146" Type="http://schemas.openxmlformats.org/officeDocument/2006/relationships/image" Target="media/image127.png"/><Relationship Id="rId147" Type="http://schemas.openxmlformats.org/officeDocument/2006/relationships/image" Target="media/image128.png"/><Relationship Id="rId148" Type="http://schemas.openxmlformats.org/officeDocument/2006/relationships/image" Target="media/image129.png"/><Relationship Id="rId149" Type="http://schemas.openxmlformats.org/officeDocument/2006/relationships/image" Target="media/image130.png"/><Relationship Id="rId150" Type="http://schemas.openxmlformats.org/officeDocument/2006/relationships/image" Target="media/image131.png"/><Relationship Id="rId151" Type="http://schemas.openxmlformats.org/officeDocument/2006/relationships/image" Target="media/image132.png"/><Relationship Id="rId152" Type="http://schemas.openxmlformats.org/officeDocument/2006/relationships/image" Target="media/image133.png"/><Relationship Id="rId153" Type="http://schemas.openxmlformats.org/officeDocument/2006/relationships/image" Target="media/image134.png"/><Relationship Id="rId154" Type="http://schemas.openxmlformats.org/officeDocument/2006/relationships/image" Target="media/image135.png"/><Relationship Id="rId155" Type="http://schemas.openxmlformats.org/officeDocument/2006/relationships/image" Target="media/image136.png"/><Relationship Id="rId156" Type="http://schemas.openxmlformats.org/officeDocument/2006/relationships/image" Target="media/image137.png"/><Relationship Id="rId157" Type="http://schemas.openxmlformats.org/officeDocument/2006/relationships/image" Target="media/image138.png"/><Relationship Id="rId158" Type="http://schemas.openxmlformats.org/officeDocument/2006/relationships/image" Target="media/image139.png"/><Relationship Id="rId159" Type="http://schemas.openxmlformats.org/officeDocument/2006/relationships/image" Target="media/image140.png"/><Relationship Id="rId160" Type="http://schemas.openxmlformats.org/officeDocument/2006/relationships/image" Target="media/image141.png"/><Relationship Id="rId161" Type="http://schemas.openxmlformats.org/officeDocument/2006/relationships/image" Target="media/image142.png"/><Relationship Id="rId162" Type="http://schemas.openxmlformats.org/officeDocument/2006/relationships/image" Target="media/image143.png"/><Relationship Id="rId163" Type="http://schemas.openxmlformats.org/officeDocument/2006/relationships/image" Target="media/image144.png"/><Relationship Id="rId164" Type="http://schemas.openxmlformats.org/officeDocument/2006/relationships/image" Target="media/image145.png"/><Relationship Id="rId165" Type="http://schemas.openxmlformats.org/officeDocument/2006/relationships/image" Target="media/image146.png"/><Relationship Id="rId166" Type="http://schemas.openxmlformats.org/officeDocument/2006/relationships/image" Target="media/image147.png"/><Relationship Id="rId167" Type="http://schemas.openxmlformats.org/officeDocument/2006/relationships/image" Target="media/image148.png"/><Relationship Id="rId168" Type="http://schemas.openxmlformats.org/officeDocument/2006/relationships/image" Target="media/image149.png"/><Relationship Id="rId169" Type="http://schemas.openxmlformats.org/officeDocument/2006/relationships/image" Target="media/image150.png"/><Relationship Id="rId170" Type="http://schemas.openxmlformats.org/officeDocument/2006/relationships/image" Target="media/image151.png"/><Relationship Id="rId171" Type="http://schemas.openxmlformats.org/officeDocument/2006/relationships/image" Target="media/image152.png"/><Relationship Id="rId172" Type="http://schemas.openxmlformats.org/officeDocument/2006/relationships/image" Target="media/image153.png"/><Relationship Id="rId173" Type="http://schemas.openxmlformats.org/officeDocument/2006/relationships/image" Target="media/image154.png"/><Relationship Id="rId174" Type="http://schemas.openxmlformats.org/officeDocument/2006/relationships/image" Target="media/image155.png"/><Relationship Id="rId175" Type="http://schemas.openxmlformats.org/officeDocument/2006/relationships/image" Target="media/image156.png"/><Relationship Id="rId176" Type="http://schemas.openxmlformats.org/officeDocument/2006/relationships/image" Target="media/image157.png"/><Relationship Id="rId177" Type="http://schemas.openxmlformats.org/officeDocument/2006/relationships/image" Target="media/image158.png"/><Relationship Id="rId178" Type="http://schemas.openxmlformats.org/officeDocument/2006/relationships/image" Target="media/image159.png"/><Relationship Id="rId179" Type="http://schemas.openxmlformats.org/officeDocument/2006/relationships/image" Target="media/image160.png"/><Relationship Id="rId180" Type="http://schemas.openxmlformats.org/officeDocument/2006/relationships/image" Target="media/image161.png"/><Relationship Id="rId181" Type="http://schemas.openxmlformats.org/officeDocument/2006/relationships/image" Target="media/image162.png"/><Relationship Id="rId182" Type="http://schemas.openxmlformats.org/officeDocument/2006/relationships/image" Target="media/image163.png"/><Relationship Id="rId183" Type="http://schemas.openxmlformats.org/officeDocument/2006/relationships/image" Target="media/image164.png"/><Relationship Id="rId184" Type="http://schemas.openxmlformats.org/officeDocument/2006/relationships/image" Target="media/image165.png"/><Relationship Id="rId185" Type="http://schemas.openxmlformats.org/officeDocument/2006/relationships/image" Target="media/image166.png"/><Relationship Id="rId186" Type="http://schemas.openxmlformats.org/officeDocument/2006/relationships/image" Target="media/image167.png"/><Relationship Id="rId187" Type="http://schemas.openxmlformats.org/officeDocument/2006/relationships/image" Target="media/image168.png"/><Relationship Id="rId188" Type="http://schemas.openxmlformats.org/officeDocument/2006/relationships/image" Target="media/image169.png"/><Relationship Id="rId189" Type="http://schemas.openxmlformats.org/officeDocument/2006/relationships/image" Target="media/image170.png"/><Relationship Id="rId190" Type="http://schemas.openxmlformats.org/officeDocument/2006/relationships/image" Target="media/image171.png"/><Relationship Id="rId191" Type="http://schemas.openxmlformats.org/officeDocument/2006/relationships/image" Target="media/image172.png"/><Relationship Id="rId192" Type="http://schemas.openxmlformats.org/officeDocument/2006/relationships/image" Target="media/image173.png"/><Relationship Id="rId193" Type="http://schemas.openxmlformats.org/officeDocument/2006/relationships/image" Target="media/image174.png"/><Relationship Id="rId194" Type="http://schemas.openxmlformats.org/officeDocument/2006/relationships/image" Target="media/image175.png"/><Relationship Id="rId195" Type="http://schemas.openxmlformats.org/officeDocument/2006/relationships/image" Target="media/image176.png"/><Relationship Id="rId196" Type="http://schemas.openxmlformats.org/officeDocument/2006/relationships/image" Target="media/image177.png"/><Relationship Id="rId197" Type="http://schemas.openxmlformats.org/officeDocument/2006/relationships/image" Target="media/image178.png"/><Relationship Id="rId198" Type="http://schemas.openxmlformats.org/officeDocument/2006/relationships/image" Target="media/image179.png"/><Relationship Id="rId199" Type="http://schemas.openxmlformats.org/officeDocument/2006/relationships/image" Target="media/image180.png"/><Relationship Id="rId200" Type="http://schemas.openxmlformats.org/officeDocument/2006/relationships/image" Target="media/image181.png"/><Relationship Id="rId201" Type="http://schemas.openxmlformats.org/officeDocument/2006/relationships/image" Target="media/image182.png"/><Relationship Id="rId202" Type="http://schemas.openxmlformats.org/officeDocument/2006/relationships/image" Target="media/image183.png"/><Relationship Id="rId203" Type="http://schemas.openxmlformats.org/officeDocument/2006/relationships/image" Target="media/image184.png"/><Relationship Id="rId204" Type="http://schemas.openxmlformats.org/officeDocument/2006/relationships/image" Target="media/image185.png"/><Relationship Id="rId205" Type="http://schemas.openxmlformats.org/officeDocument/2006/relationships/image" Target="media/image186.png"/><Relationship Id="rId206" Type="http://schemas.openxmlformats.org/officeDocument/2006/relationships/image" Target="media/image187.png"/><Relationship Id="rId207" Type="http://schemas.openxmlformats.org/officeDocument/2006/relationships/image" Target="media/image188.png"/><Relationship Id="rId208" Type="http://schemas.openxmlformats.org/officeDocument/2006/relationships/image" Target="media/image189.png"/><Relationship Id="rId209" Type="http://schemas.openxmlformats.org/officeDocument/2006/relationships/image" Target="media/image190.png"/><Relationship Id="rId210" Type="http://schemas.openxmlformats.org/officeDocument/2006/relationships/image" Target="media/image191.png"/><Relationship Id="rId211" Type="http://schemas.openxmlformats.org/officeDocument/2006/relationships/image" Target="media/image192.png"/><Relationship Id="rId212" Type="http://schemas.openxmlformats.org/officeDocument/2006/relationships/image" Target="media/image193.png"/><Relationship Id="rId213" Type="http://schemas.openxmlformats.org/officeDocument/2006/relationships/image" Target="media/image194.png"/><Relationship Id="rId214" Type="http://schemas.openxmlformats.org/officeDocument/2006/relationships/image" Target="media/image195.png"/><Relationship Id="rId215" Type="http://schemas.openxmlformats.org/officeDocument/2006/relationships/image" Target="media/image196.png"/><Relationship Id="rId216" Type="http://schemas.openxmlformats.org/officeDocument/2006/relationships/image" Target="media/image197.png"/><Relationship Id="rId217" Type="http://schemas.openxmlformats.org/officeDocument/2006/relationships/image" Target="media/image198.png"/><Relationship Id="rId218" Type="http://schemas.openxmlformats.org/officeDocument/2006/relationships/image" Target="media/image199.png"/><Relationship Id="rId219" Type="http://schemas.openxmlformats.org/officeDocument/2006/relationships/image" Target="media/image200.png"/><Relationship Id="rId220" Type="http://schemas.openxmlformats.org/officeDocument/2006/relationships/image" Target="media/image201.jpeg"/><Relationship Id="rId221" Type="http://schemas.openxmlformats.org/officeDocument/2006/relationships/image" Target="media/image202.png"/><Relationship Id="rId222" Type="http://schemas.openxmlformats.org/officeDocument/2006/relationships/image" Target="media/image203.png"/><Relationship Id="rId223" Type="http://schemas.openxmlformats.org/officeDocument/2006/relationships/image" Target="media/image204.png"/><Relationship Id="rId224" Type="http://schemas.openxmlformats.org/officeDocument/2006/relationships/image" Target="media/image205.png"/><Relationship Id="rId225" Type="http://schemas.openxmlformats.org/officeDocument/2006/relationships/image" Target="media/image206.jpeg"/><Relationship Id="rId226" Type="http://schemas.openxmlformats.org/officeDocument/2006/relationships/image" Target="media/image207.png"/><Relationship Id="rId227" Type="http://schemas.openxmlformats.org/officeDocument/2006/relationships/image" Target="media/image208.png"/><Relationship Id="rId228" Type="http://schemas.openxmlformats.org/officeDocument/2006/relationships/image" Target="media/image209.jpeg"/><Relationship Id="rId229" Type="http://schemas.openxmlformats.org/officeDocument/2006/relationships/image" Target="media/image210.png"/><Relationship Id="rId230" Type="http://schemas.openxmlformats.org/officeDocument/2006/relationships/image" Target="media/image211.png"/><Relationship Id="rId231" Type="http://schemas.openxmlformats.org/officeDocument/2006/relationships/image" Target="media/image212.png"/><Relationship Id="rId232" Type="http://schemas.openxmlformats.org/officeDocument/2006/relationships/image" Target="media/image213.png"/><Relationship Id="rId233" Type="http://schemas.openxmlformats.org/officeDocument/2006/relationships/image" Target="media/image214.png"/><Relationship Id="rId234" Type="http://schemas.openxmlformats.org/officeDocument/2006/relationships/image" Target="media/image215.png"/><Relationship Id="rId235" Type="http://schemas.openxmlformats.org/officeDocument/2006/relationships/image" Target="media/image216.png"/><Relationship Id="rId236" Type="http://schemas.openxmlformats.org/officeDocument/2006/relationships/image" Target="media/image217.png"/><Relationship Id="rId237" Type="http://schemas.openxmlformats.org/officeDocument/2006/relationships/image" Target="media/image218.png"/><Relationship Id="rId238" Type="http://schemas.openxmlformats.org/officeDocument/2006/relationships/image" Target="media/image219.png"/><Relationship Id="rId28" Type="http://schemas.openxmlformats.org/officeDocument/2006/relationships/hyperlink" Target="http://www.sec.gov/ix?doc=/Archives/edgar/data/1821769/000182176926000007/nvts-20251231.htm" TargetMode="External"/><Relationship Id="rId29" Type="http://schemas.openxmlformats.org/officeDocument/2006/relationships/hyperlink" Target="http://www.sec.gov/ix?doc=/Archives/edgar/data/1821769/000110465926052971/nvts-20251231x10ka.htm" TargetMode="External"/><Relationship Id="rId30" Type="http://schemas.openxmlformats.org/officeDocument/2006/relationships/hyperlink" Target="http://www.sec.gov/ix?doc=/Archives/edgar/data/1821769/000162828026030524/nvts-20260331.htm" TargetMode="External"/><Relationship Id="rId31" Type="http://schemas.openxmlformats.org/officeDocument/2006/relationships/hyperlink" Target="https://www.sec.gov/ix?doc=/Archives/edgar/data/1821769/000110465926059828/tm2614473d1_8k.htm" TargetMode="External"/><Relationship Id="rId32" Type="http://schemas.openxmlformats.org/officeDocument/2006/relationships/hyperlink" Target="https://www.sec.gov/ix?doc=/Archives/edgar/data/1821769/000110465926065731/tm2614473d1_8k.htm" TargetMode="External"/><Relationship Id="rId33" Type="http://schemas.openxmlformats.org/officeDocument/2006/relationships/hyperlink" Target="https://www.sec.gov/ix?doc=/Archives/edgar/data/1821769/000110465926065737/tm2615305d2_8k.htm" TargetMode="External"/><Relationship Id="rId34" Type="http://schemas.openxmlformats.org/officeDocument/2006/relationships/hyperlink" Target="https://www.sec.gov/ix?doc=/Archives/edgar/data/1821769/000110465926070530/tm2616859d1_8k.htm" TargetMode="External"/><Relationship Id="rId35" Type="http://schemas.openxmlformats.org/officeDocument/2006/relationships/hyperlink" Target="http://www.sec.gov/Archives/edgar/data/1821769/000119312521301974/d242787d8a12b.htm" TargetMode="External"/><Relationship Id="rId36" Type="http://schemas.openxmlformats.org/officeDocument/2006/relationships/hyperlink" Target="http://www.sec.gov/Archives/edgar/data/1821769/000182176924000024/exhibit41-descriptionofsec.htm" TargetMode="External"/><Relationship Id="rId59" Type="http://schemas.openxmlformats.org/officeDocument/2006/relationships/hyperlink" Target="https://www.sec.gov/ix?doc=/Archives/edgar/data/1821769/000182176926000007/nvts-20251231.htm" TargetMode="External"/><Relationship Id="rId80" Type="http://schemas.openxmlformats.org/officeDocument/2006/relationships/hyperlink" Target="https://www.sec.gov/Archives/edgar/data/1821769/000119312521306726/d225525dex31.htm" TargetMode="External"/><Relationship Id="rId81" Type="http://schemas.openxmlformats.org/officeDocument/2006/relationships/hyperlink" Target="https://www.sec.gov/Archives/edgar/data/1821769/000119312521306726/d225525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2026-06-08T07:19:17Z</dcterms:created>
  <dcterms:modified xsi:type="dcterms:W3CDTF">2026-06-08T07:19:17Z</dcterms:modified>
</cp:coreProperties>
</file>