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333-295754</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142875</wp:posOffset>
            </wp:positionV>
            <wp:extent cx="216852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Navitas Semiconductor Corporation</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$125,000,000</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(the “</w:t>
      </w:r>
      <w:r>
        <w:rPr>
          <w:rFonts w:ascii="Times New Roman" w:cs="Times New Roman" w:eastAsia="Times New Roman" w:hAnsi="Times New Roman"/>
          <w:sz w:val="18"/>
          <w:szCs w:val="18"/>
          <w:i w:val="1"/>
          <w:iCs w:val="1"/>
          <w:color w:val="auto"/>
        </w:rPr>
        <w:t>Sales Agreement</w:t>
      </w:r>
      <w:r>
        <w:rPr>
          <w:rFonts w:ascii="Times New Roman" w:cs="Times New Roman" w:eastAsia="Times New Roman" w:hAnsi="Times New Roman"/>
          <w:sz w:val="18"/>
          <w:szCs w:val="18"/>
          <w:color w:val="auto"/>
        </w:rPr>
        <w:t>”) with Craig-Hallum Capital Group LLC (“</w:t>
      </w:r>
      <w:r>
        <w:rPr>
          <w:rFonts w:ascii="Times New Roman" w:cs="Times New Roman" w:eastAsia="Times New Roman" w:hAnsi="Times New Roman"/>
          <w:sz w:val="18"/>
          <w:szCs w:val="18"/>
          <w:i w:val="1"/>
          <w:iCs w:val="1"/>
          <w:color w:val="auto"/>
        </w:rPr>
        <w:t>Craig-Hallum</w:t>
      </w:r>
      <w:r>
        <w:rPr>
          <w:rFonts w:ascii="Times New Roman" w:cs="Times New Roman" w:eastAsia="Times New Roman" w:hAnsi="Times New Roman"/>
          <w:sz w:val="18"/>
          <w:szCs w:val="18"/>
          <w:color w:val="auto"/>
        </w:rPr>
        <w:t>”) and UBS Securities LLC (“</w:t>
      </w:r>
      <w:r>
        <w:rPr>
          <w:rFonts w:ascii="Times New Roman" w:cs="Times New Roman" w:eastAsia="Times New Roman" w:hAnsi="Times New Roman"/>
          <w:sz w:val="18"/>
          <w:szCs w:val="18"/>
          <w:i w:val="1"/>
          <w:iCs w:val="1"/>
          <w:color w:val="auto"/>
        </w:rPr>
        <w:t>UBS</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i w:val="1"/>
          <w:iCs w:val="1"/>
          <w:color w:val="auto"/>
        </w:rPr>
        <w:t>Sales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Sales Agents</w:t>
      </w:r>
      <w:r>
        <w:rPr>
          <w:rFonts w:ascii="Times New Roman" w:cs="Times New Roman" w:eastAsia="Times New Roman" w:hAnsi="Times New Roman"/>
          <w:sz w:val="18"/>
          <w:szCs w:val="18"/>
          <w:color w:val="auto"/>
        </w:rPr>
        <w:t>”) relating to shares of our Class A common stock, par value $0.0001 per share (“</w:t>
      </w:r>
      <w:r>
        <w:rPr>
          <w:rFonts w:ascii="Times New Roman" w:cs="Times New Roman" w:eastAsia="Times New Roman" w:hAnsi="Times New Roman"/>
          <w:sz w:val="18"/>
          <w:szCs w:val="18"/>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In accordance with the terms of the Sales Agreement, pursuant to this prospectus supplement, we may offer and sell shares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having an aggregate offering price of up to $125,000,000 from time to time through the Sales Agents acting as our agents or principals.</w:t>
      </w:r>
    </w:p>
    <w:p>
      <w:pPr>
        <w:spacing w:after="0" w:line="180"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 “NVTS”. On May 8, 2026, the last reported sale price of our Class A common stock on Nasdaq was $18.20 per share.</w:t>
      </w:r>
    </w:p>
    <w:p>
      <w:pPr>
        <w:spacing w:after="0" w:line="16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supplement and the accompanying prospectus may be made in sales deemed to be an “at the market offering” as defined in Rule 415(a)(4) promulgated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The Sales Agents are not required to sell any specific number or dollar amounts of securities but will act as our sales agents using commercially reasonable efforts consistent with their normal trading and sales practices and mutually agreed terms between the Sales Agents and us. There is no arrangement for funds to be received in any escrow, trust or similar arrangement. The Sales Agents may also purchase shares of our Class A common stock as principals.</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to the Sales Agents for sales of Class A common stock sold pursuant to the Sales Agreement will be at a commission rate of up to 3.0% of the gross proceeds of any shares of Class A common stock sold under the Sales Agreement. In connection with the sale of the Class A common stock on our behalf, each Sales Agent may be deemed to be an “underwriter” within the meaning of the Securities Act and the compensation of the Sales Agents may be deemed to be underwriting commissions or discounts. We have also agreed to provide indemnification and contribution to the Sales Agents against certain civil liabilities, including liabilities under the Securities Act.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S-9 for additional information regarding the compensation to be paid to the Sales Agents.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130810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Please read the information contained in and incorporated by reference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S-3 of this prospectus supplement,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6 of the accompanying prospectus, and the risk factors described in the documents that are incorporated by reference into this prospectus supplement and the accompanying prospectus, as they may be amended, updated or modified periodically in our reports filed with the Securities and Exchange Commission.</w:t>
      </w:r>
    </w:p>
    <w:p>
      <w:pPr>
        <w:spacing w:after="0" w:line="17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00" w:lineRule="exact"/>
        <w:rPr>
          <w:sz w:val="24"/>
          <w:szCs w:val="24"/>
          <w:color w:val="auto"/>
        </w:rPr>
      </w:pPr>
    </w:p>
    <w:p>
      <w:pPr>
        <w:ind w:left="2060"/>
        <w:spacing w:after="0"/>
        <w:tabs>
          <w:tab w:leader="none" w:pos="7220" w:val="left"/>
        </w:tabs>
        <w:rPr>
          <w:sz w:val="20"/>
          <w:szCs w:val="20"/>
          <w:color w:val="auto"/>
        </w:rPr>
      </w:pPr>
      <w:r>
        <w:rPr>
          <w:rFonts w:ascii="Times New Roman" w:cs="Times New Roman" w:eastAsia="Times New Roman" w:hAnsi="Times New Roman"/>
          <w:sz w:val="25"/>
          <w:szCs w:val="25"/>
          <w:b w:val="1"/>
          <w:bCs w:val="1"/>
          <w:color w:val="auto"/>
        </w:rPr>
        <w:t>Craig-Hallum</w:t>
      </w:r>
      <w:r>
        <w:rPr>
          <w:sz w:val="20"/>
          <w:szCs w:val="20"/>
          <w:color w:val="auto"/>
        </w:rPr>
        <w:tab/>
      </w:r>
      <w:r>
        <w:rPr>
          <w:rFonts w:ascii="Times New Roman" w:cs="Times New Roman" w:eastAsia="Times New Roman" w:hAnsi="Times New Roman"/>
          <w:sz w:val="25"/>
          <w:szCs w:val="25"/>
          <w:b w:val="1"/>
          <w:bCs w:val="1"/>
          <w:color w:val="auto"/>
        </w:rPr>
        <w:t>UBS Investment Bank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SUPPLEMENT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4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w w:val="93"/>
              </w:rPr>
              <w:t>PAGE</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12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80" w:type="dxa"/>
            <w:vAlign w:val="bottom"/>
            <w:gridSpan w:val="5"/>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92"/>
              </w:rPr>
              <w:t>S-ii</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240" w:type="dxa"/>
            <w:vAlign w:val="bottom"/>
            <w:tcBorders>
              <w:top w:val="single" w:sz="8" w:color="0000EE"/>
            </w:tcBorders>
            <w:shd w:val="clear" w:color="auto" w:fill="BFE4FF"/>
          </w:tcPr>
          <w:p>
            <w:pPr>
              <w:spacing w:after="0" w:line="20" w:lineRule="exact"/>
              <w:rPr>
                <w:sz w:val="1"/>
                <w:szCs w:val="1"/>
                <w:color w:val="auto"/>
              </w:rPr>
            </w:pPr>
          </w:p>
        </w:tc>
        <w:tc>
          <w:tcPr>
            <w:tcW w:w="40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28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20" w:type="dxa"/>
            <w:vAlign w:val="bottom"/>
          </w:tcPr>
          <w:p>
            <w:pPr>
              <w:spacing w:after="0"/>
              <w:rPr>
                <w:sz w:val="17"/>
                <w:szCs w:val="17"/>
                <w:color w:val="auto"/>
              </w:rPr>
            </w:pPr>
          </w:p>
        </w:tc>
        <w:tc>
          <w:tcPr>
            <w:tcW w:w="360" w:type="dxa"/>
            <w:vAlign w:val="bottom"/>
            <w:gridSpan w:val="7"/>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S-iii</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3300" w:type="dxa"/>
            <w:vAlign w:val="bottom"/>
            <w:gridSpan w:val="15"/>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440" w:type="dxa"/>
            <w:vAlign w:val="bottom"/>
            <w:gridSpan w:val="5"/>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 w:type="dxa"/>
            <w:vAlign w:val="bottom"/>
            <w:shd w:val="clear" w:color="auto" w:fill="BFE4FF"/>
          </w:tcPr>
          <w:p>
            <w:pPr>
              <w:spacing w:after="0"/>
              <w:rPr>
                <w:sz w:val="17"/>
                <w:szCs w:val="17"/>
                <w:color w:val="auto"/>
              </w:rPr>
            </w:pPr>
          </w:p>
        </w:tc>
        <w:tc>
          <w:tcPr>
            <w:tcW w:w="260" w:type="dxa"/>
            <w:vAlign w:val="bottom"/>
            <w:gridSpan w:val="4"/>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S-1</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240" w:type="dxa"/>
            <w:vAlign w:val="bottom"/>
            <w:tcBorders>
              <w:top w:val="single" w:sz="8" w:color="0000EE"/>
            </w:tcBorders>
            <w:shd w:val="clear" w:color="auto" w:fill="BFE4FF"/>
          </w:tcPr>
          <w:p>
            <w:pPr>
              <w:spacing w:after="0" w:line="20" w:lineRule="exact"/>
              <w:rPr>
                <w:sz w:val="1"/>
                <w:szCs w:val="1"/>
                <w:color w:val="auto"/>
              </w:rPr>
            </w:pPr>
          </w:p>
        </w:tc>
        <w:tc>
          <w:tcPr>
            <w:tcW w:w="40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28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15"/>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74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S-2</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260" w:type="dxa"/>
            <w:vAlign w:val="bottom"/>
            <w:gridSpan w:val="4"/>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9480" w:type="dxa"/>
            <w:vAlign w:val="bottom"/>
            <w:gridSpan w:val="16"/>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 w:type="dxa"/>
            <w:vAlign w:val="bottom"/>
            <w:shd w:val="clear" w:color="auto" w:fill="BFE4FF"/>
          </w:tcPr>
          <w:p>
            <w:pPr>
              <w:spacing w:after="0"/>
              <w:rPr>
                <w:sz w:val="17"/>
                <w:szCs w:val="17"/>
                <w:color w:val="auto"/>
              </w:rPr>
            </w:pPr>
          </w:p>
        </w:tc>
        <w:tc>
          <w:tcPr>
            <w:tcW w:w="260" w:type="dxa"/>
            <w:vAlign w:val="bottom"/>
            <w:gridSpan w:val="4"/>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S-3</w:t>
            </w: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S-5</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12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 w:type="dxa"/>
            <w:vAlign w:val="bottom"/>
            <w:shd w:val="clear" w:color="auto" w:fill="BFE4FF"/>
          </w:tcPr>
          <w:p>
            <w:pPr>
              <w:spacing w:after="0"/>
              <w:rPr>
                <w:sz w:val="17"/>
                <w:szCs w:val="17"/>
                <w:color w:val="auto"/>
              </w:rPr>
            </w:pPr>
          </w:p>
        </w:tc>
        <w:tc>
          <w:tcPr>
            <w:tcW w:w="260" w:type="dxa"/>
            <w:vAlign w:val="bottom"/>
            <w:gridSpan w:val="4"/>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S-6</w:t>
            </w: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4"/>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S-8</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2060" w:type="dxa"/>
            <w:vAlign w:val="bottom"/>
            <w:gridSpan w:val="9"/>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80" w:type="dxa"/>
            <w:vAlign w:val="bottom"/>
            <w:gridSpan w:val="11"/>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40" w:type="dxa"/>
            <w:vAlign w:val="bottom"/>
            <w:shd w:val="clear" w:color="auto" w:fill="BFE4FF"/>
          </w:tcPr>
          <w:p>
            <w:pPr>
              <w:spacing w:after="0"/>
              <w:rPr>
                <w:sz w:val="17"/>
                <w:szCs w:val="17"/>
                <w:color w:val="auto"/>
              </w:rPr>
            </w:pPr>
          </w:p>
        </w:tc>
        <w:tc>
          <w:tcPr>
            <w:tcW w:w="20" w:type="dxa"/>
            <w:vAlign w:val="bottom"/>
            <w:shd w:val="clear" w:color="auto" w:fill="BFE4FF"/>
          </w:tcPr>
          <w:p>
            <w:pPr>
              <w:spacing w:after="0"/>
              <w:rPr>
                <w:sz w:val="17"/>
                <w:szCs w:val="17"/>
                <w:color w:val="auto"/>
              </w:rPr>
            </w:pPr>
          </w:p>
        </w:tc>
        <w:tc>
          <w:tcPr>
            <w:tcW w:w="260" w:type="dxa"/>
            <w:vAlign w:val="bottom"/>
            <w:gridSpan w:val="4"/>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87"/>
              </w:rPr>
              <w:t>S-9</w:t>
            </w: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680" w:type="dxa"/>
            <w:vAlign w:val="bottom"/>
            <w:gridSpan w:val="11"/>
          </w:tcPr>
          <w:p>
            <w:pPr>
              <w:spacing w:after="0"/>
              <w:rPr>
                <w:sz w:val="17"/>
                <w:szCs w:val="17"/>
                <w:color w:val="auto"/>
              </w:rPr>
            </w:pP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S-10</w:t>
            </w: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780" w:type="dxa"/>
            <w:vAlign w:val="bottom"/>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7"/>
              </w:rPr>
              <w:t>EXPERTS</w:t>
            </w:r>
          </w:p>
        </w:tc>
        <w:tc>
          <w:tcPr>
            <w:tcW w:w="9960" w:type="dxa"/>
            <w:vAlign w:val="bottom"/>
            <w:gridSpan w:val="19"/>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60" w:type="dxa"/>
            <w:vAlign w:val="bottom"/>
            <w:gridSpan w:val="7"/>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93"/>
              </w:rPr>
              <w:t>S-10</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S-10</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3820" w:type="dxa"/>
            <w:vAlign w:val="bottom"/>
            <w:gridSpan w:val="17"/>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6920" w:type="dxa"/>
            <w:vAlign w:val="bottom"/>
            <w:gridSpan w:val="3"/>
            <w:shd w:val="clear" w:color="auto" w:fill="BFE4FF"/>
          </w:tcPr>
          <w:p>
            <w:pPr>
              <w:spacing w:after="0"/>
              <w:rPr>
                <w:sz w:val="17"/>
                <w:szCs w:val="17"/>
                <w:color w:val="auto"/>
              </w:rPr>
            </w:pPr>
          </w:p>
        </w:tc>
        <w:tc>
          <w:tcPr>
            <w:tcW w:w="120" w:type="dxa"/>
            <w:vAlign w:val="bottom"/>
            <w:shd w:val="clear" w:color="auto" w:fill="BFE4FF"/>
          </w:tcPr>
          <w:p>
            <w:pPr>
              <w:spacing w:after="0"/>
              <w:rPr>
                <w:sz w:val="17"/>
                <w:szCs w:val="17"/>
                <w:color w:val="auto"/>
              </w:rPr>
            </w:pPr>
          </w:p>
        </w:tc>
        <w:tc>
          <w:tcPr>
            <w:tcW w:w="360" w:type="dxa"/>
            <w:vAlign w:val="bottom"/>
            <w:gridSpan w:val="7"/>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w w:val="93"/>
              </w:rPr>
              <w:t>S-11</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240" w:type="dxa"/>
            <w:vAlign w:val="bottom"/>
            <w:tcBorders>
              <w:top w:val="single" w:sz="8" w:color="0000EE"/>
            </w:tcBorders>
            <w:shd w:val="clear" w:color="auto" w:fill="BFE4FF"/>
          </w:tcPr>
          <w:p>
            <w:pPr>
              <w:spacing w:after="0" w:line="20" w:lineRule="exact"/>
              <w:rPr>
                <w:sz w:val="1"/>
                <w:szCs w:val="1"/>
                <w:color w:val="auto"/>
              </w:rPr>
            </w:pPr>
          </w:p>
        </w:tc>
        <w:tc>
          <w:tcPr>
            <w:tcW w:w="40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28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380" w:type="dxa"/>
            <w:vAlign w:val="bottom"/>
            <w:tcBorders>
              <w:top w:val="single" w:sz="8" w:color="0000EE"/>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6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418"/>
        </w:trPr>
        <w:tc>
          <w:tcPr>
            <w:tcW w:w="10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20" w:type="dxa"/>
            <w:vAlign w:val="bottom"/>
            <w:shd w:val="clear" w:color="auto" w:fill="BFE4FF"/>
          </w:tcPr>
          <w:p>
            <w:pPr>
              <w:spacing w:after="0"/>
              <w:rPr>
                <w:sz w:val="17"/>
                <w:szCs w:val="17"/>
                <w:color w:val="auto"/>
              </w:rPr>
            </w:pPr>
          </w:p>
        </w:tc>
        <w:tc>
          <w:tcPr>
            <w:tcW w:w="2240" w:type="dxa"/>
            <w:vAlign w:val="bottom"/>
            <w:gridSpan w:val="11"/>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500" w:type="dxa"/>
            <w:vAlign w:val="bottom"/>
            <w:gridSpan w:val="9"/>
            <w:shd w:val="clear" w:color="auto" w:fill="BFE4FF"/>
          </w:tcPr>
          <w:p>
            <w:pPr>
              <w:spacing w:after="0"/>
              <w:rPr>
                <w:sz w:val="17"/>
                <w:szCs w:val="17"/>
                <w:color w:val="auto"/>
              </w:rPr>
            </w:pPr>
          </w:p>
        </w:tc>
        <w:tc>
          <w:tcPr>
            <w:tcW w:w="480" w:type="dxa"/>
            <w:vAlign w:val="bottom"/>
            <w:gridSpan w:val="8"/>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3820" w:type="dxa"/>
            <w:vAlign w:val="bottom"/>
            <w:gridSpan w:val="17"/>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6920" w:type="dxa"/>
            <w:vAlign w:val="bottom"/>
            <w:gridSpan w:val="3"/>
            <w:shd w:val="clear" w:color="auto" w:fill="BFE4FF"/>
          </w:tcPr>
          <w:p>
            <w:pPr>
              <w:spacing w:after="0"/>
              <w:rPr>
                <w:sz w:val="17"/>
                <w:szCs w:val="17"/>
                <w:color w:val="auto"/>
              </w:rPr>
            </w:pPr>
          </w:p>
        </w:tc>
        <w:tc>
          <w:tcPr>
            <w:tcW w:w="480" w:type="dxa"/>
            <w:vAlign w:val="bottom"/>
            <w:gridSpan w:val="8"/>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3</w:t>
            </w:r>
          </w:p>
        </w:tc>
      </w:tr>
      <w:tr>
        <w:trPr>
          <w:trHeight w:val="21"/>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0000EE"/>
            </w:tcBorders>
            <w:shd w:val="clear" w:color="auto" w:fill="BFE4FF"/>
          </w:tcPr>
          <w:p>
            <w:pPr>
              <w:spacing w:after="0" w:line="20" w:lineRule="exact"/>
              <w:rPr>
                <w:sz w:val="1"/>
                <w:szCs w:val="1"/>
                <w:color w:val="auto"/>
              </w:rPr>
            </w:pPr>
          </w:p>
        </w:tc>
        <w:tc>
          <w:tcPr>
            <w:tcW w:w="4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240" w:type="dxa"/>
            <w:vAlign w:val="bottom"/>
            <w:tcBorders>
              <w:top w:val="single" w:sz="8" w:color="0000EE"/>
            </w:tcBorders>
            <w:shd w:val="clear" w:color="auto" w:fill="BFE4FF"/>
          </w:tcPr>
          <w:p>
            <w:pPr>
              <w:spacing w:after="0" w:line="20" w:lineRule="exact"/>
              <w:rPr>
                <w:sz w:val="1"/>
                <w:szCs w:val="1"/>
                <w:color w:val="auto"/>
              </w:rPr>
            </w:pPr>
          </w:p>
        </w:tc>
        <w:tc>
          <w:tcPr>
            <w:tcW w:w="40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280" w:type="dxa"/>
            <w:vAlign w:val="bottom"/>
            <w:tcBorders>
              <w:top w:val="single" w:sz="8" w:color="0000EE"/>
            </w:tcBorders>
            <w:shd w:val="clear" w:color="auto" w:fill="BFE4FF"/>
          </w:tcPr>
          <w:p>
            <w:pPr>
              <w:spacing w:after="0" w:line="20" w:lineRule="exact"/>
              <w:rPr>
                <w:sz w:val="1"/>
                <w:szCs w:val="1"/>
                <w:color w:val="auto"/>
              </w:rPr>
            </w:pPr>
          </w:p>
        </w:tc>
        <w:tc>
          <w:tcPr>
            <w:tcW w:w="140" w:type="dxa"/>
            <w:vAlign w:val="bottom"/>
            <w:tcBorders>
              <w:top w:val="single" w:sz="8" w:color="0000EE"/>
            </w:tcBorders>
            <w:shd w:val="clear" w:color="auto" w:fill="BFE4FF"/>
          </w:tcPr>
          <w:p>
            <w:pPr>
              <w:spacing w:after="0" w:line="20" w:lineRule="exact"/>
              <w:rPr>
                <w:sz w:val="1"/>
                <w:szCs w:val="1"/>
                <w:color w:val="auto"/>
              </w:rPr>
            </w:pPr>
          </w:p>
        </w:tc>
        <w:tc>
          <w:tcPr>
            <w:tcW w:w="380" w:type="dxa"/>
            <w:vAlign w:val="bottom"/>
            <w:tcBorders>
              <w:top w:val="single" w:sz="8" w:color="0000EE"/>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THE COMPANY</w:t>
            </w:r>
          </w:p>
        </w:tc>
        <w:tc>
          <w:tcPr>
            <w:tcW w:w="480" w:type="dxa"/>
            <w:vAlign w:val="bottom"/>
            <w:gridSpan w:val="8"/>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EE"/>
                <w:w w:val="99"/>
              </w:rPr>
              <w:t>RISK FACTORS</w:t>
            </w:r>
          </w:p>
        </w:tc>
        <w:tc>
          <w:tcPr>
            <w:tcW w:w="9460" w:type="dxa"/>
            <w:vAlign w:val="bottom"/>
            <w:gridSpan w:val="15"/>
          </w:tcPr>
          <w:p>
            <w:pPr>
              <w:spacing w:after="0"/>
              <w:rPr>
                <w:sz w:val="17"/>
                <w:szCs w:val="17"/>
                <w:color w:val="auto"/>
              </w:rPr>
            </w:pP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480" w:type="dxa"/>
            <w:vAlign w:val="bottom"/>
            <w:gridSpan w:val="8"/>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32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0000EE"/>
            </w:tcBorders>
            <w:shd w:val="clear" w:color="auto" w:fill="BFE4FF"/>
          </w:tcPr>
          <w:p>
            <w:pPr>
              <w:spacing w:after="0" w:line="20" w:lineRule="exact"/>
              <w:rPr>
                <w:sz w:val="1"/>
                <w:szCs w:val="1"/>
                <w:color w:val="auto"/>
              </w:rPr>
            </w:pPr>
          </w:p>
        </w:tc>
        <w:tc>
          <w:tcPr>
            <w:tcW w:w="180" w:type="dxa"/>
            <w:vAlign w:val="bottom"/>
            <w:tcBorders>
              <w:top w:val="single" w:sz="8" w:color="0000EE"/>
            </w:tcBorders>
            <w:shd w:val="clear" w:color="auto" w:fill="BFE4FF"/>
          </w:tcPr>
          <w:p>
            <w:pPr>
              <w:spacing w:after="0" w:line="20" w:lineRule="exact"/>
              <w:rPr>
                <w:sz w:val="1"/>
                <w:szCs w:val="1"/>
                <w:color w:val="auto"/>
              </w:rPr>
            </w:pPr>
          </w:p>
        </w:tc>
        <w:tc>
          <w:tcPr>
            <w:tcW w:w="120" w:type="dxa"/>
            <w:vAlign w:val="bottom"/>
            <w:tcBorders>
              <w:top w:val="single" w:sz="8" w:color="0000EE"/>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80" w:type="dxa"/>
            <w:vAlign w:val="bottom"/>
            <w:gridSpan w:val="8"/>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BFE4FF"/>
          </w:tcPr>
          <w:p>
            <w:pPr>
              <w:spacing w:after="0"/>
              <w:rPr>
                <w:sz w:val="19"/>
                <w:szCs w:val="19"/>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80" w:type="dxa"/>
            <w:vAlign w:val="bottom"/>
            <w:gridSpan w:val="8"/>
            <w:shd w:val="clear" w:color="auto" w:fill="BFE4FF"/>
          </w:tcPr>
          <w:p>
            <w:pPr>
              <w:jc w:val="right"/>
              <w:ind w:right="20"/>
              <w:spacing w:after="0" w:line="202" w:lineRule="exact"/>
              <w:rPr>
                <w:sz w:val="20"/>
                <w:szCs w:val="20"/>
                <w:color w:val="auto"/>
              </w:rPr>
            </w:pPr>
            <w:r>
              <w:rPr>
                <w:rFonts w:ascii="Times New Roman" w:cs="Times New Roman" w:eastAsia="Times New Roman" w:hAnsi="Times New Roman"/>
                <w:sz w:val="18"/>
                <w:szCs w:val="18"/>
                <w:color w:val="0000EE"/>
              </w:rPr>
              <w:t>11</w:t>
            </w:r>
          </w:p>
        </w:tc>
      </w:tr>
      <w:tr>
        <w:trPr>
          <w:trHeight w:val="202"/>
        </w:trPr>
        <w:tc>
          <w:tcPr>
            <w:tcW w:w="20" w:type="dxa"/>
            <w:vAlign w:val="bottom"/>
            <w:tcBorders>
              <w:top w:val="single" w:sz="8" w:color="BFE4FF"/>
            </w:tcBorders>
          </w:tcPr>
          <w:p>
            <w:pPr>
              <w:spacing w:after="0"/>
              <w:rPr>
                <w:sz w:val="17"/>
                <w:szCs w:val="17"/>
                <w:color w:val="auto"/>
              </w:rPr>
            </w:pPr>
          </w:p>
        </w:tc>
        <w:tc>
          <w:tcPr>
            <w:tcW w:w="3020" w:type="dxa"/>
            <w:vAlign w:val="bottom"/>
            <w:tcBorders>
              <w:top w:val="single" w:sz="8" w:color="0000EE"/>
            </w:tcBorders>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WARRANTS</w:t>
            </w:r>
          </w:p>
        </w:tc>
        <w:tc>
          <w:tcPr>
            <w:tcW w:w="7720" w:type="dxa"/>
            <w:vAlign w:val="bottom"/>
            <w:tcBorders>
              <w:top w:val="single" w:sz="8" w:color="BFE4FF"/>
            </w:tcBorders>
            <w:gridSpan w:val="6"/>
          </w:tcPr>
          <w:p>
            <w:pPr>
              <w:spacing w:after="0"/>
              <w:rPr>
                <w:sz w:val="17"/>
                <w:szCs w:val="17"/>
                <w:color w:val="auto"/>
              </w:rPr>
            </w:pPr>
          </w:p>
        </w:tc>
        <w:tc>
          <w:tcPr>
            <w:tcW w:w="280" w:type="dxa"/>
            <w:vAlign w:val="bottom"/>
            <w:tcBorders>
              <w:top w:val="single" w:sz="8" w:color="BFE4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18</w:t>
            </w:r>
          </w:p>
        </w:tc>
        <w:tc>
          <w:tcPr>
            <w:tcW w:w="20" w:type="dxa"/>
            <w:vAlign w:val="bottom"/>
            <w:tcBorders>
              <w:top w:val="single" w:sz="8" w:color="BFE4FF"/>
            </w:tcBorders>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BFE4FF"/>
          </w:tcPr>
          <w:p>
            <w:pPr>
              <w:spacing w:after="0"/>
              <w:rPr>
                <w:sz w:val="19"/>
                <w:szCs w:val="19"/>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RIGHTS</w:t>
            </w:r>
          </w:p>
        </w:tc>
        <w:tc>
          <w:tcPr>
            <w:tcW w:w="460" w:type="dxa"/>
            <w:vAlign w:val="bottom"/>
            <w:gridSpan w:val="7"/>
            <w:shd w:val="clear" w:color="auto" w:fill="BFE4FF"/>
          </w:tcPr>
          <w:p>
            <w:pPr>
              <w:jc w:val="right"/>
              <w:spacing w:after="0" w:line="202" w:lineRule="exact"/>
              <w:rPr>
                <w:sz w:val="20"/>
                <w:szCs w:val="20"/>
                <w:color w:val="auto"/>
              </w:rPr>
            </w:pPr>
            <w:r>
              <w:rPr>
                <w:rFonts w:ascii="Times New Roman" w:cs="Times New Roman" w:eastAsia="Times New Roman" w:hAnsi="Times New Roman"/>
                <w:sz w:val="18"/>
                <w:szCs w:val="18"/>
                <w:color w:val="0000EE"/>
              </w:rPr>
              <w:t>20</w:t>
            </w:r>
          </w:p>
        </w:tc>
        <w:tc>
          <w:tcPr>
            <w:tcW w:w="20" w:type="dxa"/>
            <w:vAlign w:val="bottom"/>
            <w:shd w:val="clear" w:color="auto" w:fill="BFE4FF"/>
          </w:tcPr>
          <w:p>
            <w:pPr>
              <w:spacing w:after="0"/>
              <w:rPr>
                <w:sz w:val="19"/>
                <w:szCs w:val="19"/>
                <w:color w:val="auto"/>
              </w:rPr>
            </w:pPr>
          </w:p>
        </w:tc>
      </w:tr>
      <w:tr>
        <w:trPr>
          <w:trHeight w:val="203"/>
        </w:trPr>
        <w:tc>
          <w:tcPr>
            <w:tcW w:w="20" w:type="dxa"/>
            <w:vAlign w:val="bottom"/>
            <w:tcBorders>
              <w:top w:val="single" w:sz="8" w:color="BFE4FF"/>
            </w:tcBorders>
          </w:tcPr>
          <w:p>
            <w:pPr>
              <w:spacing w:after="0"/>
              <w:rPr>
                <w:sz w:val="17"/>
                <w:szCs w:val="17"/>
                <w:color w:val="auto"/>
              </w:rPr>
            </w:pPr>
          </w:p>
        </w:tc>
        <w:tc>
          <w:tcPr>
            <w:tcW w:w="2140" w:type="dxa"/>
            <w:vAlign w:val="bottom"/>
            <w:tcBorders>
              <w:top w:val="single" w:sz="8" w:color="0000EE"/>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DESCRIPTION OF UNITS</w:t>
            </w:r>
          </w:p>
        </w:tc>
        <w:tc>
          <w:tcPr>
            <w:tcW w:w="8600" w:type="dxa"/>
            <w:vAlign w:val="bottom"/>
            <w:tcBorders>
              <w:top w:val="single" w:sz="8" w:color="BFE4FF"/>
            </w:tcBorders>
            <w:gridSpan w:val="10"/>
          </w:tcPr>
          <w:p>
            <w:pPr>
              <w:spacing w:after="0"/>
              <w:rPr>
                <w:sz w:val="17"/>
                <w:szCs w:val="17"/>
                <w:color w:val="auto"/>
              </w:rPr>
            </w:pPr>
          </w:p>
        </w:tc>
        <w:tc>
          <w:tcPr>
            <w:tcW w:w="280" w:type="dxa"/>
            <w:vAlign w:val="bottom"/>
            <w:tcBorders>
              <w:top w:val="single" w:sz="8" w:color="BFE4FF"/>
            </w:tcBorders>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Borders>
              <w:top w:val="single" w:sz="8" w:color="BFE4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Borders>
              <w:bottom w:val="single" w:sz="8" w:color="BFE4FF"/>
            </w:tcBorders>
            <w:shd w:val="clear" w:color="auto" w:fill="BFE4FF"/>
          </w:tcPr>
          <w:p>
            <w:pPr>
              <w:spacing w:after="0"/>
              <w:rPr>
                <w:sz w:val="19"/>
                <w:szCs w:val="19"/>
                <w:color w:val="auto"/>
              </w:rPr>
            </w:pPr>
          </w:p>
        </w:tc>
        <w:tc>
          <w:tcPr>
            <w:tcW w:w="2060" w:type="dxa"/>
            <w:vAlign w:val="bottom"/>
            <w:tcBorders>
              <w:bottom w:val="single" w:sz="8" w:color="0000EE"/>
            </w:tcBorders>
            <w:gridSpan w:val="9"/>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80" w:type="dxa"/>
            <w:vAlign w:val="bottom"/>
            <w:tcBorders>
              <w:bottom w:val="single" w:sz="8" w:color="BFE4FF"/>
            </w:tcBorders>
            <w:gridSpan w:val="11"/>
            <w:shd w:val="clear" w:color="auto" w:fill="BFE4FF"/>
          </w:tcPr>
          <w:p>
            <w:pPr>
              <w:spacing w:after="0"/>
              <w:rPr>
                <w:sz w:val="19"/>
                <w:szCs w:val="19"/>
                <w:color w:val="auto"/>
              </w:rPr>
            </w:pPr>
          </w:p>
        </w:tc>
        <w:tc>
          <w:tcPr>
            <w:tcW w:w="280" w:type="dxa"/>
            <w:vAlign w:val="bottom"/>
            <w:tcBorders>
              <w:bottom w:val="single" w:sz="8" w:color="BFE4FF"/>
            </w:tcBorders>
            <w:gridSpan w:val="5"/>
            <w:shd w:val="clear" w:color="auto" w:fill="BFE4FF"/>
          </w:tcPr>
          <w:p>
            <w:pPr>
              <w:spacing w:after="0"/>
              <w:rPr>
                <w:sz w:val="19"/>
                <w:szCs w:val="19"/>
                <w:color w:val="auto"/>
              </w:rPr>
            </w:pPr>
          </w:p>
        </w:tc>
        <w:tc>
          <w:tcPr>
            <w:tcW w:w="180" w:type="dxa"/>
            <w:vAlign w:val="bottom"/>
            <w:tcBorders>
              <w:bottom w:val="single" w:sz="8" w:color="0000EE"/>
            </w:tcBorders>
            <w:gridSpan w:val="2"/>
            <w:shd w:val="clear" w:color="auto" w:fill="BFE4FF"/>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Borders>
              <w:bottom w:val="single" w:sz="8" w:color="BFE4FF"/>
            </w:tcBorders>
            <w:shd w:val="clear" w:color="auto" w:fill="BFE4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074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460" w:type="dxa"/>
            <w:vAlign w:val="bottom"/>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0" w:type="dxa"/>
            <w:vAlign w:val="bottom"/>
            <w:shd w:val="clear" w:color="auto" w:fill="BFE4FF"/>
          </w:tcPr>
          <w:p>
            <w:pPr>
              <w:spacing w:after="0"/>
              <w:rPr>
                <w:sz w:val="17"/>
                <w:szCs w:val="17"/>
                <w:color w:val="auto"/>
              </w:rPr>
            </w:pPr>
          </w:p>
        </w:tc>
        <w:tc>
          <w:tcPr>
            <w:tcW w:w="10740" w:type="dxa"/>
            <w:vAlign w:val="bottom"/>
            <w:gridSpan w:val="20"/>
            <w:shd w:val="clear" w:color="auto" w:fill="BFE4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460" w:type="dxa"/>
            <w:vAlign w:val="bottom"/>
            <w:gridSpan w:val="7"/>
            <w:shd w:val="clear" w:color="auto" w:fill="BFE4FF"/>
          </w:tcPr>
          <w:p>
            <w:pPr>
              <w:jc w:val="right"/>
              <w:spacing w:after="0" w:line="202" w:lineRule="exact"/>
              <w:rPr>
                <w:sz w:val="20"/>
                <w:szCs w:val="20"/>
                <w:color w:val="auto"/>
              </w:rPr>
            </w:pPr>
            <w:r>
              <w:rPr>
                <w:rFonts w:ascii="Times New Roman" w:cs="Times New Roman" w:eastAsia="Times New Roman" w:hAnsi="Times New Roman"/>
                <w:sz w:val="18"/>
                <w:szCs w:val="18"/>
                <w:color w:val="0000EE"/>
              </w:rPr>
              <w:t>26</w:t>
            </w:r>
          </w:p>
        </w:tc>
        <w:tc>
          <w:tcPr>
            <w:tcW w:w="20" w:type="dxa"/>
            <w:vAlign w:val="bottom"/>
            <w:shd w:val="clear" w:color="auto" w:fill="BFE4FF"/>
          </w:tcPr>
          <w:p>
            <w:pPr>
              <w:spacing w:after="0"/>
              <w:rPr>
                <w:sz w:val="17"/>
                <w:szCs w:val="17"/>
                <w:color w:val="auto"/>
              </w:rPr>
            </w:pPr>
          </w:p>
        </w:tc>
      </w:tr>
      <w:tr>
        <w:trPr>
          <w:trHeight w:val="20"/>
        </w:trPr>
        <w:tc>
          <w:tcPr>
            <w:tcW w:w="20" w:type="dxa"/>
            <w:vAlign w:val="bottom"/>
            <w:tcBorders>
              <w:top w:val="single" w:sz="8" w:color="BFE4FF"/>
            </w:tcBorders>
            <w:shd w:val="clear" w:color="auto" w:fill="BFE4FF"/>
          </w:tcPr>
          <w:p>
            <w:pPr>
              <w:spacing w:after="0" w:line="20" w:lineRule="exact"/>
              <w:rPr>
                <w:sz w:val="1"/>
                <w:szCs w:val="1"/>
                <w:color w:val="auto"/>
              </w:rPr>
            </w:pPr>
          </w:p>
        </w:tc>
        <w:tc>
          <w:tcPr>
            <w:tcW w:w="78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32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18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8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BFE4FF"/>
            </w:tcBorders>
            <w:shd w:val="clear" w:color="auto" w:fill="BFE4FF"/>
          </w:tcPr>
          <w:p>
            <w:pPr>
              <w:spacing w:after="0" w:line="20" w:lineRule="exact"/>
              <w:rPr>
                <w:sz w:val="1"/>
                <w:szCs w:val="1"/>
                <w:color w:val="auto"/>
              </w:rPr>
            </w:pPr>
          </w:p>
        </w:tc>
        <w:tc>
          <w:tcPr>
            <w:tcW w:w="240" w:type="dxa"/>
            <w:vAlign w:val="bottom"/>
            <w:tcBorders>
              <w:top w:val="single" w:sz="8" w:color="BFE4FF"/>
            </w:tcBorders>
            <w:shd w:val="clear" w:color="auto" w:fill="BFE4FF"/>
          </w:tcPr>
          <w:p>
            <w:pPr>
              <w:spacing w:after="0" w:line="20" w:lineRule="exact"/>
              <w:rPr>
                <w:sz w:val="1"/>
                <w:szCs w:val="1"/>
                <w:color w:val="auto"/>
              </w:rPr>
            </w:pPr>
          </w:p>
        </w:tc>
        <w:tc>
          <w:tcPr>
            <w:tcW w:w="40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280" w:type="dxa"/>
            <w:vAlign w:val="bottom"/>
            <w:tcBorders>
              <w:top w:val="single" w:sz="8" w:color="BFE4FF"/>
            </w:tcBorders>
            <w:shd w:val="clear" w:color="auto" w:fill="BFE4FF"/>
          </w:tcPr>
          <w:p>
            <w:pPr>
              <w:spacing w:after="0" w:line="20" w:lineRule="exact"/>
              <w:rPr>
                <w:sz w:val="1"/>
                <w:szCs w:val="1"/>
                <w:color w:val="auto"/>
              </w:rPr>
            </w:pPr>
          </w:p>
        </w:tc>
        <w:tc>
          <w:tcPr>
            <w:tcW w:w="14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360" w:type="dxa"/>
            <w:vAlign w:val="bottom"/>
            <w:tcBorders>
              <w:top w:val="single" w:sz="8" w:color="BFE4FF"/>
            </w:tcBorders>
            <w:shd w:val="clear" w:color="auto" w:fill="BFE4FF"/>
          </w:tcPr>
          <w:p>
            <w:pPr>
              <w:spacing w:after="0" w:line="20" w:lineRule="exact"/>
              <w:rPr>
                <w:sz w:val="1"/>
                <w:szCs w:val="1"/>
                <w:color w:val="auto"/>
              </w:rPr>
            </w:pPr>
          </w:p>
        </w:tc>
        <w:tc>
          <w:tcPr>
            <w:tcW w:w="600" w:type="dxa"/>
            <w:vAlign w:val="bottom"/>
            <w:tcBorders>
              <w:top w:val="single" w:sz="8" w:color="BFE4FF"/>
            </w:tcBorders>
            <w:shd w:val="clear" w:color="auto" w:fill="BFE4FF"/>
          </w:tcPr>
          <w:p>
            <w:pPr>
              <w:spacing w:after="0" w:line="20" w:lineRule="exact"/>
              <w:rPr>
                <w:sz w:val="1"/>
                <w:szCs w:val="1"/>
                <w:color w:val="auto"/>
              </w:rPr>
            </w:pPr>
          </w:p>
        </w:tc>
        <w:tc>
          <w:tcPr>
            <w:tcW w:w="4960" w:type="dxa"/>
            <w:vAlign w:val="bottom"/>
            <w:tcBorders>
              <w:top w:val="single" w:sz="8" w:color="BFE4FF"/>
            </w:tcBorders>
            <w:shd w:val="clear" w:color="auto" w:fill="BFE4FF"/>
          </w:tcPr>
          <w:p>
            <w:pPr>
              <w:spacing w:after="0" w:line="20" w:lineRule="exact"/>
              <w:rPr>
                <w:sz w:val="1"/>
                <w:szCs w:val="1"/>
                <w:color w:val="auto"/>
              </w:rPr>
            </w:pPr>
          </w:p>
        </w:tc>
        <w:tc>
          <w:tcPr>
            <w:tcW w:w="12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4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60" w:type="dxa"/>
            <w:vAlign w:val="bottom"/>
            <w:tcBorders>
              <w:top w:val="single" w:sz="8" w:color="BFE4FF"/>
            </w:tcBorders>
            <w:shd w:val="clear" w:color="auto" w:fill="BFE4FF"/>
          </w:tcPr>
          <w:p>
            <w:pPr>
              <w:spacing w:after="0" w:line="20" w:lineRule="exact"/>
              <w:rPr>
                <w:sz w:val="1"/>
                <w:szCs w:val="1"/>
                <w:color w:val="auto"/>
              </w:rPr>
            </w:pPr>
          </w:p>
        </w:tc>
        <w:tc>
          <w:tcPr>
            <w:tcW w:w="100" w:type="dxa"/>
            <w:vAlign w:val="bottom"/>
            <w:tcBorders>
              <w:top w:val="single" w:sz="8" w:color="0000EE"/>
            </w:tcBorders>
            <w:shd w:val="clear" w:color="auto" w:fill="BFE4FF"/>
          </w:tcPr>
          <w:p>
            <w:pPr>
              <w:spacing w:after="0" w:line="20" w:lineRule="exact"/>
              <w:rPr>
                <w:sz w:val="1"/>
                <w:szCs w:val="1"/>
                <w:color w:val="auto"/>
              </w:rPr>
            </w:pPr>
          </w:p>
        </w:tc>
        <w:tc>
          <w:tcPr>
            <w:tcW w:w="80" w:type="dxa"/>
            <w:vAlign w:val="bottom"/>
            <w:tcBorders>
              <w:top w:val="single" w:sz="8" w:color="0000EE"/>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the securities being offered by us,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provides more general information, some of which does not apply to this offering.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before the date of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 Any statement so modified will be deemed to constitute a part of this prospectus only as so modified, and any statement so superseded will be deemed not to constitute a part of this prospectus.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S-3ASR that we filed with the SEC and became effective on May 11, 2026, using a “shelf” registration process with respect to up to $250,000,000 in securities that may be sold thereunder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Under the shelf process, we may, from time to time, offer or sell any combination of the securities described in the accompanying prospectus in one or more offerings.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prospectus provides you with a general description of the securities offered by us. Each time we use the accompanying prospectus to offer securities, we will provide a prospectus supplement that will contain specific information about the terms of such offering. The prospectus supplement may also add to, update or change information contained in the accompanying prospectus. The purpose of this prospectus supplement is to provide supplemental information regarding us in connection with the offering, issuance and sale by us of up to a maximum aggregate offering price of $125,000,000 of our Class A common stock that may be issued and sold under the Sales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the accompanying prospectus and any related free writing prospectus that we or Jefferies provide to you or incorporated herein by reference in this prospectus supplement and contained or incorporated therein by reference in the accompanying prospectus. We have not, and the Sales Agent have not, authorized anyone to provide you with different or additional information. If anyone provides you with different, additional or inconsistent information, you should not rely on it. We are offering to sell the securities only in jurisdictions where such offers and sales are permitted. The distribution of this prospectus supplement and the accompanying prospectus and the offering of the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time of delivery of this prospectus supplement or the accompanying prospectus, or any sale of a security. Our business, financial condition, results of operations and prospects may have changed since those dates. We do not imply or represent by delivering this prospectus that our company, or its business, is unchanged after the date on the front of this prospectus supplement or that the information in this prospectus supplement is correct as of any time after such date. You should read this prospectus supplement, the accompanying prospectus and the documents incorporated by reference in this prospectus supplement and the accompanying prospectus, in their entirety before making an investment decision. You should also read and consider the information in the documents to which we have referred you in the sections of this prospectus supplement titled “ Incorporation of Certain Information by Reference” and “Where You Can Find More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such summaries are qualified in their entirety by the actual documents. Copies of some of the documents referred to herein have been filed, will be filed or will be incorporated by reference as exhibits to the Registration Statement that includes this prospectus, and you may obtain copies of those documents as described in the sections of this prospectus titled “ Incorporation of Certain Information by Reference” and “Where You Can Find More Information.” The representations, warranties and covenants made by us in any agreement that is filed as an exhibit to any document that is incorporated by reference herein or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herein and therein contain forward-looking information within the meaning of the safe harbor provisions of the U.S. Private Securities Litigation Reform Act of 1995, to the extent those safe harbor provisions are determined to be available.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titled “Management’s Discussion and Analysis of Financial Condition and Results of Operations” and “Risk Factors,” and in the same sections of our subsequently filed Quarterly Reports on Form 10-Q, as may be further updated by any current reports on Form 8-K that we may file. The words “believe,” “expect,” “anticipate,” “project,” “target,” “intend,” “plan,” “seek,” “estimate,” “endeavor,” “should,” “could,” “may” and similar expressions are intended to identify forward-looking statements. Although we believe that we have a reasonable basis for each forward-looking statement contained and incorporated by reference in this prospectus, we caution you that these statements are based on our projections of the future that are subject to risks, uncertainties and other factors that could cause actual results and the timing of certain events to differ materially from future results expressed or implied by such forward-looking statements. These forward-looking statements may not be realized due to a variety of factors, including, without limitation:</w:t>
      </w:r>
    </w:p>
    <w:p>
      <w:pPr>
        <w:spacing w:after="0" w:line="19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 including our recently announced prioritization of high-power markets and de-prioritization of mobile and consumer markets;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timeline and expected start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cost savings and operational efficiencies in connection with our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in a cost-effective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that meet the high reliability and quality standards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current and new suppliers, including our foundry partners and other third-parties on whom our supply chain depends;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customers, competitors and industry;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changes, including trade wars, military conflicts, pandemics and other force majeure events;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relationships between countries in which we operate, including primarily those between the United States and China, and related regulatory developments such as tariffs, customs duties, trade sanctions and cross-border investment restrictions;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the acquisition of GeneSiC Semiconductor Inc. on August 15, 2022;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defend our intellectual property rights, and avoid infringement on the intellectual property rights of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expansion plans and opportunities;•the outcome of any known and unknown litigation and regulatory proceedings; and</w:t>
      </w:r>
    </w:p>
    <w:p>
      <w:pPr>
        <w:spacing w:after="0" w:line="2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described in this prospectus supplement, including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required by applicable law, we do not plan to publicly update or revise any forward-looking statements contained in this prospectus supplement, whether as a result of any new information, future events, changed circumstances or otherwise. You should read this prospectus supplement completely, and with the understanding that our actual future results may be materially different from what we expect. We qualify all of our forward-looking statements by these cautionary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5927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to invest in our securities. For a more complete understanding of our company and this offering, we encourage you to read and consider carefully this entire prospectus supplement and the accompanying prospectus, including the information referred to in the “Risk Factors” section beginning on page S-3 of this prospectus supplement and page 6 of the accompanying prospectus, along with the information incorporated by reference into this prospectus supplement and the accompanying prospectus and in the documents incorporated by reference herein and therein. See “Incorporation of Certain Information by Reference” and “Where You Can Find More Information” to learn how we disclose information in this prospectus supplement and the accompanying prospectus by referring you to other documents, and how you can access those documents.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w:t>
      </w:r>
      <w:r>
        <w:rPr>
          <w:rFonts w:ascii="Times New Roman" w:cs="Times New Roman" w:eastAsia="Times New Roman" w:hAnsi="Times New Roman"/>
          <w:sz w:val="18"/>
          <w:szCs w:val="18"/>
          <w:i w:val="1"/>
          <w:iCs w:val="1"/>
          <w:color w:val="auto"/>
        </w:rPr>
        <w:t>GaN</w:t>
      </w:r>
      <w:r>
        <w:rPr>
          <w:rFonts w:ascii="Times New Roman" w:cs="Times New Roman" w:eastAsia="Times New Roman" w:hAnsi="Times New Roman"/>
          <w:sz w:val="18"/>
          <w:szCs w:val="18"/>
          <w:color w:val="auto"/>
        </w:rPr>
        <w:t>”) power integrated circuits (“</w:t>
      </w:r>
      <w:r>
        <w:rPr>
          <w:rFonts w:ascii="Times New Roman" w:cs="Times New Roman" w:eastAsia="Times New Roman" w:hAnsi="Times New Roman"/>
          <w:sz w:val="18"/>
          <w:szCs w:val="18"/>
          <w:i w:val="1"/>
          <w:iCs w:val="1"/>
          <w:color w:val="auto"/>
        </w:rPr>
        <w:t>ICs</w:t>
      </w:r>
      <w:r>
        <w:rPr>
          <w:rFonts w:ascii="Times New Roman" w:cs="Times New Roman" w:eastAsia="Times New Roman" w:hAnsi="Times New Roman"/>
          <w:sz w:val="18"/>
          <w:szCs w:val="18"/>
          <w:color w:val="auto"/>
        </w:rPr>
        <w:t>”), high-voltage silicon carbide (“</w:t>
      </w:r>
      <w:r>
        <w:rPr>
          <w:rFonts w:ascii="Times New Roman" w:cs="Times New Roman" w:eastAsia="Times New Roman" w:hAnsi="Times New Roman"/>
          <w:sz w:val="18"/>
          <w:szCs w:val="18"/>
          <w:i w:val="1"/>
          <w:iCs w:val="1"/>
          <w:color w:val="auto"/>
        </w:rPr>
        <w:t>SiC</w:t>
      </w:r>
      <w:r>
        <w:rPr>
          <w:rFonts w:ascii="Times New Roman" w:cs="Times New Roman" w:eastAsia="Times New Roman" w:hAnsi="Times New Roman"/>
          <w:sz w:val="18"/>
          <w:szCs w:val="18"/>
          <w:color w:val="auto"/>
        </w:rPr>
        <w:t>”) devices and associated high-speed silicon system controllers, and digital isolators used in power conversion and charging. We focus on high-power markets including artificial intelligence (“</w:t>
      </w:r>
      <w:r>
        <w:rPr>
          <w:rFonts w:ascii="Times New Roman" w:cs="Times New Roman" w:eastAsia="Times New Roman" w:hAnsi="Times New Roman"/>
          <w:sz w:val="18"/>
          <w:szCs w:val="18"/>
          <w:i w:val="1"/>
          <w:iCs w:val="1"/>
          <w:color w:val="auto"/>
        </w:rPr>
        <w:t>AI</w:t>
      </w:r>
      <w:r>
        <w:rPr>
          <w:rFonts w:ascii="Times New Roman" w:cs="Times New Roman" w:eastAsia="Times New Roman" w:hAnsi="Times New Roman"/>
          <w:sz w:val="18"/>
          <w:szCs w:val="18"/>
          <w:color w:val="auto"/>
        </w:rPr>
        <w:t>”) data centers, energy and grid infrastructure, performance computing and industrial electrification.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Navitas Semiconductor Corporation was originally incorporated as Live Oak Acquisition Corp. II. On October 19, 2021, as part of a series of related transactions (which we refer to as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we acquired all of the equity interests of Navitas Semiconductor Limited, an Irish private company domesticated in Delaware as Navitas Semiconductor Ireland, LLC (collectively, “</w:t>
      </w:r>
      <w:r>
        <w:rPr>
          <w:rFonts w:ascii="Times New Roman" w:cs="Times New Roman" w:eastAsia="Times New Roman" w:hAnsi="Times New Roman"/>
          <w:sz w:val="18"/>
          <w:szCs w:val="18"/>
          <w:i w:val="1"/>
          <w:iCs w:val="1"/>
          <w:color w:val="auto"/>
        </w:rPr>
        <w:t>Legacy Navitas</w:t>
      </w:r>
      <w:r>
        <w:rPr>
          <w:rFonts w:ascii="Times New Roman" w:cs="Times New Roman" w:eastAsia="Times New Roman" w:hAnsi="Times New Roman"/>
          <w:sz w:val="18"/>
          <w:szCs w:val="18"/>
          <w:color w:val="auto"/>
        </w:rPr>
        <w:t>”) and changed our name to Navitas Semiconductor Corporation. As a result, Legacy Navitas became a wholly owned subsidiary of Navitas Semiconductor Corporation effective October 19,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130" w:right="539" w:bottom="1440" w:gutter="0" w:footer="0" w:header="0"/>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offered by us: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to be outstanding immediately after this offering:</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-264160</wp:posOffset>
            </wp:positionV>
            <wp:extent cx="7136130" cy="6887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8878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common stock having an aggregate offering price of up to $125,000,000.</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 to 240,581,298 shares, assuming that we sell the maximum dollar value of shares of our Class A common stock available to be sold in this offering at a price of $18.20 per share, which was the last reported sale price of our Class A common stock on Nasdaq on May 8, 2026. The actual number of shares issued will vary depending on the sales prices under this offering.</w:t>
      </w:r>
    </w:p>
    <w:p>
      <w:pPr>
        <w:spacing w:after="0" w:line="176" w:lineRule="exact"/>
        <w:rPr>
          <w:sz w:val="20"/>
          <w:szCs w:val="20"/>
          <w:color w:val="auto"/>
        </w:rPr>
      </w:pPr>
    </w:p>
    <w:p>
      <w:pPr>
        <w:sectPr>
          <w:pgSz w:w="11900" w:h="16838" w:orient="portrait"/>
          <w:cols w:equalWidth="0" w:num="2">
            <w:col w:w="3120" w:space="240"/>
            <w:col w:w="7480"/>
          </w:cols>
          <w:pgMar w:left="520" w:top="1130" w:right="539" w:bottom="1440" w:gutter="0" w:footer="0" w:header="0"/>
        </w:sect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Plan of Distribution:</w:t>
      </w:r>
      <w:r>
        <w:rPr>
          <w:sz w:val="20"/>
          <w:szCs w:val="20"/>
          <w:color w:val="auto"/>
        </w:rPr>
        <w:tab/>
      </w:r>
      <w:r>
        <w:rPr>
          <w:rFonts w:ascii="Times New Roman" w:cs="Times New Roman" w:eastAsia="Times New Roman" w:hAnsi="Times New Roman"/>
          <w:sz w:val="18"/>
          <w:szCs w:val="18"/>
          <w:color w:val="auto"/>
        </w:rPr>
        <w:t>“At the market offering” that may be made from time to time through the Sales Agents. See “</w:t>
      </w:r>
      <w:r>
        <w:rPr>
          <w:rFonts w:ascii="Times New Roman" w:cs="Times New Roman" w:eastAsia="Times New Roman" w:hAnsi="Times New Roman"/>
          <w:sz w:val="18"/>
          <w:szCs w:val="18"/>
          <w:i w:val="1"/>
          <w:iCs w:val="1"/>
          <w:color w:val="auto"/>
        </w:rPr>
        <w:t>Plan of</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intend to use the net proceeds from this offering, together with our existing cash, cash equivalents</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and trade receivables, for working capital and other general corporate purposes, including potential</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acquisitions. We may use a portion of our net proceeds to fund possible investments in and acquisitions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of complementary businesses; however, we currently have no agreements or commitments to complete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any such transaction.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shares of our Class A common stock involves a high degree of risk, and the purchasers of</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our Class A common stock may lose all or part of their investment. See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beginning on page S-3 of this prospectus supplement, as well as the other information included in or</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incorporated by reference in this prospectus supplement and the accompanying prospectus, for a</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discussion of risks you should carefully consider before investing in our securities.</w:t>
      </w:r>
    </w:p>
    <w:p>
      <w:pPr>
        <w:spacing w:after="0" w:line="20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Nasdaq trading symbol:</w:t>
      </w:r>
      <w:r>
        <w:rPr>
          <w:sz w:val="20"/>
          <w:szCs w:val="20"/>
          <w:color w:val="auto"/>
        </w:rPr>
        <w:tab/>
      </w:r>
      <w:r>
        <w:rPr>
          <w:rFonts w:ascii="Times New Roman" w:cs="Times New Roman" w:eastAsia="Times New Roman" w:hAnsi="Times New Roman"/>
          <w:sz w:val="18"/>
          <w:szCs w:val="18"/>
          <w:color w:val="auto"/>
        </w:rPr>
        <w:t>“NVTS”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immediately after this offering is based on 233,713,166 shares of our Class A common stock outstanding as of May 8, 2026, and excludes:</w:t>
      </w:r>
    </w:p>
    <w:p>
      <w:pPr>
        <w:spacing w:after="0" w:line="162" w:lineRule="exact"/>
        <w:rPr>
          <w:sz w:val="20"/>
          <w:szCs w:val="20"/>
          <w:color w:val="auto"/>
        </w:rPr>
      </w:pPr>
    </w:p>
    <w:p>
      <w:pPr>
        <w:ind w:left="660" w:right="2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847,603 shares of Class A common stock issuable upon the exercise of stock options outstanding as of March 31, 2026, with a weighted-average exercise price of $7.97 per share;</w:t>
      </w:r>
    </w:p>
    <w:p>
      <w:pPr>
        <w:spacing w:after="0" w:line="159" w:lineRule="exact"/>
        <w:rPr>
          <w:rFonts w:ascii="Times New Roman" w:cs="Times New Roman" w:eastAsia="Times New Roman" w:hAnsi="Times New Roman"/>
          <w:sz w:val="18"/>
          <w:szCs w:val="18"/>
          <w:color w:val="auto"/>
        </w:rPr>
      </w:pPr>
    </w:p>
    <w:p>
      <w:pPr>
        <w:ind w:left="660" w:right="20" w:hanging="330"/>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9,567,000 shares of Class A common stock issuable upon the vesting and settlement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outstanding as of March 31, 2026;</w:t>
      </w:r>
    </w:p>
    <w:p>
      <w:pPr>
        <w:spacing w:after="0" w:line="160"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407,673 shares of Class A common stock issuable upon the vesting and settlement of RSUs granted after March 31, 2026 and prior to the date hereof;</w:t>
      </w:r>
    </w:p>
    <w:p>
      <w:pPr>
        <w:spacing w:after="0" w:line="161"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16,334,527 shares of Class A common stock reserved as of March 31, 2026 for issuance upon vesting or settlement of future awards under the Navitas Semiconductor Corporation 2021 Equity Incentive Plan;</w:t>
      </w:r>
    </w:p>
    <w:p>
      <w:pPr>
        <w:spacing w:after="0" w:line="161"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1,074,104 shares of Class A common stock reserved as of March 31, 2026 for future issuance under the Navitas Semiconductor 2022 Employee Stock Purchase Plan; and</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issuable upon the fulfillment of certain earnout milestones.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that there is no exercise of outstanding stock options or vesting and settlement of RSUs referred to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130" w:right="5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Before investing in our Class A common stock, you should carefully read the risk factors discussed below, the risk factors discussed under the caption “Risk Factors” in our most recent Annual Report on Form 10-K, the risk factors discussed under the caption “Risk Factors” in the accompanying prospectus and any risk factors discussed in our other filings with the SEC which are incorporated herein by reference.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the accompanying prospectus or our other filings with the SEC, or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See “Incorporation of Certain Information by Reference” and “Where You Can Find More Information” to learn how we disclose risk factors and other information in this prospectus supplement by referring you to other documents, and how you can access those documents. Please also read carefully the section titled “Cautionary Note Regarding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Owning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as to the use of the proceeds from this offering and may not use the proceeds effectively.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Class A common stock you purchase.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outstanding prior to this offering. Assuming that an aggregate of 6,868,132 shares of our Class A common stock are sold at a public offering price of $18.20 per share, the last reported sale price of our Class A common stock on Nasdaq on May 8, 2026, for aggregate gross proceeds of $125,000,000, and after deducting commissions and estimated offering expenses payable by us, you would experience immediate dilution of $16.83 per share of Class A common stock, representing the difference between our as adjusted net tangible book value per share as of March 31, 2026, after giving effect to this offering, and the assumed public offering price. The exercise of outstanding stock options or vesting of RSUs may result in further dilution of your investment. See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below for a more detailed illustration of the dilution you may incur if you participate in this offering.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retain future earnings, if any, to fund the development and growth of our business. We have never declared or paid any cash dividends on our capital stock, and we do not currently intend to pay any cash dividends for the foreseeable future.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As a result, capital appreciation, if any, of our Class A common stock will be your sole source of gain for the foreseeable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The actual number of shares of Class A common stock we will issue under the Sales Agreement, at any one time or in total, is uncertain.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Agents at any time throughout the term of the Sales Agreement. The number of shares that are sold by the Sales Agents after delivering a placement notice will fluctuate based on the market price of our Class A common stock during the sales period and limits we set with the Sales Agents. Because the price per share of each share sold will fluctuate based on the market price of our Class A common stock during the sales period, it is not possible at this stage to predict the number of shares that will be ultimately issued.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issuances of our Class A common stock in the public markets, or the perception of such sales, could depress the trading price of our Class A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of a substantial number of shares of our Class A common stock or other equity-related securities in the public markets, or the perception that such sales could occur, could depress the market price of our Class A common stock and impair our ability to raise capital through the sale of additional equity securities. We may sell large quantities of our Class A common stock at any time pursuant to this prospectus supplement or in one or more separate offerings. We cannot predict the effect that future sales of Class A common stock or other equity-related securities would have on the market price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expect in the future to offer additional shares of Class A common stock or other securities convertible into or exchangeable for our shares of Class A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Class A common stock or other securities convertible into or exchangeable for our shares of Class A common stock in future transactions may be higher or lower than the price per share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of our Class A common stock, together with our existing cash, cash equivalents and trade receivables, for working capital and other general corporate purposes, including potential acquisitions. We may use a portion of our net proceeds to fund possible investments in and acquisitions of complementary businesses; however, we currently have no agreements or commitments to complete any such transaction.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portions of the net proceeds for other purposes, and we will have broad discretion in the application and allocation of the net proceeds from this offering. Pending these uses, we may invest our net proceeds from this offering primarily in investment grade, interest-bearing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immediately diluted to the extent of the difference between the public offering price per share of our Class A common stock in this offering and the as adjusted net tangible book value per share of our Class A common stock immediately after this offering.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historical net tangible book value at March 31, 2026 was $208.3 million, or $0.90 per share of Class A common stock. Net tangible book value per share represents the total amount of our net tangible book value (tangible assets reduced by the total amount of our liabilities) divided by the number of shares outstanding on March 31, 2026 of 232,004,922 shares. Dilution in net tangible book value per share represents the difference between the price per share to be paid for the Class A common stock sold by us in this offering and the as adjusted net tangible book value per share of our Class A common stock immediately after this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(i) the sale of shares of Class A common stock in the aggregate amount of $125.0 million in this offering at an assumed public offering price of $18.20 per share, the last reported sale price of our Class A common stock on Nasdaq on May 8, 2026, and after deducting commissions and estimated offering expenses, our as adjusted net tangible book value as of March 31, 2026 would have been approximately $330.3 million, or $1.37 per share. This represents an immediate increase in net tangible book value of $0.48 per share to our existing stockholders and an immediate dilution in net tangible book value of $16.83 per share to new investors participating in this offering. The following table illustrates this per share dilution: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0.90</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new investors purchasing our Class A common</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in this offering</w:t>
            </w: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0.48</w:t>
            </w: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purchasing our Class A common stock in this offering</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An increase of $1.00 per share in the price at which the shares are sold from the assumed public offering price of $18.20 per share shown in the table above, assuming all shares of our Class A common stock in the aggregate amount of $125.0 million are sold at that price, would cause our as adjusted net tangible book value per share after this offering to be $1.38 per share and would increase the dilution in net tangible book value per share to new investors to $17.82 per share, after deducting commissions and estimated offering expenses. A decrease of $1.00 per share in the price at which the shares are sold from the assumed public offering price of $18.20 per share, assuming all shares of our Class A common stock in the aggregate amount of $125.0 million are sold at that price, would cause our as adjusted net tangible book value per share after this offering to be $1.37 per share and would decrease the dilution in net tangible book value per share to new investors to $15.83 per share, after deducting commissions and estimated offering expenses. This information is supplied for illustrative purposes only.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immediately after this offering is based on 233,713,166 shares of our Class A common stock outstanding as of May 8, 2026, and excludes:</w:t>
      </w:r>
    </w:p>
    <w:p>
      <w:pPr>
        <w:spacing w:after="0" w:line="162"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847,603 shares of Class A common stock issuable upon the exercise of stock options outstanding as of March 31, 2026, with a weighted-average exercise price of $7.97 per share;</w:t>
      </w:r>
    </w:p>
    <w:p>
      <w:pPr>
        <w:spacing w:after="0" w:line="15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9,567,000 shares of Class A common stock issuable upon the vesting and settlement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outstanding as of March 31, 2026;</w:t>
      </w:r>
    </w:p>
    <w:p>
      <w:pPr>
        <w:spacing w:after="0" w:line="16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407,673 shares of Class A common stock issuable upon the vesting and settlement of RSUs granted after March 31, 2026 and prior to the date 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16,334,527 shares of Class A common stock reserved as of March 31, 2026 for issuance upon vesting or settlement of future awards under the Navitas Semiconductor Corporation 2021 Equity Incentive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1,074,104 shares of Class A common stock reserved as of March 31, 2026 for future issuance under the Navitas Semiconductor 2022 Employee Stock Purchase Plan;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issuable upon the fulfillment of certain earnout milestones.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 that there is no exercise of outstanding stock options or vesting and settlement of RSUs referred to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debt securities, the issuance of these securities could result in further dilution to our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 In order for us to pay dividends or other distributions to our stockholders, we would rely on payments from our operating subsidiaries.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11, 2026, we entered into a Sales Agreement with the Sales Agents under which we may offer and sell shares of our Class A common stock from time to time through the Sales Agents acting as agents or principals. Pursuant to this prospectus supplement, we may offer and sell up to $125,000,000 of our shares of Class A common stock. Sales of our shares of Class A common stock, if any, under this prospectus supplement and the accompanying prospectus will be made by any method that is deemed to be an “at the market offering” as defined in Rule 415(a)(4) under the Securities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time we wish to issue and sell shares of our Class A common stock under the Sales Agreement, we will notify the Sales Agents of the number of shares to be issued, the dates on which such sales are anticipated to be made, any limitation on the number of shares to be sold in any one day and any minimum price below which sales may not be made. Once we have so instructed the Sales Agents, unless the Sales Agents decline to accept the terms of such notice, the Sales Agents have agreed to use their commercially reasonable efforts consistent with their normal trading and sales practices to sell such shares up to the amount specified on such terms. The obligations of the Sales Agents under the Sales Agreement to sell our shares of our Class A common stock are subject to a number of conditions that we must meet.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settlement of sales of shares between us and the Sales Agents is generally anticipated to occur on the first trading day following the date on which the sale was made. Sales of our shares of Class A common stock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the Sales Agents a commission of up to 3.0% of the aggregate gross proceeds we receive from each sale of our shares of Class A common stock. Because there is no minimum offering amount required as a condition to close this offering, the actual total public offering amount, commissions and proceeds to us, if any, are not determinable at this time. In addition, we have agreed to reimburse the Sales Agents for the fees and disbursements of its counsel in connection with execution of the Sales Agreement, in an amount not to exceed $100,000, in addition to certain ongoing disbursements of its legal counsel, unless we and the Sales Agents otherwise agree. We estimate that the total expenses for the offering, excluding any commissions or expense reimbursement payable to the Sales Agents under the terms of the Sales Agreement, will be approximately $500,000. The remaining sale proceeds, after deducting any other transaction fees, will equal our net proceeds from the sale of such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Agents will provide written confirmation to us before the opening of trading on The Nasdaq Global Market on the day following each day on which shares of Class A common stock are sold under the Sales Agreement. Each confirmation will include the number of shares sold on that day, the aggregate gross proceeds of such sales and the proceeds to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shares of Class A common stock on our behalf, each of the Sales Agents may be deemed to be an “underwriter” within the meaning of the Securities Act, and the compensation of the Sales Agents may be deemed to be underwriting commissions or discounts. We have agreed to indemnify the Sales Agents against certain civil liabilities, including liabilities under the Securities Act. We have also agreed to contribute to payments the Sales Agents may be required to make in respect of such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our shares of Class A common stock pursuant to the Sales Agreement will terminate as permitted therein.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Sales Agreement does not purport to be a complete statement of its terms and conditions. A copy of the Sales Agreement was filed as an exhibit to a current report on Form 8-K filed under the Exchange Act and is incorporated by reference in this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Agents and their respective affiliates may in the future provide various investment banking, commercial banking, financial advisory and other financial services for us and our affiliates, for which services they may in the future receive customary fees. In the course of their business, the Sales Agents may actively trade our securities for their own account or for the accounts of customers, and, accordingly, the Sales Agents may at any time hold long or short positions in such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Class A common stock offered by this prospectus supplement and the accompanying prospectus will be passed upon for us by Cozen O’Connor, New York, New York. Craig-Hallum Capital Group LLC and UBS Securities LLC are being represented in connection with this offering by Cooley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as of December, 31, 2025 and for the year then ended, incorporated in this prospectus supplement by reference from our </w:t>
      </w:r>
      <w:hyperlink r:id="rId27">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have been audited by KPMG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80"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as of December, 31, 2024 and for the year then ended, incorporated in this prospectus supplement by reference from our </w:t>
      </w:r>
      <w:hyperlink r:id="rId27">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important information into this prospectus supplement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supplement will be continually updated by those future filings, and those future filings may modify or supersede some of the information included or incorporated by reference in this prospectus supplement. This means you must review all SEC filings that we incorporate by reference to determine if any of the statements in this prospectus supplement, or in any document previously incorporated by reference, have been modified or superseded by subsequent filings.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filed by us with the SEC and are incorporated by reference into this prospectus supplement:</w:t>
      </w:r>
    </w:p>
    <w:p>
      <w:pPr>
        <w:spacing w:after="0" w:line="225"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27">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as amended by Amendment No. 1 to our Annual Report on Form 10-K/A for the fiscal year ended December 31, 2025, filed with the SEC on </w:t>
      </w:r>
      <w:hyperlink r:id="rId28">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u w:val="single" w:color="auto"/>
            <w:color w:val="0000EE"/>
          </w:rPr>
          <w:t>our Quarterly Report on Form 10-Q for the quarter ended March 31, 2026, filed with the SEC on May 5, 2026</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0">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7">
        <w:r>
          <w:rPr>
            <w:rFonts w:ascii="Times New Roman" w:cs="Times New Roman" w:eastAsia="Times New Roman" w:hAnsi="Times New Roman"/>
            <w:sz w:val="18"/>
            <w:szCs w:val="18"/>
            <w:u w:val="single" w:color="auto"/>
            <w:color w:val="0000EE"/>
          </w:rPr>
          <w:t>October 19, 2021</w:t>
        </w:r>
      </w:hyperlink>
      <w:r>
        <w:rPr>
          <w:rFonts w:ascii="Times New Roman" w:cs="Times New Roman" w:eastAsia="Times New Roman" w:hAnsi="Times New Roman"/>
          <w:sz w:val="18"/>
          <w:szCs w:val="18"/>
          <w:color w:val="auto"/>
        </w:rPr>
        <w:t xml:space="preserve">, including any amendments filed for the purpose of updating such description, including </w:t>
      </w:r>
      <w:hyperlink r:id="rId3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as filed with the SEC on February 27, 2026.</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all documents we subsequently file with the SEC (other than any portion of such filings that are furnished under applicable SEC rules rather than filed) pursuant to Sections 13(a), 13(c), 14 and 15(d) of the Exchange Act, after the date of this prospectus supplement and before ter termination or completion of the offering of the securities described in this prospectus supplement will be deemed to be incorporated by reference into this prospectus supplement and to be part of this prospectus supplement from the date of filing of such reports and documents.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supplement or any document incorporated by reference is accurate as of any date other than the date of the applicable document.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be deemed not to constitute a part of this prospectus supplement except as so modified or superseded.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provide each person, including any beneficial owner, to whom a prospectus supplement is delivered, with a copy of all of the information that has been incorporated by reference in this prospectus supplement but not delivered with the prospectus supplement. You may obtain copies of these filings, at no cost, through the “Investor Relations” section of our website (https://ir.navitassemi.com) and you may request a copy of these filings (other than an exhibit to any filing unless we have specifically incorporated that exhibit by reference into the filing), at no cost, by writing or telephoning us at the following address: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3520 Challenger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Torrance, California 90503-1640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(844) 654-2642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the Registration Statement that we have filed with the SEC under the Securities Act with respect to the securities offered by this prospectus supplement and do not contain all of the information set forth in the Registration Statement. This prospectus supplement and the accompanying prospectus omit certain information, exhibits, schedules and undertakings set forth in the Registration Statement. For further information pertaining to us and the shares of Class A common stock offered in this prospectus supplement, reference is made to that Registration Statement and the exhibits and schedules to the Registration Statement. Statements contained in this prospectus supplement and the accompanying prospectus as to the contents or provisions of any documents referred to in this prospectus supplement are not necessarily complete, and in each instance where a copy of the document has been filed as an exhibit to the Registration Statement, reference is made to the exhibit for a more complete description of the matters involved.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are required to file with the SEC annual, quarterly and current reports, proxy statements and other information. Our SEC filings, including the Registration Statement, are available to the public over the Internet at the SEC’s website at http://www.sec.gov. Copies of certain information filed by us with the SEC are also available on our website at https://ir.navitassemi.com, as soon as reasonably practicable after we file them with, or furnish them to, the SEC. Our website is not a part of this prospectus and the information contained on, or accessible through, our website is not incorporated by reference in this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156845</wp:posOffset>
            </wp:positionV>
            <wp:extent cx="216852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21685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identified above from time to time, or any combination thereof, in one or more offerings in amounts, at prices and on terms that we determine at the time of the offering. This prospectus provides you with a general description of the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This prospectus may not be used to offer and sell securities without a prospectus supplement.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r>
        <w:rPr>
          <w:rFonts w:ascii="Times New Roman" w:cs="Times New Roman" w:eastAsia="Times New Roman" w:hAnsi="Times New Roman"/>
          <w:sz w:val="18"/>
          <w:szCs w:val="18"/>
          <w:i w:val="1"/>
          <w:iCs w:val="1"/>
          <w:color w:val="auto"/>
        </w:rPr>
        <w:t>About this 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128270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ON PAGE 6 OF THIS PROSPECTUS AND ANY SIMILAR SECTION CONTAINED IN THE APPLICABLE PROSPECTUS SUPPLEMENT CONCERNING FACTORS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122555</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Class A common stock (the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is listed on The Nasdaq Global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symbol “NVTS.” On May 8, 2026, the last reported sale price of the Class A Common Stock on Nasdaq was $18.20 per share. If we decide to list or seek a quotation for any other securities, the prospectus supplement relating to those securities will disclose the exchange or market on which those securities will be listed or quoted.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76"/>
        </w:trPr>
        <w:tc>
          <w:tcPr>
            <w:tcW w:w="2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gridSpan w:val="8"/>
            <w:shd w:val="clear" w:color="auto" w:fill="CCEEFF"/>
          </w:tcPr>
          <w:p>
            <w:pPr>
              <w:spacing w:after="0"/>
              <w:rPr>
                <w:sz w:val="15"/>
                <w:szCs w:val="15"/>
                <w:color w:val="auto"/>
              </w:rPr>
            </w:pPr>
          </w:p>
        </w:tc>
        <w:tc>
          <w:tcPr>
            <w:tcW w:w="640" w:type="dxa"/>
            <w:vAlign w:val="bottom"/>
            <w:gridSpan w:val="5"/>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1</w:t>
            </w:r>
          </w:p>
        </w:tc>
        <w:tc>
          <w:tcPr>
            <w:tcW w:w="48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CAUTIONARY NOTES REGARDING FORWARD-LOOKING STATEMENTS</w:t>
            </w:r>
          </w:p>
        </w:tc>
        <w:tc>
          <w:tcPr>
            <w:tcW w:w="640" w:type="dxa"/>
            <w:vAlign w:val="bottom"/>
            <w:gridSpan w:val="5"/>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2</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5"/>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3</w:t>
            </w:r>
          </w:p>
        </w:tc>
        <w:tc>
          <w:tcPr>
            <w:tcW w:w="4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40" w:type="dxa"/>
            <w:vAlign w:val="bottom"/>
            <w:gridSpan w:val="5"/>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4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5"/>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640" w:type="dxa"/>
            <w:vAlign w:val="bottom"/>
            <w:gridSpan w:val="5"/>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4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840" w:type="dxa"/>
            <w:vAlign w:val="bottom"/>
            <w:gridSpan w:val="12"/>
          </w:tcPr>
          <w:p>
            <w:pPr>
              <w:spacing w:after="0"/>
              <w:rPr>
                <w:sz w:val="15"/>
                <w:szCs w:val="15"/>
                <w:color w:val="auto"/>
              </w:rPr>
            </w:pPr>
          </w:p>
        </w:tc>
        <w:tc>
          <w:tcPr>
            <w:tcW w:w="640" w:type="dxa"/>
            <w:vAlign w:val="bottom"/>
            <w:gridSpan w:val="5"/>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gridSpan w:val="5"/>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48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gridSpan w:val="5"/>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8</w:t>
            </w:r>
          </w:p>
        </w:tc>
        <w:tc>
          <w:tcPr>
            <w:tcW w:w="48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76"/>
        </w:trPr>
        <w:tc>
          <w:tcPr>
            <w:tcW w:w="30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gridSpan w:val="4"/>
            <w:shd w:val="clear" w:color="auto" w:fill="CCEEFF"/>
          </w:tcPr>
          <w:p>
            <w:pPr>
              <w:spacing w:after="0"/>
              <w:rPr>
                <w:sz w:val="15"/>
                <w:szCs w:val="15"/>
                <w:color w:val="auto"/>
              </w:rPr>
            </w:pPr>
          </w:p>
        </w:tc>
        <w:tc>
          <w:tcPr>
            <w:tcW w:w="640" w:type="dxa"/>
            <w:vAlign w:val="bottom"/>
            <w:gridSpan w:val="5"/>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0000EE"/>
                <w:w w:val="88"/>
              </w:rPr>
              <w:t>11</w:t>
            </w:r>
          </w:p>
        </w:tc>
        <w:tc>
          <w:tcPr>
            <w:tcW w:w="48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0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7080" w:type="dxa"/>
            <w:vAlign w:val="bottom"/>
            <w:gridSpan w:val="4"/>
          </w:tcPr>
          <w:p>
            <w:pPr>
              <w:spacing w:after="0"/>
              <w:rPr>
                <w:sz w:val="15"/>
                <w:szCs w:val="15"/>
                <w:color w:val="auto"/>
              </w:rPr>
            </w:pPr>
          </w:p>
        </w:tc>
        <w:tc>
          <w:tcPr>
            <w:tcW w:w="640" w:type="dxa"/>
            <w:vAlign w:val="bottom"/>
            <w:gridSpan w:val="5"/>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18</w:t>
            </w:r>
          </w:p>
        </w:tc>
        <w:tc>
          <w:tcPr>
            <w:tcW w:w="4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RIGHTS</w:t>
            </w:r>
          </w:p>
        </w:tc>
        <w:tc>
          <w:tcPr>
            <w:tcW w:w="640" w:type="dxa"/>
            <w:vAlign w:val="bottom"/>
            <w:gridSpan w:val="5"/>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20</w:t>
            </w:r>
          </w:p>
        </w:tc>
        <w:tc>
          <w:tcPr>
            <w:tcW w:w="480" w:type="dxa"/>
            <w:vAlign w:val="bottom"/>
            <w:shd w:val="clear" w:color="auto" w:fill="CCEEFF"/>
          </w:tcPr>
          <w:p>
            <w:pPr>
              <w:spacing w:after="0"/>
              <w:rPr>
                <w:sz w:val="17"/>
                <w:szCs w:val="17"/>
                <w:color w:val="auto"/>
              </w:rPr>
            </w:pPr>
          </w:p>
        </w:tc>
      </w:tr>
      <w:tr>
        <w:trPr>
          <w:trHeight w:val="176"/>
        </w:trPr>
        <w:tc>
          <w:tcPr>
            <w:tcW w:w="25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580" w:type="dxa"/>
            <w:vAlign w:val="bottom"/>
            <w:tcBorders>
              <w:top w:val="single" w:sz="8" w:color="CCEEFF"/>
            </w:tcBorders>
            <w:gridSpan w:val="6"/>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4"/>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22</w:t>
            </w:r>
          </w:p>
        </w:tc>
        <w:tc>
          <w:tcPr>
            <w:tcW w:w="48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9"/>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w w:val="99"/>
              </w:rPr>
              <w:t>23</w:t>
            </w:r>
          </w:p>
        </w:tc>
        <w:tc>
          <w:tcPr>
            <w:tcW w:w="480" w:type="dxa"/>
            <w:vAlign w:val="bottom"/>
            <w:tcBorders>
              <w:bottom w:val="single" w:sz="8" w:color="CCEEFF"/>
            </w:tcBorders>
            <w:shd w:val="clear" w:color="auto" w:fill="CCEEFF"/>
          </w:tcPr>
          <w:p>
            <w:pPr>
              <w:spacing w:after="0"/>
              <w:rPr>
                <w:sz w:val="17"/>
                <w:szCs w:val="17"/>
                <w:color w:val="auto"/>
              </w:rPr>
            </w:pPr>
          </w:p>
        </w:tc>
      </w:tr>
      <w:tr>
        <w:trPr>
          <w:trHeight w:val="176"/>
        </w:trPr>
        <w:tc>
          <w:tcPr>
            <w:tcW w:w="101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gridSpan w:val="5"/>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48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gridSpan w:val="5"/>
            <w:shd w:val="clear" w:color="auto" w:fill="CCEEFF"/>
          </w:tcPr>
          <w:p>
            <w:pPr>
              <w:jc w:val="center"/>
              <w:ind w:left="37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480" w:type="dxa"/>
            <w:vAlign w:val="bottom"/>
            <w:shd w:val="clear" w:color="auto" w:fill="CCEEFF"/>
          </w:tcPr>
          <w:p>
            <w:pPr>
              <w:spacing w:after="0"/>
              <w:rPr>
                <w:sz w:val="17"/>
                <w:szCs w:val="17"/>
                <w:color w:val="auto"/>
              </w:rPr>
            </w:pPr>
          </w:p>
        </w:tc>
      </w:tr>
      <w:tr>
        <w:trPr>
          <w:trHeight w:val="675"/>
        </w:trPr>
        <w:tc>
          <w:tcPr>
            <w:tcW w:w="7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22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understand the terms of the securities offered by this prospectus, you should carefully read this prospectus and any applicable prospectus supplement. You should also read the documents referred to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on us and the business conducted by us.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We may also authorize one or more free writing prospectuses to be provided to you that may contain material information relating to these offerings. Any prospectus supplement or free writing prospectus may also add or update information contained in this prospectus. If there is any inconsistency between the information in this prospectus and the applicable prospectus supplement or free writing prospectus, you should rely on the prospectus supplement or free writing prospectus, as applicable. You should read both this prospectus and any prospectus supplement together with additional information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by Reference.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or free writing prospectus.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Navitas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refer, collectively, to Navitas Semiconductor Corporation and its consolidated subsidiaries.</w:t>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and therein contain forward-looking information within the meaning of the safe harbor provisions of the U.S. Private Securities Litigation Reform Act of 1995, which involve risks and uncertainties. The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entitled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the same sections of our subsequently-filed Quarterly Reports on Form 10-Q,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may be further updated by any Current Reports on Form 8-K that we may file. The words “believe,” “expect,” “anticipate,” “project,” “target,” “intend,” “plan,” “seek,” “estimate,” “endeavor,” “should,” “could,” “may” and similar expressions are intended to identify forward-looking statements. However, the absence of these words or similar expressions does not mean that a statement is not forward-looking. You are cautioned not to place undue reliance on these forward-looking statements, which speak only as of the date of the documents that contain them. We undertake no obligation to publicly revise or update forward-looking statements to reflect events or circumstances that arise after those dates, except as may be required under applicable law. Our actual results may differ from the anticipated results or other expectations expressed in such forward-looking statements.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required by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we filed a registration statement relating to the securities offered by this prospectus with the SEC. This prospectus is a part of that registration statement, which includes additional information.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are required to file with the SEC annual, quarterly and current reports, proxy statements and other information. Our SEC filings are available to the public over the Internet at the SEC’s website at http://www.sec.gov. Copies of certain information filed by us with the SEC are also available on our website at https://ir.navitassemi.com. Our website is not a part of this prospectus and the information contained on, or accessible through, our website is not incorporated by reference in this prospectus.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important information into this prospectus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and any accompanying prospectus supplement will be continually updated by those future filings, and those future filings may modify or supersede some of the information included or incorporated by reference in this prospectus and such accompanying prospectus supplements. This means you must review all SEC filings that we incorporate by reference to determine if any of the statements in this prospectus, or in an accompanying prospectus supplement, or in any document previously incorporated by reference, have been modified or superseded by subsequent filings.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filed by us with the SEC and are incorporated by reference into this prospectus:</w:t>
      </w:r>
    </w:p>
    <w:p>
      <w:pPr>
        <w:spacing w:after="0" w:line="225"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2025, filed with the SEC on </w:t>
      </w:r>
      <w:hyperlink r:id="rId27">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as amended by Amendment No. 1 to </w:t>
      </w:r>
      <w:hyperlink r:id="rId28">
        <w:r>
          <w:rPr>
            <w:rFonts w:ascii="Times New Roman" w:cs="Times New Roman" w:eastAsia="Times New Roman" w:hAnsi="Times New Roman"/>
            <w:sz w:val="18"/>
            <w:szCs w:val="18"/>
            <w:u w:val="single" w:color="auto"/>
            <w:color w:val="0000EE"/>
          </w:rPr>
          <w:t>our Annual Report on Form 10-K/A for the fiscal year ended December 31, 2025, filed with the SEC on April 30,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our Quarterly Report on Form 10-Q for the quarter ended March 31, 2026, filed with the SEC on May 5, 2026;</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0">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April 13, 2026</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May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7">
        <w:r>
          <w:rPr>
            <w:rFonts w:ascii="Times New Roman" w:cs="Times New Roman" w:eastAsia="Times New Roman" w:hAnsi="Times New Roman"/>
            <w:sz w:val="18"/>
            <w:szCs w:val="18"/>
            <w:u w:val="single" w:color="auto"/>
            <w:color w:val="0000EE"/>
          </w:rPr>
          <w:t>October 19, 2021</w:t>
        </w:r>
      </w:hyperlink>
      <w:r>
        <w:rPr>
          <w:rFonts w:ascii="Times New Roman" w:cs="Times New Roman" w:eastAsia="Times New Roman" w:hAnsi="Times New Roman"/>
          <w:sz w:val="18"/>
          <w:szCs w:val="18"/>
          <w:color w:val="auto"/>
        </w:rPr>
        <w:t xml:space="preserve">, including any amendments filed for the purpose of updating such description, including </w:t>
      </w:r>
      <w:hyperlink r:id="rId3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2025, as filed with the SEC on February 27, 2026.</w:t>
      </w:r>
    </w:p>
    <w:p>
      <w:pPr>
        <w:spacing w:after="0" w:line="176"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all documents we subsequently file with the SEC (other than any portion of such filings that are furnished under applicable SEC rules rather than filed) pursuant to Sections 13(a), 13(c), 14 and 15(d) of the Exchange Act, after the date of this prospectus and before the later of (1) the completion of the offering of the securities described in this prospectus and any prospectus supplement and (2) the date we stop offering securities pursuant to this prospectus and any prospectus supplement, will be deemed to be incorporated by reference into this prospectus and to be part of this prospectus from the date of filing of such reports and documents.</w:t>
      </w:r>
    </w:p>
    <w:p>
      <w:pPr>
        <w:spacing w:after="0" w:line="183"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the prospectus supplement, any applicable pricing supplement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be deemed not to constitute a part of this prospectus except as so modified or superseded.</w:t>
      </w:r>
    </w:p>
    <w:p>
      <w:pPr>
        <w:spacing w:after="0" w:line="18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each person, including any beneficial owner, to whom a prospectus is delivered, with a copy of all of the information that has been incorporated by reference in this prospectus but not delivered with the prospectus. You may obtain copies of these filings, at no cost, through the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w:t>
      </w:r>
      <w:r>
        <w:rPr>
          <w:rFonts w:ascii="Times New Roman" w:cs="Times New Roman" w:eastAsia="Times New Roman" w:hAnsi="Times New Roman"/>
          <w:sz w:val="18"/>
          <w:szCs w:val="18"/>
          <w:color w:val="auto"/>
        </w:rPr>
        <w:t>” section of our website (https://ir.navitassemi.com) and you may request a copy of these filings (other than an exhibit to any filing unless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incorporated that exhibit by reference into the filing), at no cost, by writing or telephoning us at the following address:</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Navitas Semiconductor Corporation</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3520 Challenger Street</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Torrance, California 90503-1640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(844) 654-2642</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design, develop and market next-generation power semiconductors including gallium nitride (“</w:t>
      </w:r>
      <w:r>
        <w:rPr>
          <w:rFonts w:ascii="Times New Roman" w:cs="Times New Roman" w:eastAsia="Times New Roman" w:hAnsi="Times New Roman"/>
          <w:sz w:val="18"/>
          <w:szCs w:val="18"/>
          <w:i w:val="1"/>
          <w:iCs w:val="1"/>
          <w:color w:val="auto"/>
        </w:rPr>
        <w:t>GaN</w:t>
      </w:r>
      <w:r>
        <w:rPr>
          <w:rFonts w:ascii="Times New Roman" w:cs="Times New Roman" w:eastAsia="Times New Roman" w:hAnsi="Times New Roman"/>
          <w:sz w:val="18"/>
          <w:szCs w:val="18"/>
          <w:color w:val="auto"/>
        </w:rPr>
        <w:t>”) power integrated circuits (“</w:t>
      </w:r>
      <w:r>
        <w:rPr>
          <w:rFonts w:ascii="Times New Roman" w:cs="Times New Roman" w:eastAsia="Times New Roman" w:hAnsi="Times New Roman"/>
          <w:sz w:val="18"/>
          <w:szCs w:val="18"/>
          <w:i w:val="1"/>
          <w:iCs w:val="1"/>
          <w:color w:val="auto"/>
        </w:rPr>
        <w:t>ICs</w:t>
      </w:r>
      <w:r>
        <w:rPr>
          <w:rFonts w:ascii="Times New Roman" w:cs="Times New Roman" w:eastAsia="Times New Roman" w:hAnsi="Times New Roman"/>
          <w:sz w:val="18"/>
          <w:szCs w:val="18"/>
          <w:color w:val="auto"/>
        </w:rPr>
        <w:t>”), high-voltage silicon carbide (“</w:t>
      </w:r>
      <w:r>
        <w:rPr>
          <w:rFonts w:ascii="Times New Roman" w:cs="Times New Roman" w:eastAsia="Times New Roman" w:hAnsi="Times New Roman"/>
          <w:sz w:val="18"/>
          <w:szCs w:val="18"/>
          <w:i w:val="1"/>
          <w:iCs w:val="1"/>
          <w:color w:val="auto"/>
        </w:rPr>
        <w:t>SiC</w:t>
      </w:r>
      <w:r>
        <w:rPr>
          <w:rFonts w:ascii="Times New Roman" w:cs="Times New Roman" w:eastAsia="Times New Roman" w:hAnsi="Times New Roman"/>
          <w:sz w:val="18"/>
          <w:szCs w:val="18"/>
          <w:color w:val="auto"/>
        </w:rPr>
        <w:t>”) devices and associated high-speed silicon system controllers, and digital isolators used in power conversion and charging. We focus on high-power markets including artificial intelligence (“</w:t>
      </w:r>
      <w:r>
        <w:rPr>
          <w:rFonts w:ascii="Times New Roman" w:cs="Times New Roman" w:eastAsia="Times New Roman" w:hAnsi="Times New Roman"/>
          <w:sz w:val="18"/>
          <w:szCs w:val="18"/>
          <w:i w:val="1"/>
          <w:iCs w:val="1"/>
          <w:color w:val="auto"/>
        </w:rPr>
        <w:t>AI</w:t>
      </w:r>
      <w:r>
        <w:rPr>
          <w:rFonts w:ascii="Times New Roman" w:cs="Times New Roman" w:eastAsia="Times New Roman" w:hAnsi="Times New Roman"/>
          <w:sz w:val="18"/>
          <w:szCs w:val="18"/>
          <w:color w:val="auto"/>
        </w:rPr>
        <w:t>”) data centers, energy and grid infrastructure, performance computing and industrial electrification.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 for a cleaner, more connected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Navitas Semiconductor Corporation was originally incorporated as Live Oak Acquisition Corp. II. On October 19, 2021, as part of a series of related transactions (which we refer to as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the registrant acquired all of the equity interests of Navitas Semiconductor Limited, an Irish private company domesticated in Delaware as Navitas Semiconductor Ireland, LLC (collectively, “</w:t>
      </w:r>
      <w:r>
        <w:rPr>
          <w:rFonts w:ascii="Times New Roman" w:cs="Times New Roman" w:eastAsia="Times New Roman" w:hAnsi="Times New Roman"/>
          <w:sz w:val="18"/>
          <w:szCs w:val="18"/>
          <w:i w:val="1"/>
          <w:iCs w:val="1"/>
          <w:color w:val="auto"/>
        </w:rPr>
        <w:t>Legacy Navitas</w:t>
      </w:r>
      <w:r>
        <w:rPr>
          <w:rFonts w:ascii="Times New Roman" w:cs="Times New Roman" w:eastAsia="Times New Roman" w:hAnsi="Times New Roman"/>
          <w:sz w:val="18"/>
          <w:szCs w:val="18"/>
          <w:color w:val="auto"/>
        </w:rPr>
        <w:t>”) and changed the name of the registrant to Navitas Semiconductor Corporation. As a result, Legacy Navitas became a wholly owned subsidiary of Navitas Semiconductor Corporation effective October 19,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any accompanying prospectus supplement or incorporated into any other filings that we make with the SEC.</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investing in our securities, you should carefully read the risk factors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most recent Annual Report on Form 10-K and any subsequent Quarterly Reports on Form 10-Q, the risk factors discussed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accompanying prospectus supplement, and any risk factors discussed in our other filings with the SEC which are incorporated by reference into this prospectus and any accompanying prospectus supplement.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or any subsequent Quarterly Reports on Form 10-Q, any accompanying prospectus supplement or our other filings with the SEC, or if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Please also carefully read the section entitled “</w:t>
      </w:r>
      <w:r>
        <w:rPr>
          <w:rFonts w:ascii="Times New Roman" w:cs="Times New Roman" w:eastAsia="Times New Roman" w:hAnsi="Times New Roman"/>
          <w:sz w:val="18"/>
          <w:szCs w:val="18"/>
          <w:i w:val="1"/>
          <w:iCs w:val="1"/>
          <w:color w:val="auto"/>
        </w:rPr>
        <w:t>Cautionary Statement About Forward-Looking Statements</w:t>
      </w:r>
      <w:r>
        <w:rPr>
          <w:rFonts w:ascii="Times New Roman" w:cs="Times New Roman" w:eastAsia="Times New Roman" w:hAnsi="Times New Roman"/>
          <w:sz w:val="18"/>
          <w:szCs w:val="18"/>
          <w:color w:val="auto"/>
        </w:rPr>
        <w:t>” included in our most recent Annual Report on Form 10-K and any subsequent Quarterly Reports on Form 10-Q. See “</w:t>
      </w:r>
      <w:r>
        <w:rPr>
          <w:rFonts w:ascii="Times New Roman" w:cs="Times New Roman" w:eastAsia="Times New Roman" w:hAnsi="Times New Roman"/>
          <w:sz w:val="18"/>
          <w:szCs w:val="18"/>
          <w:i w:val="1"/>
          <w:iCs w:val="1"/>
          <w:color w:val="auto"/>
        </w:rPr>
        <w:t>Incorporation of Certain Documents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to learn how we disclose Risk Factors and other information in this prospectus by referring you to other documents, and how you can access those documents.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which may be offered pursuant to this prospectus. Unless otherwise provided in the applicable prospectus supplement, we intend to use the net proceeds from the sale of the securities under this prospectus primarily for working capital and general corporate purposes to support our growth. More detailed information regarding the use of proceeds from any particular sale of securities pursuant to this prospectus may be included in the applicable prospectus supplement.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second amended and restated certificate of incorporation (the “</w:t>
      </w:r>
      <w:r>
        <w:rPr>
          <w:rFonts w:ascii="Times New Roman" w:cs="Times New Roman" w:eastAsia="Times New Roman" w:hAnsi="Times New Roman"/>
          <w:sz w:val="18"/>
          <w:szCs w:val="18"/>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are summaries and are qualified by reference to the Certificate of Incorporation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that are on file with the SEC. You should read these documents in full for complete information on our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Certificate of Incorporation authorizes us to issue 751,000,000 shares, consisting of (a) 750,000,000 shares of common stock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including (i) 740,000,000 shares of Class A common stock (the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and (ii) 10,000,000 shares of Class B common stock (the “</w:t>
      </w: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 Common Stock</w:t>
      </w:r>
      <w:r>
        <w:rPr>
          <w:rFonts w:ascii="Times New Roman" w:cs="Times New Roman" w:eastAsia="Times New Roman" w:hAnsi="Times New Roman"/>
          <w:sz w:val="18"/>
          <w:szCs w:val="18"/>
          <w:color w:val="auto"/>
        </w:rPr>
        <w:t>”), and (b) 1,000,000 shares of preferred stock (the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Each holder of Class A Common Stock is entitled to one vote per share held. Except as otherwise required by the certificate of incorporation or by applicable law, holders of Class A Common Stock vote together as a single class on all matters on which stockholders are generally entitled to vote.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will generally serve for a term of three years with only one class of directors being elected each year. There is no cumulative voting in the election of directors. As a result, holders of more than 50% of shares eligible to vote in the election of directors can elect all of the directors.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Dividend rights</w:t>
      </w:r>
      <w:r>
        <w:rPr>
          <w:rFonts w:ascii="Times New Roman" w:cs="Times New Roman" w:eastAsia="Times New Roman" w:hAnsi="Times New Roman"/>
          <w:sz w:val="18"/>
          <w:szCs w:val="18"/>
          <w:color w:val="auto"/>
        </w:rPr>
        <w:t>. Subject to any other provisions of our certificate of incorporation, each holder of Class A Common Stock is entitled to receive, in proportion to the number of shares of Class A Common Stock held, such dividends and other distributions in cash, stock or property when, as and if declared by our board from time to time out of assets or funds of the company legally available therefor.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Rights upon liquidation</w:t>
      </w:r>
      <w:r>
        <w:rPr>
          <w:rFonts w:ascii="Times New Roman" w:cs="Times New Roman" w:eastAsia="Times New Roman" w:hAnsi="Times New Roman"/>
          <w:sz w:val="18"/>
          <w:szCs w:val="18"/>
          <w:color w:val="auto"/>
        </w:rPr>
        <w:t>. In the event of any liquidation, dissolution or winding up (either voluntary or involuntary) of the company, after payments to creditors that may at the time be outstanding, and subject to the rights of any holders of preferred stock that may then be outstanding, holders of shares of the Class A Common Stock will be entitled to receive, ratably in proportion to the number of shares of Class A Common Stock held, all remaining assets of the company available for distribution.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of directors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The issuance of preferred stock could have the effect of decreasing the trading price of the Class A Common Stock, restricting dividends on our capital stock, diluting the voting power of the Class A Common Stock, impairing the liquidation rights of our capital stock, or delaying or preventing a change in control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8, 2026, we had 21 holders of record of our Common Stock.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Annual Stockholders’ Meetings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bylaws provide that annual stockholder meetings will be held at a date, time and place, if any, as exclusively selected by our board. To the extent permitted under applicable law, our board may conduct meetings by remote communications. 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in the annual proxy statement. Our Certificate of Incorporation specifies certain requirements as to the form and content of a stockholders’ meeting. These provisions may preclude stockholders from bringing matters before our annual meeting of stockholders or from making nominations for directors at our annual meeting of stockholders. Our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the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the Class A Common Stock remains listed on Nasdaq, require stockholder approval of certain issuances equal to or exceeding 20% of the then-outstanding voting power or then-outstanding number of shares of the Class A Common Stock. Additional shares that may be issued in the future may be used for a variety of corporate purposes, including future public offerings, to raise additional capital or to facilitate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the Class A Common Stock at prices higher than prevailing market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only by the chairman of our board, our chief executive officer or our board pursuant to a resolution adopted by a majority of our board. Our stockholders are not eligible and have no right to call a special meeting of stockholders.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the Certificate of Incorporation or the Bylaws, any action required or permitted to be taken at any meeting of our board or of any committee thereof may be taken without a meeting, if all members of our board or committee thereof, as the case may be, consent thereto in writing or by electronic transmission, and the writing or writings or electronic transmission or transmissions (or paper reproductions thereof) are filed with the minutes of proceedings of our board or committee thereof.</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Bylaws may be amended, altered or repealed (i) by the affirmative vote of a majority of our entire board; or (ii) by the affirmative vote of the holders of at least a majority of the voting power of the shares entitled to vote at an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requires that derivative actions brought in the name of the company, actions against directors, officers and other employees for breach of fiduciary duty and other similar actions may be brought only in the Court of Chancery in the State of Delaware and, if brought outside of Delaware, the stockholder bringing the suit will, subject to certain exceptions,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Although we believe this provision benefits us by providing increased consistency in the application of Delaware law in the types of lawsuits to which it applies, the provision may have the effect of discouraging lawsuits against our directors, officers and other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“NVTS.”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1 State Street, 30th Floor, New York, New York 10004.</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securities that we may offer by this prospectus consist of notes, debentures, or other evidences of indebtedness. The debt securities may constitute either senior or subordinated debt securities, and in either case may be either secured or unsecured. Any debt securities that we offer and sell will be our direct obligations. Debt securities may be issued in one or more series. All debt securities of any one series need not be issued at the same time, and unless otherwise provided, a series of debt securities may be reopened, with the required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The form of indenture has been filed as an exhibit to the registration statement of which this prospectus is a part and is subject to any amendments or supplements that we may enter into with the trustee(s), however, we may issue debt securities not subject to the indenture provided such terms of debt securities are not otherwise required to be set forth in the indenture.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w:t>
      </w:r>
    </w:p>
    <w:p>
      <w:pPr>
        <w:spacing w:after="0" w:line="192"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including, as applicable, whether the debt securities will be issued as senior debt securities, senior subordinated debt securities or subordinated debt securities, any subordination provisions particular to the series of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applicable subordination provisions,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or unsecured;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100% of the aggregate principal amount, the percentage of the aggregate principal amount at which we will sell the debt securities, such as an original issuance discount;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whether fixed or extendable,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interest on the debt securities will be payable and where the debt securities may be surrendered for conversion or exchange;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at our option, redeem the debt securities, and if so, the price or prices at which, the period or periods within which, and the terms and conditions upon which, we may redeem the debt securities, in whole or in part, pursuant to any sinking fund or otherwise;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may have to redeem, purchase or repay the debt securities pursuant to any sinking fund or analogous provisions or at the option of a holder of debt securities, and the price or prices at which, the currency in which and the period or periods within which, and the terms and conditions upon which, the debt securities will be redeemed, purchased or repaid, in whole or in part, pursuant to any such obligation, and any provision for the remarketing of the debt securities;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debt securities as registered securities or unregistered securities or both, and the rights of the holders of the debt securities to exchange unregistered securities for registered securities, or vice versa, and the circumstances under which any such exchanges, if permitted, may be made;</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which may be in United States dollars or in any foreign currency, in which the debt securities will be issued, if other than denominations of $1,000 and any integral multiple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United States dollars, the currency or currencies in which payments of principal, interest and other amounts payable with respect to the debt securities will be denominated, payable, redeemable or repurchasable, as the case may be;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may be issuable in tranches;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conversion price or exchange ratio), and any limitations on the ownership or transferability of the securities or property into which the debt securities may be converted or exchanged;</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under the indenture, any trustees, authenticating or paying agents, transfer agents or registrars or any other agents with respect to the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with respect to the debt securities or the right of the Trustee or the holders of the debt securities in connection with events of default;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covenants with respect to the debt securities;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and make-whole amount, if any, and interest on the debt securities may be determined with reference to an index, the manner in which such amount will be determined;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under what circumstances and the currency in which, we will pay additional amounts on the debt securities to any holder of the debt securities who is not a United States person in respect of any tax, assessment or governmental charge and, if so, whether we will have the option to redeem such debt securities rather than pay such additional amounts, and the terms of any such option;</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secured by any collateral and, if so, a general description of the collateral and the terms of any related security, pledge or other agreements;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any interest on the debt securities will be payable, if other than the registered holders thereof on the regular record date therefor; and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upon which the debt securities will be issued.</w:t>
      </w:r>
    </w:p>
    <w:p>
      <w:pPr>
        <w:spacing w:after="0" w:line="200" w:lineRule="exact"/>
        <w:rPr>
          <w:sz w:val="20"/>
          <w:szCs w:val="20"/>
          <w:color w:val="auto"/>
        </w:rPr>
      </w:pPr>
    </w:p>
    <w:p>
      <w:pPr>
        <w:spacing w:after="0" w:line="24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calendar day that is not a Saturday, Sunday or legal holiday in New York, New York, and on which the trustee and commercial banks are open for business in New York, New York.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prospectus supplement, each series of our senior debt securities will rank equally in right of payment with all of our other unsubordinated debt. The subordinated debt securities will rank junior in right of payment and be subordinate to all of our unsubordinated debt.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trustee will act as paying agent and registrar for the debt securities under the indenture. We may act as paying agent under the indenture.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will contain a description of United States federal income tax consequences relating to the debt securities, to the extent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any covenants, such as restrictive covenants restricting us or our subsidiaries, if any, from incurring, issuing, assuming or guarantying any indebtedness or restricting us or our subsidiaries, if any, from paying dividends or acquiring any of our or its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Transfer of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indenture permits a consolidation or merger between us and another entity and/or the sale, conveyance or lease by us of all or substantially all of our property and assets, provided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or acquiring entity, if other than us, is organized and existing under the laws of a United States jurisdiction and assumes all of our responsibilities and liabilities under the indenture, including the payment of all amounts due on the debt securities and performance of the covenants in the indenture;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and giving effect to the transaction, no event of default under the indenture exists;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may transfer all of our property and assets to another entity if, immediately after giving effect to the transfer, such entity is our wholly owned subsidiary. The term “</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means any subsidiary in which we and/or our other wholly owned subsidiaries, if any, own all of the outstanding capital stock.</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stated maturity date of any payment of principal or interest;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principal amount of or interest on any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alteration or impairment of any right to convert at the rate or upon the terms provided in the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currency in which any payment on the debt securities is payable;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a holder’s right to sue us for the enforcement of payments due on the debt securities;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percentage of outstanding debt securities required to consent to a modification or amendment of the indenture or required to consent to a waiver of compliance with certain provisions of the indenture or certain defaults under the indenture.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indenture, the holders of not less than a majority in aggregate principal amount of the outstanding debt securities may, on behalf of all holders of the debt securities:</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by us with certain restrictive provisions of the indenture;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past default under the indenture in accordance with the applicable provisions of the indenture, except a default in the payment of the principal of or interest on any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under the indenture will mean, with respect to any series of debt securities, any of the following:</w:t>
      </w:r>
    </w:p>
    <w:p>
      <w:pPr>
        <w:spacing w:after="0" w:line="16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debt security for 30 days after the payment is due;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the principal of any debt security when due, either at maturity, upon redemption, by declaration or otherwise;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observe or perform any other covenant or agreement in the indenture that applies to the debt securities for 90 days after we have received written notice of the failure to perform in the manner specified in the indenture;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 Upon an Event of Default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in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lapse of time or both would become, an event of default under the indenture.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upon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of a debt security will have the right to begin any proceeding with respect to the indenture or for any remedy only if:</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the trustee written notice of a continuing event of default;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a majority in aggregate principal amount of the outstanding debt securities have made a written request of, and offered reasonable indemnity to, the trustee to begin such proceeding;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started such proceeding within 60 days after receiving the request;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under the indenture.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the holder of any debt security will have an absolute right to receive payment of principal of and interest on the debt security when due and to institute suit to enforce this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Unless otherwise indicated in the applicable prospectus supplement, if at any time,</w:t>
      </w:r>
    </w:p>
    <w:p>
      <w:pPr>
        <w:spacing w:after="0" w:line="227"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the principal of and interest on all the debt securities of any series, except for debt securities which have been destroyed, lost or stolen and which have been replaced or paid in accordance with the indenture, as and when the same shall have become due and payable,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for cancellation all debt securities of any series theretofore authenticated, except for debt securities of such series which have been destroyed, lost or stolen and which have been replaced or paid as provided in the indenture,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such series not theretofore delivered to the trustee for cancellation have become due and payable, or are by their terms are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indenture shall cease to be of further effect with respect to the debt securities of such series, except for:</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registration of transfer and exchange, and our right of optional redemption;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mutilated, defaced, destroyed, lost or stolen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to receive payments of principal thereof and interest thereon upon the original stated due dates therefor (but not upon acceleration) and remaining rights of the holders to receive mandatory sinking fund payments,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obligations and immunities of the trustee under the indenture; and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such series of debt securities as beneficiaries thereof with respect to the property so deposited with the trustee payable to all or any of them.</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and Covenant Defeasance. </w:t>
      </w:r>
      <w:r>
        <w:rPr>
          <w:rFonts w:ascii="Times New Roman" w:cs="Times New Roman" w:eastAsia="Times New Roman" w:hAnsi="Times New Roman"/>
          <w:sz w:val="18"/>
          <w:szCs w:val="18"/>
          <w:color w:val="auto"/>
        </w:rPr>
        <w:t>Unless otherwise indicated in the applicable prospectus supplement, we may elect with respect to any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of any series either:</w:t>
      </w:r>
    </w:p>
    <w:p>
      <w:pPr>
        <w:spacing w:after="0" w:line="160"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all of our obligations with respect to such debt securities (“defeasance”), with certain exceptions described below;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must comply with the following conditions before the defeasance or covenant defeasance can be effected:</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an opinion of counsel to the effect that the holders of such debt securities will not recognize income, gain or loss for federal income tax purposes as a result of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defeasance, any irrevocable trust agreement contemplated by the indenture must include, among other things, provision for:</w:t>
      </w:r>
    </w:p>
    <w:p>
      <w:pPr>
        <w:spacing w:after="0" w:line="225"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of and interest on such debt securities, if any, appertaining thereto when due (by redemption, sinking fund payments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expenses of the trustee incurred or to be incurred in connection with carrying out such trust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registration, transfer, substitution and exchange of such debt securities in accordance with the terms stated in the indenture,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rights, obligations and immunities of the trustee as against the holders of such debt securities as stated in the indenture.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prospectus supplement may further describe any provisions permitting or restricting defeasance or covenant defeasance with respect to the debt securities of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particular terms of a series of debt securities will be described in a prospectus supplement relating to such series of debt securities. Any indentures will be subject to and governed by the Trust Indenture Act of 1939, as amended, and may be supplemented or amended from time to time following their execution. Unless otherwise stated in the applicable prospectus supplement, we will not be limited in the amount of debt securities that we may issue, and neither the senior debt securities nor the subordinated debt securities will be secured by any of our property or assets. Thus, by owning debt securities, you are one of our unsecured creditors.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maintain deposit accounts and conduct other banking transactions with the trustee to be appointed under the indenture or its affiliates in the ordinary course of business.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general terms of capital stock and debt warrants that we may offer. The particular terms of any capital stock and debt warrants will be described in an accompanying prospectus supplement. The description below and in any accompanying prospectus supplement is not complete. You should read the form of warrant agreement and any warrant certificate that we will file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offer capital stock warrants, the prospectus supplement will describe the terms of the capital stock warrants, including:</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any preferred stock purchasable upon exercise of preferred stock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exercise of one capital stock warrant and the initial price at which the shares may be purchased upon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stock warrants begins and expires;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provisions,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offering price and exercise price are payable;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antidilution provisions of the capital stock warrants.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shares of common stock or preferred stock we issue upon exercise of the capital stock warrants will, when issued in accordance with the stock warrant agreement, be validly issued, fully paid and nonassessable.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 to Purchase Capital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may exercise capital stock warrants by surrendering to the capital stock warrant agent the capital stock warrant certificate, which indicates your election to exercise all or a portion of the capital stock warrants evidenced by the certificate. Surrendered capital stock warrant certificates must be accompanied by payment of the exercise price in the form of cash or check. The capital stock warrant agent will deliver certificates evidencing duly exercised capital stock warrants to the transfer agent. Upon receipt of the certificates, the transfer agent will deliver a certificate representing the number of shares of common stock or preferred stock purchased. If you exercise fewer than all the capital stock warrants evidenced by any certificate, the capital stock warrant agent will deliver a new capital stock warrant certificate representing the unexercised stock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capital stock warrants are not entitled to vote, to consent, to receive dividends or to receive notice as stockholders with respect to any meeting of stockholders or to exercise any rights whatsoever as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to Purchase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offer debt warrants, the accompanying prospectus supplement will describe the terms of the debt warrants,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terms of the debt securities purchasable upon exercise of the debt warrants and the terms of the indenture under which the debt securities will be issued;</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with which the debt warrants are issued and the number of debt warrants issued with each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debt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one debt warrant, and the price at which the principal amount of debt securities may be purchased upon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begins and expires;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offering price and exercise price are payable;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antidilution provisions.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exchange debt warrant certificates for new debt warrant certificates of different denominations and may present debt warrant certificates for registration of transfer at the corporate trust office of the debt warrant agent, which will be listed in an accompanying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 to Purchase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exercise debt warrants by surrendering the debt warrant certificate at the corporate trust office of the debt warrant agent, with payment in full of the exercise price. Upon the exercise of debt warrants, the debt warrant agent will, as soon as practicable, deliver the debt securities in authorized denominations in accordance with your instructions and at your sole cost and risk. If less than all the debt warrants evidenced by the debt warrant certificate are exercised, the agent will issue a new debt warrant certificate for the remaining amount of debt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Holders of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warrantholders do not have any of the rights of holders of debt securities, except to the extent that the consent of warrantholders may be required for certain modifications of the terms of an indenture or form of the debt security, as the case may be, and the series of debt securities issuable upon exercise of the debt warrants. In addition, debt warrantholders are not entitled to payments of principal of and interest, if any, on the debt securities.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or distribute rights to our stockholders for the purchase of shares of our common stock, preferred stock or debt securities. We may issue rights independently or together with other securities, and the rights may be attached to or separate from any offered or distributed securities and may or may not be transferable by the stockholder receiving the rights. In connection with any offering of rights, we may enter into a standby underwriting, backstop or other arrangement with one or more underwriters or other persons pursuant to which the underwriters or other persons may agree to purchase any securities remaining unsubscribed for after such rights offering. Each series of rights will be issued under a separate rights agreement to be entered into between us and a bank or trust company, as rights agent, all as set forth in an accompanying prospectus supplement relating to the particular issue of rights. The rights agent will act solely as an agent of the Company in connection with the certificates relating to the rights of such series and will not assume any obligation or relationship of agency or trust for or with any holders of rights certificates or beneficial owners of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rights are subject to, and qualified in their entirety by reference to, all the provisions of the certificates representing rights applicable to a particular series of rights. The terms of any rights offered or distributed under an accompanying prospectus supplement may differ from the terms described below. We urge you to read the accompanying prospectus supplement as well as the complete certificates representing the rights that contain the terms of the rights. The particular terms of any issue of rights will be described in an accompanying prospectus supplement relating to the issue, and may include:</w:t>
      </w:r>
    </w:p>
    <w:p>
      <w:pPr>
        <w:spacing w:after="0" w:line="18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distribution of rights to our stockholders, the date for determining the stockholders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distribution of rights to our stockholders, the number of rights issued or to be issued to each stockholder;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preferred stock or debt securities purchasable upon exercise of such rights and the exercise price;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being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ability to exercise such rights shall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such rights, including terms, procedures and limitations relating to the distribution, exchange and exercise of such rights;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backstop or purchase arrangement which may be entered into by the Company in connection with the offering, issuance or distribution of rights.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number of shares of common stock or preferred stock or the principal amount of debt securities at the exercise price provided in the accompanying prospectus supplement. Rights may be exercised at any time up to the close of business on the expiration date for the rights provided in the accompanying prospectus supplement. After the close of business on the expiration date, all unexercised rights will be void and of no further force and effect.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Holders may exercise rights as described in the accompanying prospectus supplement. Upon receipt of payment and the rights certificate properly completed and duly executed at the corporate trust office of the rights agent or any other office indicated in an accompanying prospectus supplement, we will, as soon as practicable, forward the shares of common stock or preferred stock or principal amount of debt securities purchased upon exercise of the rights. If less than all of the rights issued in any rights offering are exercised, we may offer any unsubscribed shares of common stock or preferred stock or principal amount of debt securities directly to persons, which may be to or through agents, underwriters or dealers or through a combination of such methods, including pursuant to standby underwriting arrangements, as described in the accompanying prospectus supplement.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any rights to purchase common stock or preferred stock are exercised, the holders of the any rights will not have any rights of holders of the underlying common stock or preferred stock, including any rights to receive dividends or payments upon any liquidation, dissolution or winding up on the common stock or preferred stock, if any. Until any rights to purchase debt securities are exercised, the holder of any rights will not have any rights of holders of the debt securities that can be purchased upon exercise, including any rights to receive payments of principal, premium or interest on the underlying debt securities or to enforce covenants in the applicable indenture.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may be specified in an accompanying prospectus supplement, we may issue units consisting of one or more of our securities registered hereby. An accompanying prospectus supplement will describe:</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units and of the securities comprising the units, including whether and under what circumstances the securities comprising the units may be traded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and sell the securities in any one or more of the following ways: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brokers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other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on a best-efforts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method that is deemed an “at the market offering” as defined in Rule 415(a)(4) under the Securities Act;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through a combination of any of the above methods of sale.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involving short sales of the shares of common stock by underwriters, brokers or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shares of Common Stock short and deliver the shares to close out short positions;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option or other types of transactions that require us to deliver shares of Common Stock to an underwriter, broker or dealer, who will then resell or transfer the shares of Common Stock under this prospectus;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pledge the shares of Common Stock to an underwriter, broker or dealer, who may sell the loaned shares or, in the event of default, sell the pledged shares.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time we sell securities, we will provide a prospectus supplement that will name any underwriter, dealer or agent involved in the offer and sale of the securities. The prospectus supplement will also set forth the terms of the offering, including:</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or purchase price and any discounts or commissions allowed or re-allowed or paid to dealers;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allowed or paid to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offering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agreement, arrangement or understanding entered into with the underwriters, brokers or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we think is important.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The securities may be sold from time to time by us in one or more transactions:</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varying prices determined at the time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sales may be effected:</w:t>
      </w:r>
    </w:p>
    <w:p>
      <w:pPr>
        <w:spacing w:after="0" w:line="22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other types of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shares of Common Stock covered by this prospectus that qualify for sale pursuant to Rule 144 under the Securities Act may be sold under Rule 144 rather than pursuant to this prospectus. Any shares of Class A Common Stock offered under this prospectus will be listed on Nasdaq (or other such exchange or automated quotation system on which the Class A Common Stock is listed), subject to official notice of issuance.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8"/>
          <w:szCs w:val="18"/>
          <w:color w:val="auto"/>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savings 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charitable institutions.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any restrictions relating to debt securities in bearer form, any securities initially sold outside the United States may be resold in the United States through underwriters, dealers or otherwise.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underwriters to which offered securities are sold by us for public offering and sale may make a market in such securities, but those underwriters will not be obligated to do so and may discontinue any market making at any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anticipated date of delivery of the securities offered by this prospectus will be described in the applicable prospectus supplement relating to the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certain legal matters will be passed upon for us by Cozen O’Connor, New York, New York. If legal matters in connection with offerings made pursuant to this prospectus are passed upon by counsel for underwriters, dealers or agents, if any, such counsel will be named in the prospectus supplement relating to such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as of December, 31, 2025 and for the year then ended, incorporated in this prospectus by reference from our </w:t>
      </w:r>
      <w:hyperlink r:id="rId27">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have been audited by KPMG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180"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the Company as of December, 31, 2024 and for the year then ended, incorporated in this prospectus by reference from our </w:t>
      </w:r>
      <w:hyperlink r:id="rId27">
        <w:r>
          <w:rPr>
            <w:rFonts w:ascii="Times New Roman" w:cs="Times New Roman" w:eastAsia="Times New Roman" w:hAnsi="Times New Roman"/>
            <w:sz w:val="18"/>
            <w:szCs w:val="18"/>
            <w:u w:val="single" w:color="auto"/>
            <w:color w:val="0000EE"/>
          </w:rPr>
          <w:t>Annual Report on Form 10-K for the fiscal year ended December 31, 2025</w:t>
        </w:r>
      </w:hyperlink>
      <w:r>
        <w:rPr>
          <w:rFonts w:ascii="Times New Roman" w:cs="Times New Roman" w:eastAsia="Times New Roman" w:hAnsi="Times New Roman"/>
          <w:sz w:val="18"/>
          <w:szCs w:val="18"/>
          <w:color w:val="auto"/>
        </w:rPr>
        <w:t>,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997585</wp:posOffset>
            </wp:positionV>
            <wp:extent cx="2168525" cy="4883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Navitas Semiconductor Corporation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Up to $125,000,000</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688340</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150495</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40"/>
        <w:spacing w:after="0"/>
        <w:tabs>
          <w:tab w:leader="none" w:pos="6100" w:val="left"/>
        </w:tabs>
        <w:rPr>
          <w:sz w:val="20"/>
          <w:szCs w:val="20"/>
          <w:color w:val="auto"/>
        </w:rPr>
      </w:pPr>
      <w:r>
        <w:rPr>
          <w:rFonts w:ascii="Times New Roman" w:cs="Times New Roman" w:eastAsia="Times New Roman" w:hAnsi="Times New Roman"/>
          <w:sz w:val="25"/>
          <w:szCs w:val="25"/>
          <w:b w:val="1"/>
          <w:bCs w:val="1"/>
          <w:color w:val="auto"/>
        </w:rPr>
        <w:t>Craig-Hallum</w:t>
      </w:r>
      <w:r>
        <w:rPr>
          <w:sz w:val="20"/>
          <w:szCs w:val="20"/>
          <w:color w:val="auto"/>
        </w:rPr>
        <w:tab/>
      </w:r>
      <w:r>
        <w:rPr>
          <w:rFonts w:ascii="Times New Roman" w:cs="Times New Roman" w:eastAsia="Times New Roman" w:hAnsi="Times New Roman"/>
          <w:sz w:val="25"/>
          <w:szCs w:val="25"/>
          <w:b w:val="1"/>
          <w:bCs w:val="1"/>
          <w:color w:val="auto"/>
        </w:rPr>
        <w:t>UBS Investment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jpe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jpe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27" Type="http://schemas.openxmlformats.org/officeDocument/2006/relationships/hyperlink" Target="http://www.sec.gov/ix?doc=/Archives/edgar/data/1821769/000182176926000007/nvts-20251231.htm" TargetMode="External"/><Relationship Id="rId28" Type="http://schemas.openxmlformats.org/officeDocument/2006/relationships/hyperlink" Target="http://www.sec.gov/ix?doc=/Archives/edgar/data/1821769/000110465926052971/nvts-20251231x10ka.htm" TargetMode="External"/><Relationship Id="rId29" Type="http://schemas.openxmlformats.org/officeDocument/2006/relationships/hyperlink" Target="http://www.sec.gov/ix?doc=/Archives/edgar/data/1821769/000162828026030524/nvts-20260331.htm" TargetMode="External"/><Relationship Id="rId30" Type="http://schemas.openxmlformats.org/officeDocument/2006/relationships/hyperlink" Target="http://www.sec.gov/ix?doc=/Archives/edgar/data/1821769/000182176926000003/i-20260224.htm" TargetMode="External"/><Relationship Id="rId31" Type="http://schemas.openxmlformats.org/officeDocument/2006/relationships/hyperlink" Target="http://www.sec.gov/ix?doc=/Archives/edgar/data/1821769/000110465926019220/tm267059d1_8k.htm" TargetMode="External"/><Relationship Id="rId32" Type="http://schemas.openxmlformats.org/officeDocument/2006/relationships/hyperlink" Target="http://www.sec.gov/ix?doc=/Archives/edgar/data/1821769/000110465926026385/tm268482d1_8k.htm" TargetMode="External"/><Relationship Id="rId33" Type="http://schemas.openxmlformats.org/officeDocument/2006/relationships/hyperlink" Target="http://www.sec.gov/ix?doc=/Archives/edgar/data/1821769/000110465926029469/tm269070d1_8k.htm" TargetMode="External"/><Relationship Id="rId34" Type="http://schemas.openxmlformats.org/officeDocument/2006/relationships/hyperlink" Target="http://www.sec.gov/ix?doc=/Archives/edgar/data/1821769/000110465926042619/tm2611717d1_8k.htm" TargetMode="External"/><Relationship Id="rId35" Type="http://schemas.openxmlformats.org/officeDocument/2006/relationships/hyperlink" Target="http://www.sec.gov/ix?doc=/Archives/edgar/data/1821769/000110465926054482/tm2613278d1_8k.htm" TargetMode="External"/><Relationship Id="rId36" Type="http://schemas.openxmlformats.org/officeDocument/2006/relationships/hyperlink" Target="http://www.sec.gov/ix?doc=/Archives/edgar/data/1821769/000110465926055620/tm2613492d1_8k.htm" TargetMode="External"/><Relationship Id="rId37" Type="http://schemas.openxmlformats.org/officeDocument/2006/relationships/hyperlink" Target="http://www.sec.gov/Archives/edgar/data/1821769/000119312521301974/d242787d8a12b.htm" TargetMode="External"/><Relationship Id="rId38" Type="http://schemas.openxmlformats.org/officeDocument/2006/relationships/hyperlink" Target="http://www.sec.gov/Archives/edgar/data/1821769/000182176924000024/exhibit41-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2026-05-11T16:14:57Z</dcterms:created>
  <dcterms:modified xsi:type="dcterms:W3CDTF">2026-05-11T16:14:57Z</dcterms:modified>
</cp:coreProperties>
</file>