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9"/>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8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1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Singh Ranbir</w:t>
              </w:r>
            </w:hyperlink>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Navitas Semiconductor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NVTS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1560" w:type="dxa"/>
            <w:vAlign w:val="bottom"/>
            <w:gridSpan w:val="6"/>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3"/>
            <w:vMerge w:val="continue"/>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320" w:type="dxa"/>
            <w:vAlign w:val="bottom"/>
          </w:tcPr>
          <w:p>
            <w:pPr>
              <w:spacing w:after="0"/>
              <w:rPr>
                <w:sz w:val="4"/>
                <w:szCs w:val="4"/>
                <w:color w:val="auto"/>
              </w:rPr>
            </w:pPr>
          </w:p>
        </w:tc>
        <w:tc>
          <w:tcPr>
            <w:tcW w:w="52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560" w:type="dxa"/>
            <w:vAlign w:val="bottom"/>
            <w:gridSpan w:val="6"/>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continue"/>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0000EE"/>
            </w:tcBorders>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2"/>
                <w:szCs w:val="2"/>
                <w:color w:val="auto"/>
              </w:rPr>
            </w:pPr>
          </w:p>
        </w:tc>
        <w:tc>
          <w:tcPr>
            <w:tcW w:w="160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20" w:type="dxa"/>
            <w:vAlign w:val="bottom"/>
            <w:gridSpan w:val="3"/>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2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7"/>
              </w:rPr>
              <w:t>X</w:t>
            </w: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6"/>
                <w:szCs w:val="6"/>
                <w:color w:val="auto"/>
              </w:rPr>
            </w:pPr>
          </w:p>
        </w:tc>
        <w:tc>
          <w:tcPr>
            <w:tcW w:w="1600" w:type="dxa"/>
            <w:vAlign w:val="bottom"/>
            <w:gridSpan w:val="5"/>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60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420" w:type="dxa"/>
            <w:vAlign w:val="bottom"/>
            <w:gridSpan w:val="3"/>
            <w:vMerge w:val="restart"/>
          </w:tcPr>
          <w:p>
            <w:pPr>
              <w:ind w:left="140"/>
              <w:spacing w:after="0"/>
              <w:rPr>
                <w:sz w:val="20"/>
                <w:szCs w:val="20"/>
                <w:color w:val="auto"/>
              </w:rPr>
            </w:pPr>
            <w:r>
              <w:rPr>
                <w:rFonts w:ascii="Arial" w:cs="Arial" w:eastAsia="Arial" w:hAnsi="Arial"/>
                <w:sz w:val="13"/>
                <w:szCs w:val="13"/>
                <w:color w:val="auto"/>
              </w:rPr>
              <w:t>(Middle)</w:t>
            </w: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gridSpan w:val="2"/>
            <w:vMerge w:val="continue"/>
          </w:tcPr>
          <w:p>
            <w:pPr>
              <w:spacing w:after="0"/>
              <w:rPr>
                <w:sz w:val="3"/>
                <w:szCs w:val="3"/>
                <w:color w:val="auto"/>
              </w:rPr>
            </w:pPr>
          </w:p>
        </w:tc>
        <w:tc>
          <w:tcPr>
            <w:tcW w:w="1140" w:type="dxa"/>
            <w:vAlign w:val="bottom"/>
            <w:gridSpan w:val="2"/>
            <w:vMerge w:val="restart"/>
          </w:tcPr>
          <w:p>
            <w:pPr>
              <w:ind w:left="18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3"/>
                <w:szCs w:val="3"/>
                <w:color w:val="auto"/>
              </w:rPr>
            </w:pPr>
          </w:p>
        </w:tc>
        <w:tc>
          <w:tcPr>
            <w:tcW w:w="820" w:type="dxa"/>
            <w:vAlign w:val="bottom"/>
            <w:gridSpan w:val="2"/>
            <w:vMerge w:val="restart"/>
          </w:tcPr>
          <w:p>
            <w:pPr>
              <w:ind w:left="34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Pr>
          <w:p>
            <w:pPr>
              <w:spacing w:after="0"/>
              <w:rPr>
                <w:sz w:val="11"/>
                <w:szCs w:val="11"/>
                <w:color w:val="auto"/>
              </w:rPr>
            </w:pPr>
          </w:p>
        </w:tc>
        <w:tc>
          <w:tcPr>
            <w:tcW w:w="298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vMerge w:val="continue"/>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80" w:type="dxa"/>
            <w:vAlign w:val="bottom"/>
            <w:gridSpan w:val="7"/>
            <w:vMerge w:val="continue"/>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60" w:type="dxa"/>
            <w:vAlign w:val="bottom"/>
            <w:gridSpan w:val="4"/>
            <w:vMerge w:val="restart"/>
          </w:tcPr>
          <w:p>
            <w:pPr>
              <w:ind w:left="420"/>
              <w:spacing w:after="0"/>
              <w:rPr>
                <w:sz w:val="20"/>
                <w:szCs w:val="20"/>
                <w:color w:val="auto"/>
              </w:rPr>
            </w:pPr>
            <w:r>
              <w:rPr>
                <w:rFonts w:ascii="Times New Roman" w:cs="Times New Roman" w:eastAsia="Times New Roman" w:hAnsi="Times New Roman"/>
                <w:sz w:val="17"/>
                <w:szCs w:val="17"/>
                <w:color w:val="0000FF"/>
                <w:w w:val="99"/>
              </w:rPr>
              <w:t>EVP, GeneSic Business</w:t>
            </w: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 NAVITAS SEMICONDUCTOR</w:t>
            </w:r>
          </w:p>
        </w:tc>
        <w:tc>
          <w:tcPr>
            <w:tcW w:w="13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03/14/2023</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60" w:type="dxa"/>
            <w:vAlign w:val="bottom"/>
            <w:gridSpan w:val="4"/>
            <w:vMerge w:val="continue"/>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CORPORATION</w:t>
            </w: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5"/>
            <w:vMerge w:val="restart"/>
          </w:tcPr>
          <w:p>
            <w:pPr>
              <w:spacing w:after="0"/>
              <w:rPr>
                <w:sz w:val="20"/>
                <w:szCs w:val="20"/>
                <w:color w:val="auto"/>
              </w:rPr>
            </w:pPr>
            <w:r>
              <w:rPr>
                <w:rFonts w:ascii="Times New Roman" w:cs="Times New Roman" w:eastAsia="Times New Roman" w:hAnsi="Times New Roman"/>
                <w:sz w:val="17"/>
                <w:szCs w:val="17"/>
                <w:color w:val="0000FF"/>
              </w:rPr>
              <w:t>3520 CHALLENGER STREET</w:t>
            </w: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00" w:type="dxa"/>
            <w:vAlign w:val="bottom"/>
            <w:gridSpan w:val="5"/>
            <w:vMerge w:val="continue"/>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6"/>
                <w:szCs w:val="6"/>
                <w:color w:val="auto"/>
              </w:rPr>
            </w:pPr>
          </w:p>
        </w:tc>
        <w:tc>
          <w:tcPr>
            <w:tcW w:w="3420" w:type="dxa"/>
            <w:vAlign w:val="bottom"/>
            <w:gridSpan w:val="1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8"/>
            <w:vMerge w:val="continue"/>
          </w:tcPr>
          <w:p>
            <w:pPr>
              <w:spacing w:after="0"/>
              <w:rPr>
                <w:sz w:val="9"/>
                <w:szCs w:val="9"/>
                <w:color w:val="auto"/>
              </w:rPr>
            </w:pPr>
          </w:p>
        </w:tc>
        <w:tc>
          <w:tcPr>
            <w:tcW w:w="340" w:type="dxa"/>
            <w:vAlign w:val="bottom"/>
          </w:tcPr>
          <w:p>
            <w:pPr>
              <w:spacing w:after="0"/>
              <w:rPr>
                <w:sz w:val="9"/>
                <w:szCs w:val="9"/>
                <w:color w:val="auto"/>
              </w:rPr>
            </w:pPr>
          </w:p>
        </w:tc>
        <w:tc>
          <w:tcPr>
            <w:tcW w:w="3420" w:type="dxa"/>
            <w:vAlign w:val="bottom"/>
            <w:gridSpan w:val="1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5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26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vMerge w:val="restart"/>
          </w:tcPr>
          <w:p>
            <w:pPr>
              <w:spacing w:after="0"/>
              <w:rPr>
                <w:sz w:val="3"/>
                <w:szCs w:val="3"/>
                <w:color w:val="auto"/>
              </w:rPr>
            </w:pPr>
          </w:p>
        </w:tc>
        <w:tc>
          <w:tcPr>
            <w:tcW w:w="420" w:type="dxa"/>
            <w:vAlign w:val="bottom"/>
            <w:gridSpan w:val="4"/>
            <w:vMerge w:val="restart"/>
          </w:tcPr>
          <w:p>
            <w:pPr>
              <w:ind w:left="8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vMerge w:val="continue"/>
          </w:tcPr>
          <w:p>
            <w:pPr>
              <w:spacing w:after="0"/>
              <w:rPr>
                <w:sz w:val="9"/>
                <w:szCs w:val="9"/>
                <w:color w:val="auto"/>
              </w:rPr>
            </w:pPr>
          </w:p>
        </w:tc>
        <w:tc>
          <w:tcPr>
            <w:tcW w:w="420" w:type="dxa"/>
            <w:vAlign w:val="bottom"/>
            <w:gridSpan w:val="4"/>
            <w:vMerge w:val="continue"/>
          </w:tcPr>
          <w:p>
            <w:pPr>
              <w:spacing w:after="0"/>
              <w:rPr>
                <w:sz w:val="9"/>
                <w:szCs w:val="9"/>
                <w:color w:val="auto"/>
              </w:rPr>
            </w:pPr>
          </w:p>
        </w:tc>
        <w:tc>
          <w:tcPr>
            <w:tcW w:w="5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6"/>
                <w:szCs w:val="16"/>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90503-1640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140" w:type="dxa"/>
            <w:vAlign w:val="bottom"/>
            <w:gridSpan w:val="10"/>
          </w:tcPr>
          <w:p>
            <w:pPr>
              <w:spacing w:after="0" w:line="18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TORRANCE</w:t>
            </w:r>
          </w:p>
        </w:tc>
        <w:tc>
          <w:tcPr>
            <w:tcW w:w="260" w:type="dxa"/>
            <w:vAlign w:val="bottom"/>
            <w:vMerge w:val="continue"/>
          </w:tcPr>
          <w:p>
            <w:pPr>
              <w:spacing w:after="0"/>
              <w:rPr>
                <w:sz w:val="20"/>
                <w:szCs w:val="20"/>
                <w:color w:val="auto"/>
              </w:rPr>
            </w:pPr>
          </w:p>
        </w:tc>
        <w:tc>
          <w:tcPr>
            <w:tcW w:w="820" w:type="dxa"/>
            <w:vAlign w:val="bottom"/>
          </w:tcPr>
          <w:p>
            <w:pPr>
              <w:spacing w:after="0"/>
              <w:rPr>
                <w:sz w:val="20"/>
                <w:szCs w:val="20"/>
                <w:color w:val="auto"/>
              </w:rPr>
            </w:pPr>
          </w:p>
        </w:tc>
        <w:tc>
          <w:tcPr>
            <w:tcW w:w="134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0" w:type="dxa"/>
            <w:vAlign w:val="bottom"/>
            <w:gridSpan w:val="8"/>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tcPr>
          <w:p>
            <w:pPr>
              <w:ind w:left="180"/>
              <w:spacing w:after="0" w:line="113" w:lineRule="exact"/>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42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12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20"/>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20" w:type="dxa"/>
            <w:vAlign w:val="bottom"/>
            <w:gridSpan w:val="3"/>
          </w:tcPr>
          <w:p>
            <w:pPr>
              <w:ind w:left="62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6"/>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4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10"/>
          </w:tcPr>
          <w:p>
            <w:pPr>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20" w:type="dxa"/>
            <w:vAlign w:val="bottom"/>
            <w:gridSpan w:val="5"/>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840" w:type="dxa"/>
            <w:vAlign w:val="bottom"/>
            <w:gridSpan w:val="2"/>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20" w:type="dxa"/>
            <w:vAlign w:val="bottom"/>
            <w:tcBorders>
              <w:bottom w:val="single" w:sz="8" w:color="2C2C2C"/>
            </w:tcBorders>
            <w:gridSpan w:val="5"/>
          </w:tcPr>
          <w:p>
            <w:pPr>
              <w:ind w:left="720"/>
              <w:spacing w:after="0"/>
              <w:rPr>
                <w:sz w:val="20"/>
                <w:szCs w:val="20"/>
                <w:color w:val="auto"/>
              </w:rPr>
            </w:pPr>
            <w:r>
              <w:rPr>
                <w:rFonts w:ascii="Times New Roman" w:cs="Times New Roman" w:eastAsia="Times New Roman" w:hAnsi="Times New Roman"/>
                <w:sz w:val="17"/>
                <w:szCs w:val="17"/>
                <w:color w:val="0000FF"/>
              </w:rPr>
              <w:t>03/14/2023</w:t>
            </w: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gridSpan w:val="2"/>
          </w:tcPr>
          <w:p>
            <w:pPr>
              <w:ind w:left="20"/>
              <w:spacing w:after="0"/>
              <w:rPr>
                <w:sz w:val="20"/>
                <w:szCs w:val="20"/>
                <w:color w:val="auto"/>
              </w:rPr>
            </w:pPr>
            <w:r>
              <w:rPr>
                <w:rFonts w:ascii="Times New Roman" w:cs="Times New Roman" w:eastAsia="Times New Roman" w:hAnsi="Times New Roman"/>
                <w:sz w:val="17"/>
                <w:szCs w:val="17"/>
                <w:color w:val="0000FF"/>
              </w:rPr>
              <w:t>18,645,603</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3"/>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6.46</w:t>
            </w: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jc w:val="center"/>
              <w:ind w:left="411"/>
              <w:spacing w:after="0"/>
              <w:rPr>
                <w:sz w:val="20"/>
                <w:szCs w:val="20"/>
                <w:color w:val="auto"/>
              </w:rPr>
            </w:pPr>
            <w:r>
              <w:rPr>
                <w:rFonts w:ascii="Times New Roman" w:cs="Times New Roman" w:eastAsia="Times New Roman" w:hAnsi="Times New Roman"/>
                <w:sz w:val="17"/>
                <w:szCs w:val="17"/>
                <w:color w:val="0000FF"/>
                <w:w w:val="93"/>
              </w:rPr>
              <w:t>0</w:t>
            </w:r>
          </w:p>
        </w:tc>
        <w:tc>
          <w:tcPr>
            <w:tcW w:w="58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1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00" w:type="dxa"/>
            <w:vAlign w:val="bottom"/>
            <w:gridSpan w:val="6"/>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18,645,603</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SiCPower,</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00" w:type="dxa"/>
            <w:vAlign w:val="bottom"/>
            <w:gridSpan w:val="6"/>
            <w:vMerge w:val="continue"/>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14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13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42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6,237,558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In trust</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9"/>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5"/>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46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16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Form:</w:t>
            </w:r>
          </w:p>
        </w:tc>
        <w:tc>
          <w:tcPr>
            <w:tcW w:w="16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8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Transaction(s)</w:t>
            </w: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84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8"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part of an estate-planning transaction, the reporting person sold the reported securities to SiCPower, LLC, a Delaware limited liability company whose sole member is an irrevocable trust for which the reporting person acted as grantor. Approximately concurrently with the filing of this Form 4, the purchaser is filing a Form 3 as a new Section 16 filer, and to report its ownership of the reported securities.</w:t>
      </w:r>
    </w:p>
    <w:p>
      <w:pPr>
        <w:spacing w:after="0" w:line="171"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sole manager of SiCPower, LLC and may be deemed to have indirect beneficial ownership of the reported securities held by SiCPower, LLC. The reporting person disclaims beneficial ownership of the reported securities, for purposes of Section 16 of the Exchange Act or otherwise.</w:t>
      </w:r>
    </w:p>
    <w:p>
      <w:pPr>
        <w:spacing w:after="0" w:line="7" w:lineRule="exact"/>
        <w:rPr>
          <w:rFonts w:ascii="Times New Roman" w:cs="Times New Roman" w:eastAsia="Times New Roman" w:hAnsi="Times New Roman"/>
          <w:sz w:val="13"/>
          <w:szCs w:val="13"/>
          <w:color w:val="008000"/>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securities are held in an irrevocable trust for which the reporting person acted as grantor. The reporting person disclaims beneficial ownership of the reported securities, for purposes of Section 16 of the Exchange Act or otherwise.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Paul D. Delva, as Attorney- </w:t>
      </w:r>
      <w:r>
        <w:rPr>
          <w:rFonts w:ascii="Times New Roman" w:cs="Times New Roman" w:eastAsia="Times New Roman" w:hAnsi="Times New Roman"/>
          <w:sz w:val="34"/>
          <w:szCs w:val="34"/>
          <w:color w:val="0000FF"/>
          <w:vertAlign w:val="subscript"/>
        </w:rPr>
        <w:t>03/16/2023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318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943408" TargetMode="External"/><Relationship Id="rId13" Type="http://schemas.openxmlformats.org/officeDocument/2006/relationships/hyperlink" Target="http://www.sec.gov/cgi-bin/browse-edgar?action=getcompany&amp;CIK=000182176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2023-03-18T16:14:27Z</dcterms:created>
  <dcterms:modified xsi:type="dcterms:W3CDTF">2023-03-18T16:14:27Z</dcterms:modified>
</cp:coreProperties>
</file>