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1220470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1246505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4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(Mark One)</w:t>
      </w:r>
    </w:p>
    <w:p>
      <w:pPr>
        <w:ind w:left="460"/>
        <w:spacing w:after="0" w:line="220" w:lineRule="auto"/>
        <w:rPr>
          <w:sz w:val="20"/>
          <w:szCs w:val="20"/>
          <w:color w:val="auto"/>
        </w:rPr>
      </w:pPr>
      <w:r>
        <w:rPr>
          <w:rFonts w:ascii="Times New Roman" w:cs="Times New Roman" w:eastAsia="Times New Roman" w:hAnsi="Times New Roman"/>
          <w:sz w:val="22"/>
          <w:szCs w:val="22"/>
          <w:b w:val="1"/>
          <w:bCs w:val="1"/>
          <w:color w:val="auto"/>
        </w:rPr>
        <w:t>QUARTERLY REPORT PURSUANT TO SECTION 13 OR 15(d) OF THE SECURITIES EXCHANGE ACT OF</w:t>
      </w:r>
    </w:p>
    <w:p>
      <w:pPr>
        <w:ind w:left="460" w:hanging="434"/>
        <w:spacing w:after="0" w:line="236" w:lineRule="auto"/>
        <w:tabs>
          <w:tab w:leader="none" w:pos="460" w:val="left"/>
        </w:tabs>
        <w:numPr>
          <w:ilvl w:val="0"/>
          <w:numId w:val="1"/>
        </w:numPr>
        <w:rPr>
          <w:rFonts w:ascii="MS PGothic" w:cs="MS PGothic" w:eastAsia="MS PGothic" w:hAnsi="MS PGothic"/>
          <w:sz w:val="36"/>
          <w:szCs w:val="36"/>
          <w:color w:val="auto"/>
          <w:vertAlign w:val="superscript"/>
        </w:rPr>
      </w:pPr>
      <w:r>
        <w:rPr>
          <w:rFonts w:ascii="Times New Roman" w:cs="Times New Roman" w:eastAsia="Times New Roman" w:hAnsi="Times New Roman"/>
          <w:sz w:val="22"/>
          <w:szCs w:val="22"/>
          <w:b w:val="1"/>
          <w:bCs w:val="1"/>
          <w:color w:val="auto"/>
        </w:rPr>
        <w:t>1934</w:t>
      </w:r>
    </w:p>
    <w:p>
      <w:pPr>
        <w:spacing w:after="0" w:line="1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 the quarterly period ended March 31, 2026</w:t>
      </w:r>
    </w:p>
    <w:p>
      <w:pPr>
        <w:spacing w:after="0" w:line="1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212" w:lineRule="exact"/>
        <w:rPr>
          <w:sz w:val="24"/>
          <w:szCs w:val="24"/>
          <w:color w:val="auto"/>
        </w:rPr>
      </w:pPr>
    </w:p>
    <w:p>
      <w:pPr>
        <w:ind w:left="460" w:right="300" w:hanging="434"/>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8"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color w:val="auto"/>
        </w:rPr>
        <w:t>For the transition period from ______ to ______</w:t>
      </w:r>
    </w:p>
    <w:p>
      <w:pPr>
        <w:spacing w:after="0" w:line="1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001-39755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81915</wp:posOffset>
            </wp:positionV>
            <wp:extent cx="1714500" cy="360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Navitas Semiconductor Corporation</w:t>
      </w:r>
    </w:p>
    <w:p>
      <w:pPr>
        <w:spacing w:after="0" w:line="5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88"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442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080" w:type="dxa"/>
            <w:vAlign w:val="bottom"/>
          </w:tcPr>
          <w:p>
            <w:pPr>
              <w:spacing w:after="0"/>
              <w:rPr>
                <w:sz w:val="20"/>
                <w:szCs w:val="20"/>
                <w:color w:val="auto"/>
              </w:rPr>
            </w:pPr>
          </w:p>
        </w:tc>
        <w:tc>
          <w:tcPr>
            <w:tcW w:w="4760" w:type="dxa"/>
            <w:vAlign w:val="bottom"/>
          </w:tcPr>
          <w:p>
            <w:pPr>
              <w:jc w:val="right"/>
              <w:ind w:right="2350"/>
              <w:spacing w:after="0"/>
              <w:rPr>
                <w:sz w:val="20"/>
                <w:szCs w:val="20"/>
                <w:color w:val="auto"/>
              </w:rPr>
            </w:pPr>
            <w:r>
              <w:rPr>
                <w:rFonts w:ascii="Times New Roman" w:cs="Times New Roman" w:eastAsia="Times New Roman" w:hAnsi="Times New Roman"/>
                <w:sz w:val="18"/>
                <w:szCs w:val="18"/>
                <w:b w:val="1"/>
                <w:bCs w:val="1"/>
                <w:color w:val="auto"/>
              </w:rPr>
              <w:t>85-2560226</w:t>
            </w:r>
          </w:p>
        </w:tc>
        <w:tc>
          <w:tcPr>
            <w:tcW w:w="0" w:type="dxa"/>
            <w:vAlign w:val="bottom"/>
          </w:tcPr>
          <w:p>
            <w:pPr>
              <w:spacing w:after="0"/>
              <w:rPr>
                <w:sz w:val="1"/>
                <w:szCs w:val="1"/>
                <w:color w:val="auto"/>
              </w:rPr>
            </w:pPr>
          </w:p>
        </w:tc>
      </w:tr>
      <w:tr>
        <w:trPr>
          <w:trHeight w:val="225"/>
        </w:trPr>
        <w:tc>
          <w:tcPr>
            <w:tcW w:w="442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2080" w:type="dxa"/>
            <w:vAlign w:val="bottom"/>
          </w:tcPr>
          <w:p>
            <w:pPr>
              <w:spacing w:after="0"/>
              <w:rPr>
                <w:sz w:val="19"/>
                <w:szCs w:val="19"/>
                <w:color w:val="auto"/>
              </w:rPr>
            </w:pPr>
          </w:p>
        </w:tc>
        <w:tc>
          <w:tcPr>
            <w:tcW w:w="476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(I.R.S. Employer</w:t>
            </w:r>
          </w:p>
        </w:tc>
        <w:tc>
          <w:tcPr>
            <w:tcW w:w="0" w:type="dxa"/>
            <w:vAlign w:val="bottom"/>
          </w:tcPr>
          <w:p>
            <w:pPr>
              <w:spacing w:after="0"/>
              <w:rPr>
                <w:sz w:val="1"/>
                <w:szCs w:val="1"/>
                <w:color w:val="auto"/>
              </w:rPr>
            </w:pPr>
          </w:p>
        </w:tc>
      </w:tr>
      <w:tr>
        <w:trPr>
          <w:trHeight w:val="234"/>
        </w:trPr>
        <w:tc>
          <w:tcPr>
            <w:tcW w:w="442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2080" w:type="dxa"/>
            <w:vAlign w:val="bottom"/>
          </w:tcPr>
          <w:p>
            <w:pPr>
              <w:spacing w:after="0"/>
              <w:rPr>
                <w:sz w:val="20"/>
                <w:szCs w:val="20"/>
                <w:color w:val="auto"/>
              </w:rPr>
            </w:pPr>
          </w:p>
        </w:tc>
        <w:tc>
          <w:tcPr>
            <w:tcW w:w="476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351"/>
        </w:trPr>
        <w:tc>
          <w:tcPr>
            <w:tcW w:w="442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8"/>
              </w:rPr>
              <w:t>3520 Challenger Street</w:t>
            </w:r>
          </w:p>
        </w:tc>
        <w:tc>
          <w:tcPr>
            <w:tcW w:w="20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42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rPr>
              <w:t>Torrance, California</w:t>
            </w:r>
          </w:p>
        </w:tc>
        <w:tc>
          <w:tcPr>
            <w:tcW w:w="2080" w:type="dxa"/>
            <w:vAlign w:val="bottom"/>
          </w:tcPr>
          <w:p>
            <w:pPr>
              <w:spacing w:after="0"/>
              <w:rPr>
                <w:sz w:val="22"/>
                <w:szCs w:val="22"/>
                <w:color w:val="auto"/>
              </w:rPr>
            </w:pPr>
          </w:p>
        </w:tc>
        <w:tc>
          <w:tcPr>
            <w:tcW w:w="476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8"/>
              </w:rPr>
              <w:t>90503-1640</w:t>
            </w:r>
          </w:p>
        </w:tc>
        <w:tc>
          <w:tcPr>
            <w:tcW w:w="0" w:type="dxa"/>
            <w:vAlign w:val="bottom"/>
          </w:tcPr>
          <w:p>
            <w:pPr>
              <w:spacing w:after="0"/>
              <w:rPr>
                <w:sz w:val="1"/>
                <w:szCs w:val="1"/>
                <w:color w:val="auto"/>
              </w:rPr>
            </w:pPr>
          </w:p>
        </w:tc>
      </w:tr>
      <w:tr>
        <w:trPr>
          <w:trHeight w:val="256"/>
        </w:trPr>
        <w:tc>
          <w:tcPr>
            <w:tcW w:w="442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080" w:type="dxa"/>
            <w:vAlign w:val="bottom"/>
          </w:tcPr>
          <w:p>
            <w:pPr>
              <w:spacing w:after="0"/>
              <w:rPr>
                <w:sz w:val="22"/>
                <w:szCs w:val="22"/>
                <w:color w:val="auto"/>
              </w:rPr>
            </w:pPr>
          </w:p>
        </w:tc>
        <w:tc>
          <w:tcPr>
            <w:tcW w:w="476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8"/>
              </w:rPr>
              <w:t>(Zip Code)</w:t>
            </w:r>
          </w:p>
        </w:tc>
        <w:tc>
          <w:tcPr>
            <w:tcW w:w="0" w:type="dxa"/>
            <w:vAlign w:val="bottom"/>
          </w:tcPr>
          <w:p>
            <w:pPr>
              <w:spacing w:after="0"/>
              <w:rPr>
                <w:sz w:val="1"/>
                <w:szCs w:val="1"/>
                <w:color w:val="auto"/>
              </w:rPr>
            </w:pPr>
          </w:p>
        </w:tc>
      </w:tr>
      <w:tr>
        <w:trPr>
          <w:trHeight w:val="468"/>
        </w:trPr>
        <w:tc>
          <w:tcPr>
            <w:tcW w:w="4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(844) 654-2642</w:t>
            </w: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2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0" w:type="dxa"/>
            <w:vAlign w:val="bottom"/>
          </w:tcPr>
          <w:p>
            <w:pPr>
              <w:spacing w:after="0"/>
              <w:rPr>
                <w:sz w:val="1"/>
                <w:szCs w:val="1"/>
                <w:color w:val="auto"/>
              </w:rPr>
            </w:pPr>
          </w:p>
        </w:tc>
      </w:tr>
      <w:tr>
        <w:trPr>
          <w:trHeight w:val="378"/>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4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80" w:type="dxa"/>
            <w:vAlign w:val="bottom"/>
          </w:tcPr>
          <w:p>
            <w:pPr>
              <w:spacing w:after="0"/>
              <w:rPr>
                <w:sz w:val="19"/>
                <w:szCs w:val="19"/>
                <w:color w:val="auto"/>
              </w:rPr>
            </w:pPr>
          </w:p>
        </w:tc>
        <w:tc>
          <w:tcPr>
            <w:tcW w:w="2080" w:type="dxa"/>
            <w:vAlign w:val="bottom"/>
            <w:tcBorders>
              <w:right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2"/>
        </w:trPr>
        <w:tc>
          <w:tcPr>
            <w:tcW w:w="4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47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040" w:type="dxa"/>
            <w:vAlign w:val="bottom"/>
            <w:tcBorders>
              <w:left w:val="single" w:sz="8" w:color="auto"/>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 Common Stock,</w:t>
            </w:r>
          </w:p>
        </w:tc>
        <w:tc>
          <w:tcPr>
            <w:tcW w:w="380" w:type="dxa"/>
            <w:vAlign w:val="bottom"/>
          </w:tcPr>
          <w:p>
            <w:pPr>
              <w:spacing w:after="0"/>
              <w:rPr>
                <w:sz w:val="16"/>
                <w:szCs w:val="16"/>
                <w:color w:val="auto"/>
              </w:rPr>
            </w:pPr>
          </w:p>
        </w:tc>
        <w:tc>
          <w:tcPr>
            <w:tcW w:w="2080" w:type="dxa"/>
            <w:vAlign w:val="bottom"/>
            <w:tcBorders>
              <w:right w:val="single" w:sz="8" w:color="auto"/>
            </w:tcBorders>
            <w:vMerge w:val="restart"/>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NVTS</w:t>
            </w:r>
          </w:p>
        </w:tc>
        <w:tc>
          <w:tcPr>
            <w:tcW w:w="4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130"/>
        </w:trPr>
        <w:tc>
          <w:tcPr>
            <w:tcW w:w="40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 value $0.0001 per share</w:t>
            </w:r>
          </w:p>
        </w:tc>
        <w:tc>
          <w:tcPr>
            <w:tcW w:w="380" w:type="dxa"/>
            <w:vAlign w:val="bottom"/>
          </w:tcPr>
          <w:p>
            <w:pPr>
              <w:spacing w:after="0"/>
              <w:rPr>
                <w:sz w:val="11"/>
                <w:szCs w:val="11"/>
                <w:color w:val="auto"/>
              </w:rPr>
            </w:pPr>
          </w:p>
        </w:tc>
        <w:tc>
          <w:tcPr>
            <w:tcW w:w="2080" w:type="dxa"/>
            <w:vAlign w:val="bottom"/>
            <w:tcBorders>
              <w:right w:val="single" w:sz="8" w:color="auto"/>
            </w:tcBorders>
            <w:vMerge w:val="continue"/>
          </w:tcPr>
          <w:p>
            <w:pPr>
              <w:spacing w:after="0"/>
              <w:rPr>
                <w:sz w:val="11"/>
                <w:szCs w:val="11"/>
                <w:color w:val="auto"/>
              </w:rPr>
            </w:pPr>
          </w:p>
        </w:tc>
        <w:tc>
          <w:tcPr>
            <w:tcW w:w="47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040" w:type="dxa"/>
            <w:vAlign w:val="bottom"/>
            <w:tcBorders>
              <w:left w:val="single" w:sz="8" w:color="auto"/>
              <w:right w:val="single" w:sz="8" w:color="auto"/>
            </w:tcBorders>
            <w:vMerge w:val="continue"/>
          </w:tcPr>
          <w:p>
            <w:pPr>
              <w:spacing w:after="0"/>
              <w:rPr>
                <w:sz w:val="9"/>
                <w:szCs w:val="9"/>
                <w:color w:val="auto"/>
              </w:rPr>
            </w:pPr>
          </w:p>
        </w:tc>
        <w:tc>
          <w:tcPr>
            <w:tcW w:w="380" w:type="dxa"/>
            <w:vAlign w:val="bottom"/>
          </w:tcPr>
          <w:p>
            <w:pPr>
              <w:spacing w:after="0"/>
              <w:rPr>
                <w:sz w:val="9"/>
                <w:szCs w:val="9"/>
                <w:color w:val="auto"/>
              </w:rPr>
            </w:pPr>
          </w:p>
        </w:tc>
        <w:tc>
          <w:tcPr>
            <w:tcW w:w="2080" w:type="dxa"/>
            <w:vAlign w:val="bottom"/>
            <w:tcBorders>
              <w:right w:val="single" w:sz="8" w:color="auto"/>
            </w:tcBorders>
          </w:tcPr>
          <w:p>
            <w:pPr>
              <w:spacing w:after="0"/>
              <w:rPr>
                <w:sz w:val="9"/>
                <w:szCs w:val="9"/>
                <w:color w:val="auto"/>
              </w:rPr>
            </w:pPr>
          </w:p>
        </w:tc>
        <w:tc>
          <w:tcPr>
            <w:tcW w:w="47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040" w:type="dxa"/>
            <w:vAlign w:val="bottom"/>
            <w:tcBorders>
              <w:left w:val="single" w:sz="8" w:color="auto"/>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121" w:lineRule="exact"/>
        <w:rPr>
          <w:sz w:val="24"/>
          <w:szCs w:val="24"/>
          <w:color w:val="auto"/>
        </w:rPr>
      </w:pPr>
    </w:p>
    <w:p>
      <w:pPr>
        <w:ind w:right="3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98" w:lineRule="exact"/>
        <w:rPr>
          <w:sz w:val="24"/>
          <w:szCs w:val="24"/>
          <w:color w:val="auto"/>
        </w:rPr>
      </w:pPr>
    </w:p>
    <w:p>
      <w:pPr>
        <w:ind w:right="3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17"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2"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6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Accelerated filer</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6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8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260"/>
          </w:cols>
          <w:pgMar w:left="320" w:top="1440" w:right="319" w:bottom="162" w:gutter="0" w:footer="0" w:header="0"/>
        </w:sectPr>
      </w:pPr>
    </w:p>
    <w:bookmarkStart w:id="1" w:name="page2"/>
    <w:bookmarkEnd w:id="1"/>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0"/>
          <w:szCs w:val="20"/>
          <w:color w:val="auto"/>
        </w:rPr>
      </w:pPr>
    </w:p>
    <w:p>
      <w:pPr>
        <w:ind w:left="10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233,713,166 shares of Class A Common Stock and 0 shares of Class B Common Stock were outstanding at May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2.</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3.</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1.</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Item 1A.</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32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E32E1"/>
              </w:rPr>
              <w:t>Part I - Financial Information</w:t>
            </w:r>
          </w:p>
        </w:tc>
        <w:tc>
          <w:tcPr>
            <w:tcW w:w="3320" w:type="dxa"/>
            <w:vAlign w:val="bottom"/>
            <w:gridSpan w:val="6"/>
            <w:vMerge w:val="restart"/>
          </w:tcPr>
          <w:p>
            <w:pPr>
              <w:spacing w:after="0"/>
              <w:rPr>
                <w:sz w:val="20"/>
                <w:szCs w:val="20"/>
                <w:color w:val="auto"/>
              </w:rPr>
            </w:pPr>
          </w:p>
        </w:tc>
        <w:tc>
          <w:tcPr>
            <w:tcW w:w="11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74"/>
        </w:trPr>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20" w:type="dxa"/>
            <w:vAlign w:val="bottom"/>
            <w:tcBorders>
              <w:bottom w:val="single" w:sz="8" w:color="0E32E1"/>
            </w:tcBorders>
            <w:gridSpan w:val="7"/>
            <w:vMerge w:val="continue"/>
          </w:tcPr>
          <w:p>
            <w:pPr>
              <w:spacing w:after="0"/>
              <w:rPr>
                <w:sz w:val="14"/>
                <w:szCs w:val="14"/>
                <w:color w:val="auto"/>
              </w:rPr>
            </w:pPr>
          </w:p>
        </w:tc>
        <w:tc>
          <w:tcPr>
            <w:tcW w:w="3320" w:type="dxa"/>
            <w:vAlign w:val="bottom"/>
            <w:gridSpan w:val="6"/>
            <w:vMerge w:val="continue"/>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E32E1"/>
              </w:rPr>
              <w:t>4</w:t>
            </w:r>
          </w:p>
        </w:tc>
        <w:tc>
          <w:tcPr>
            <w:tcW w:w="0" w:type="dxa"/>
            <w:vAlign w:val="bottom"/>
          </w:tcPr>
          <w:p>
            <w:pPr>
              <w:spacing w:after="0"/>
              <w:rPr>
                <w:sz w:val="1"/>
                <w:szCs w:val="1"/>
                <w:color w:val="auto"/>
              </w:rPr>
            </w:pPr>
          </w:p>
        </w:tc>
      </w:tr>
      <w:tr>
        <w:trPr>
          <w:trHeight w:val="736"/>
        </w:trPr>
        <w:tc>
          <w:tcPr>
            <w:tcW w:w="23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560" w:type="dxa"/>
            <w:vAlign w:val="bottom"/>
            <w:gridSpan w:val="14"/>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2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March 31, 2026 and December 31, 2025</w:t>
            </w:r>
          </w:p>
        </w:tc>
        <w:tc>
          <w:tcPr>
            <w:tcW w:w="2660" w:type="dxa"/>
            <w:vAlign w:val="bottom"/>
            <w:gridSpan w:val="5"/>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rPr>
              <w:t>4</w:t>
            </w:r>
          </w:p>
        </w:tc>
        <w:tc>
          <w:tcPr>
            <w:tcW w:w="0" w:type="dxa"/>
            <w:vAlign w:val="bottom"/>
          </w:tcPr>
          <w:p>
            <w:pPr>
              <w:spacing w:after="0"/>
              <w:rPr>
                <w:sz w:val="1"/>
                <w:szCs w:val="1"/>
                <w:color w:val="auto"/>
              </w:rPr>
            </w:pPr>
          </w:p>
        </w:tc>
      </w:tr>
      <w:tr>
        <w:trPr>
          <w:trHeight w:val="209"/>
        </w:trPr>
        <w:tc>
          <w:tcPr>
            <w:tcW w:w="89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Months Ended March 31, 2026 and 2025</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rPr>
              <w:t>5</w:t>
            </w:r>
          </w:p>
        </w:tc>
        <w:tc>
          <w:tcPr>
            <w:tcW w:w="0" w:type="dxa"/>
            <w:vAlign w:val="bottom"/>
          </w:tcPr>
          <w:p>
            <w:pPr>
              <w:spacing w:after="0"/>
              <w:rPr>
                <w:sz w:val="1"/>
                <w:szCs w:val="1"/>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for the Three Months Ended March 31, 2026 and 2025</w:t>
            </w:r>
          </w:p>
        </w:tc>
        <w:tc>
          <w:tcPr>
            <w:tcW w:w="5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rPr>
              <w:t>6</w:t>
            </w:r>
          </w:p>
        </w:tc>
        <w:tc>
          <w:tcPr>
            <w:tcW w:w="0" w:type="dxa"/>
            <w:vAlign w:val="bottom"/>
          </w:tcPr>
          <w:p>
            <w:pPr>
              <w:spacing w:after="0"/>
              <w:rPr>
                <w:sz w:val="1"/>
                <w:szCs w:val="1"/>
                <w:color w:val="auto"/>
              </w:rPr>
            </w:pPr>
          </w:p>
        </w:tc>
      </w:tr>
      <w:tr>
        <w:trPr>
          <w:trHeight w:val="210"/>
        </w:trPr>
        <w:tc>
          <w:tcPr>
            <w:tcW w:w="89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 xml:space="preserve">Condensed Consolidated Statements of Cash Flows for the </w:t>
            </w:r>
            <w:r>
              <w:rPr>
                <w:rFonts w:ascii="Times New Roman" w:cs="Times New Roman" w:eastAsia="Times New Roman" w:hAnsi="Times New Roman"/>
                <w:sz w:val="18"/>
                <w:szCs w:val="18"/>
                <w:color w:val="0119FB"/>
              </w:rPr>
              <w:t>Three</w:t>
            </w:r>
            <w:r>
              <w:rPr>
                <w:rFonts w:ascii="Times New Roman" w:cs="Times New Roman" w:eastAsia="Times New Roman" w:hAnsi="Times New Roman"/>
                <w:sz w:val="18"/>
                <w:szCs w:val="18"/>
                <w:color w:val="0000FF"/>
              </w:rPr>
              <w:t xml:space="preserve"> Months Ended March 31, 2026 and 2025</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rPr>
              <w:t>7</w:t>
            </w:r>
          </w:p>
        </w:tc>
        <w:tc>
          <w:tcPr>
            <w:tcW w:w="0" w:type="dxa"/>
            <w:vAlign w:val="bottom"/>
          </w:tcPr>
          <w:p>
            <w:pPr>
              <w:spacing w:after="0"/>
              <w:rPr>
                <w:sz w:val="1"/>
                <w:szCs w:val="1"/>
                <w:color w:val="auto"/>
              </w:rPr>
            </w:pPr>
          </w:p>
        </w:tc>
      </w:tr>
      <w:tr>
        <w:trPr>
          <w:trHeight w:val="209"/>
        </w:trPr>
        <w:tc>
          <w:tcPr>
            <w:tcW w:w="400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Condensed Notes to Consolidated Financial Statements</w:t>
            </w:r>
          </w:p>
        </w:tc>
        <w:tc>
          <w:tcPr>
            <w:tcW w:w="360" w:type="dxa"/>
            <w:vAlign w:val="bottom"/>
            <w:tcBorders>
              <w:top w:val="single" w:sz="8" w:color="0000FF"/>
            </w:tcBorders>
            <w:gridSpan w:val="2"/>
          </w:tcPr>
          <w:p>
            <w:pPr>
              <w:spacing w:after="0"/>
              <w:rPr>
                <w:sz w:val="18"/>
                <w:szCs w:val="18"/>
                <w:color w:val="auto"/>
              </w:rPr>
            </w:pPr>
          </w:p>
        </w:tc>
        <w:tc>
          <w:tcPr>
            <w:tcW w:w="340" w:type="dxa"/>
            <w:vAlign w:val="bottom"/>
            <w:tcBorders>
              <w:top w:val="single" w:sz="8" w:color="0119FB"/>
            </w:tcBorders>
          </w:tcPr>
          <w:p>
            <w:pPr>
              <w:spacing w:after="0"/>
              <w:rPr>
                <w:sz w:val="18"/>
                <w:szCs w:val="18"/>
                <w:color w:val="auto"/>
              </w:rPr>
            </w:pPr>
          </w:p>
        </w:tc>
        <w:tc>
          <w:tcPr>
            <w:tcW w:w="3000" w:type="dxa"/>
            <w:vAlign w:val="bottom"/>
            <w:tcBorders>
              <w:top w:val="single" w:sz="8" w:color="0000FF"/>
            </w:tcBorders>
            <w:gridSpan w:val="6"/>
          </w:tcPr>
          <w:p>
            <w:pPr>
              <w:spacing w:after="0"/>
              <w:rPr>
                <w:sz w:val="18"/>
                <w:szCs w:val="18"/>
                <w:color w:val="auto"/>
              </w:rPr>
            </w:pPr>
          </w:p>
        </w:tc>
        <w:tc>
          <w:tcPr>
            <w:tcW w:w="1240" w:type="dxa"/>
            <w:vAlign w:val="bottom"/>
            <w:gridSpan w:val="2"/>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rPr>
              <w:t>8</w:t>
            </w:r>
          </w:p>
        </w:tc>
        <w:tc>
          <w:tcPr>
            <w:tcW w:w="0" w:type="dxa"/>
            <w:vAlign w:val="bottom"/>
          </w:tcPr>
          <w:p>
            <w:pPr>
              <w:spacing w:after="0"/>
              <w:rPr>
                <w:sz w:val="1"/>
                <w:szCs w:val="1"/>
                <w:color w:val="auto"/>
              </w:rPr>
            </w:pPr>
          </w:p>
        </w:tc>
      </w:tr>
      <w:tr>
        <w:trPr>
          <w:trHeight w:val="209"/>
        </w:trPr>
        <w:tc>
          <w:tcPr>
            <w:tcW w:w="64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480" w:type="dxa"/>
            <w:vAlign w:val="bottom"/>
            <w:gridSpan w:val="4"/>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w w:val="99"/>
              </w:rPr>
              <w:t>20</w:t>
            </w:r>
          </w:p>
        </w:tc>
        <w:tc>
          <w:tcPr>
            <w:tcW w:w="0" w:type="dxa"/>
            <w:vAlign w:val="bottom"/>
          </w:tcPr>
          <w:p>
            <w:pPr>
              <w:spacing w:after="0"/>
              <w:rPr>
                <w:sz w:val="1"/>
                <w:szCs w:val="1"/>
                <w:color w:val="auto"/>
              </w:rPr>
            </w:pPr>
          </w:p>
        </w:tc>
      </w:tr>
      <w:tr>
        <w:trPr>
          <w:trHeight w:val="223"/>
        </w:trPr>
        <w:tc>
          <w:tcPr>
            <w:tcW w:w="43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580" w:type="dxa"/>
            <w:vAlign w:val="bottom"/>
            <w:gridSpan w:val="9"/>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w w:val="99"/>
              </w:rPr>
              <w:t>24</w:t>
            </w:r>
          </w:p>
        </w:tc>
        <w:tc>
          <w:tcPr>
            <w:tcW w:w="0" w:type="dxa"/>
            <w:vAlign w:val="bottom"/>
          </w:tcPr>
          <w:p>
            <w:pPr>
              <w:spacing w:after="0"/>
              <w:rPr>
                <w:sz w:val="1"/>
                <w:szCs w:val="1"/>
                <w:color w:val="auto"/>
              </w:rPr>
            </w:pPr>
          </w:p>
        </w:tc>
      </w:tr>
      <w:tr>
        <w:trPr>
          <w:trHeight w:val="250"/>
        </w:trPr>
        <w:tc>
          <w:tcPr>
            <w:tcW w:w="89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w w:val="99"/>
              </w:rPr>
              <w:t>25</w:t>
            </w:r>
          </w:p>
        </w:tc>
        <w:tc>
          <w:tcPr>
            <w:tcW w:w="0" w:type="dxa"/>
            <w:vAlign w:val="bottom"/>
          </w:tcPr>
          <w:p>
            <w:pPr>
              <w:spacing w:after="0"/>
              <w:rPr>
                <w:sz w:val="1"/>
                <w:szCs w:val="1"/>
                <w:color w:val="auto"/>
              </w:rPr>
            </w:pPr>
          </w:p>
        </w:tc>
      </w:tr>
      <w:tr>
        <w:trPr>
          <w:trHeight w:val="763"/>
        </w:trPr>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Part II - Other Information</w:t>
            </w:r>
          </w:p>
        </w:tc>
        <w:tc>
          <w:tcPr>
            <w:tcW w:w="3420" w:type="dxa"/>
            <w:vAlign w:val="bottom"/>
            <w:gridSpan w:val="7"/>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600" w:type="dxa"/>
            <w:vAlign w:val="bottom"/>
            <w:gridSpan w:val="16"/>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w w:val="99"/>
              </w:rPr>
              <w:t>26</w:t>
            </w:r>
          </w:p>
        </w:tc>
        <w:tc>
          <w:tcPr>
            <w:tcW w:w="0" w:type="dxa"/>
            <w:vAlign w:val="bottom"/>
          </w:tcPr>
          <w:p>
            <w:pPr>
              <w:spacing w:after="0"/>
              <w:rPr>
                <w:sz w:val="1"/>
                <w:szCs w:val="1"/>
                <w:color w:val="auto"/>
              </w:rPr>
            </w:pPr>
          </w:p>
        </w:tc>
      </w:tr>
      <w:tr>
        <w:trPr>
          <w:trHeight w:val="250"/>
        </w:trPr>
        <w:tc>
          <w:tcPr>
            <w:tcW w:w="8940" w:type="dxa"/>
            <w:vAlign w:val="bottom"/>
            <w:gridSpan w:val="19"/>
          </w:tcPr>
          <w:p>
            <w:pPr>
              <w:spacing w:after="0"/>
              <w:rPr>
                <w:sz w:val="20"/>
                <w:szCs w:val="20"/>
                <w:color w:val="auto"/>
              </w:rPr>
            </w:pPr>
            <w:r>
              <w:rPr>
                <w:rFonts w:ascii="Times New Roman" w:cs="Times New Roman" w:eastAsia="Times New Roman" w:hAnsi="Times New Roman"/>
                <w:sz w:val="18"/>
                <w:szCs w:val="18"/>
                <w:color w:val="0A2299"/>
              </w:rPr>
              <w:t>Risk Factors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w w:val="99"/>
              </w:rPr>
              <w:t>26</w:t>
            </w:r>
          </w:p>
        </w:tc>
        <w:tc>
          <w:tcPr>
            <w:tcW w:w="0" w:type="dxa"/>
            <w:vAlign w:val="bottom"/>
          </w:tcPr>
          <w:p>
            <w:pPr>
              <w:spacing w:after="0"/>
              <w:rPr>
                <w:sz w:val="1"/>
                <w:szCs w:val="1"/>
                <w:color w:val="auto"/>
              </w:rPr>
            </w:pPr>
          </w:p>
        </w:tc>
      </w:tr>
      <w:tr>
        <w:trPr>
          <w:trHeight w:val="250"/>
        </w:trPr>
        <w:tc>
          <w:tcPr>
            <w:tcW w:w="600" w:type="dxa"/>
            <w:vAlign w:val="bottom"/>
            <w:tcBorders>
              <w:top w:val="single" w:sz="8" w:color="0A2299"/>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300" w:type="dxa"/>
            <w:vAlign w:val="bottom"/>
            <w:tcBorders>
              <w:top w:val="single" w:sz="8" w:color="0A2299"/>
            </w:tcBorders>
          </w:tcPr>
          <w:p>
            <w:pPr>
              <w:spacing w:after="0"/>
              <w:rPr>
                <w:sz w:val="21"/>
                <w:szCs w:val="21"/>
                <w:color w:val="auto"/>
              </w:rPr>
            </w:pPr>
          </w:p>
        </w:tc>
        <w:tc>
          <w:tcPr>
            <w:tcW w:w="8040" w:type="dxa"/>
            <w:vAlign w:val="bottom"/>
            <w:gridSpan w:val="17"/>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0E32E1"/>
                <w:w w:val="99"/>
              </w:rPr>
              <w:t>27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60" w:space="500"/>
            <w:col w:w="10080"/>
          </w:cols>
          <w:pgMar w:left="320" w:top="121" w:right="339" w:bottom="1440" w:gutter="0" w:footer="0" w:header="0"/>
          <w:type w:val="continuous"/>
        </w:sectPr>
      </w:pP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11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 except shares and par value)</w:t>
            </w:r>
          </w:p>
        </w:tc>
        <w:tc>
          <w:tcPr>
            <w:tcW w:w="220" w:type="dxa"/>
            <w:vAlign w:val="bottom"/>
          </w:tcPr>
          <w:p>
            <w:pPr>
              <w:spacing w:after="0"/>
              <w:rPr>
                <w:sz w:val="20"/>
                <w:szCs w:val="20"/>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80" w:type="dxa"/>
            <w:vAlign w:val="bottom"/>
          </w:tcPr>
          <w:p>
            <w:pPr>
              <w:spacing w:after="0"/>
              <w:rPr>
                <w:sz w:val="20"/>
                <w:szCs w:val="20"/>
                <w:color w:val="auto"/>
              </w:rPr>
            </w:pPr>
          </w:p>
        </w:tc>
        <w:tc>
          <w:tcPr>
            <w:tcW w:w="1600" w:type="dxa"/>
            <w:vAlign w:val="bottom"/>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09"/>
        </w:trPr>
        <w:tc>
          <w:tcPr>
            <w:tcW w:w="7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236,857</w:t>
            </w:r>
          </w:p>
        </w:tc>
        <w:tc>
          <w:tcPr>
            <w:tcW w:w="0" w:type="dxa"/>
            <w:vAlign w:val="bottom"/>
          </w:tcPr>
          <w:p>
            <w:pPr>
              <w:spacing w:after="0"/>
              <w:rPr>
                <w:sz w:val="1"/>
                <w:szCs w:val="1"/>
                <w:color w:val="auto"/>
              </w:rPr>
            </w:pPr>
          </w:p>
        </w:tc>
      </w:tr>
      <w:tr>
        <w:trPr>
          <w:trHeight w:val="229"/>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 of $468 as of March 31, 2026 and December 31, 2025</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13,283</w:t>
            </w:r>
          </w:p>
        </w:tc>
        <w:tc>
          <w:tcPr>
            <w:tcW w:w="0" w:type="dxa"/>
            <w:vAlign w:val="bottom"/>
          </w:tcPr>
          <w:p>
            <w:pPr>
              <w:spacing w:after="0"/>
              <w:rPr>
                <w:sz w:val="1"/>
                <w:szCs w:val="1"/>
                <w:color w:val="auto"/>
              </w:rPr>
            </w:pPr>
          </w:p>
        </w:tc>
      </w:tr>
      <w:tr>
        <w:trPr>
          <w:trHeight w:val="229"/>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0" w:type="dxa"/>
            <w:vAlign w:val="bottom"/>
          </w:tcPr>
          <w:p>
            <w:pPr>
              <w:spacing w:after="0"/>
              <w:rPr>
                <w:sz w:val="1"/>
                <w:szCs w:val="1"/>
                <w:color w:val="auto"/>
              </w:rPr>
            </w:pPr>
          </w:p>
        </w:tc>
      </w:tr>
      <w:tr>
        <w:trPr>
          <w:trHeight w:val="223"/>
        </w:trPr>
        <w:tc>
          <w:tcPr>
            <w:tcW w:w="7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259,905</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w:t>
            </w: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right of use assets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53,258</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163,215</w:t>
            </w:r>
          </w:p>
        </w:tc>
        <w:tc>
          <w:tcPr>
            <w:tcW w:w="0" w:type="dxa"/>
            <w:vAlign w:val="bottom"/>
          </w:tcPr>
          <w:p>
            <w:pPr>
              <w:spacing w:after="0"/>
              <w:rPr>
                <w:sz w:val="1"/>
                <w:szCs w:val="1"/>
                <w:color w:val="auto"/>
              </w:rPr>
            </w:pPr>
          </w:p>
        </w:tc>
      </w:tr>
      <w:tr>
        <w:trPr>
          <w:trHeight w:val="229"/>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8,380</w:t>
            </w:r>
          </w:p>
        </w:tc>
        <w:tc>
          <w:tcPr>
            <w:tcW w:w="0" w:type="dxa"/>
            <w:vAlign w:val="bottom"/>
          </w:tcPr>
          <w:p>
            <w:pPr>
              <w:spacing w:after="0"/>
              <w:rPr>
                <w:sz w:val="1"/>
                <w:szCs w:val="1"/>
                <w:color w:val="auto"/>
              </w:rPr>
            </w:pPr>
          </w:p>
        </w:tc>
      </w:tr>
      <w:tr>
        <w:trPr>
          <w:trHeight w:val="248"/>
        </w:trPr>
        <w:tc>
          <w:tcPr>
            <w:tcW w:w="75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500,469</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other accrued expenses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22,350</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compensation expenses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0" w:type="dxa"/>
            <w:vAlign w:val="bottom"/>
          </w:tcPr>
          <w:p>
            <w:pPr>
              <w:spacing w:after="0"/>
              <w:rPr>
                <w:sz w:val="1"/>
                <w:szCs w:val="1"/>
                <w:color w:val="auto"/>
              </w:rPr>
            </w:pPr>
          </w:p>
        </w:tc>
      </w:tr>
      <w:tr>
        <w:trPr>
          <w:trHeight w:val="230"/>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 liabilities, current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30"/>
        </w:trPr>
        <w:tc>
          <w:tcPr>
            <w:tcW w:w="7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Earnout liability</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30,546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22,632</w:t>
            </w:r>
          </w:p>
        </w:tc>
        <w:tc>
          <w:tcPr>
            <w:tcW w:w="0" w:type="dxa"/>
            <w:vAlign w:val="bottom"/>
          </w:tcPr>
          <w:p>
            <w:pPr>
              <w:spacing w:after="0"/>
              <w:rPr>
                <w:sz w:val="1"/>
                <w:szCs w:val="1"/>
                <w:color w:val="auto"/>
              </w:rPr>
            </w:pPr>
          </w:p>
        </w:tc>
      </w:tr>
      <w:tr>
        <w:trPr>
          <w:trHeight w:val="223"/>
        </w:trPr>
        <w:tc>
          <w:tcPr>
            <w:tcW w:w="75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52,120</w:t>
            </w: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 noncurrent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30"/>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23"/>
        </w:trPr>
        <w:tc>
          <w:tcPr>
            <w:tcW w:w="75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56,808</w:t>
            </w: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75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Class A common stock, $0.0001 par value, 740,000,000 shares authorized as of March 31, 2026 and</w:t>
            </w: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5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December 31, 2025, and 232,004,922 and 230,525,464 shares issued and outstanding at March 31, 2026</w:t>
            </w:r>
          </w:p>
        </w:tc>
        <w:tc>
          <w:tcPr>
            <w:tcW w:w="220" w:type="dxa"/>
            <w:vAlign w:val="bottom"/>
          </w:tcPr>
          <w:p>
            <w:pPr>
              <w:spacing w:after="0"/>
              <w:rPr>
                <w:sz w:val="15"/>
                <w:szCs w:val="15"/>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December 31, 2025, respectively</w:t>
            </w:r>
          </w:p>
        </w:tc>
        <w:tc>
          <w:tcPr>
            <w:tcW w:w="22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75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Class B common stock, $0.0001 par value, 10,000,000 shares authorized as of March 31, 2026 and</w:t>
            </w:r>
          </w:p>
        </w:tc>
        <w:tc>
          <w:tcPr>
            <w:tcW w:w="2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5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December 31, 2025, and 0 shares issued and outstanding at both March 31, 2026 and December 31,</w:t>
            </w:r>
          </w:p>
        </w:tc>
        <w:tc>
          <w:tcPr>
            <w:tcW w:w="220" w:type="dxa"/>
            <w:vAlign w:val="bottom"/>
            <w:shd w:val="clear" w:color="auto" w:fill="CCEEFF"/>
          </w:tcPr>
          <w:p>
            <w:pPr>
              <w:spacing w:after="0"/>
              <w:rPr>
                <w:sz w:val="15"/>
                <w:szCs w:val="15"/>
                <w:color w:val="auto"/>
              </w:rPr>
            </w:pPr>
          </w:p>
        </w:tc>
        <w:tc>
          <w:tcPr>
            <w:tcW w:w="1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spacing w:after="0"/>
              <w:rPr>
                <w:sz w:val="19"/>
                <w:szCs w:val="19"/>
                <w:color w:val="auto"/>
              </w:rPr>
            </w:pPr>
          </w:p>
        </w:tc>
        <w:tc>
          <w:tcPr>
            <w:tcW w:w="16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955,554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945,381</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7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(535,524)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(501,739)</w:t>
            </w:r>
          </w:p>
        </w:tc>
        <w:tc>
          <w:tcPr>
            <w:tcW w:w="0" w:type="dxa"/>
            <w:vAlign w:val="bottom"/>
          </w:tcPr>
          <w:p>
            <w:pPr>
              <w:spacing w:after="0"/>
              <w:rPr>
                <w:sz w:val="1"/>
                <w:szCs w:val="1"/>
                <w:color w:val="auto"/>
              </w:rPr>
            </w:pPr>
          </w:p>
        </w:tc>
      </w:tr>
      <w:tr>
        <w:trPr>
          <w:trHeight w:val="223"/>
        </w:trPr>
        <w:tc>
          <w:tcPr>
            <w:tcW w:w="75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420,049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443,661</w:t>
            </w:r>
          </w:p>
        </w:tc>
        <w:tc>
          <w:tcPr>
            <w:tcW w:w="0" w:type="dxa"/>
            <w:vAlign w:val="bottom"/>
          </w:tcPr>
          <w:p>
            <w:pPr>
              <w:spacing w:after="0"/>
              <w:rPr>
                <w:sz w:val="1"/>
                <w:szCs w:val="1"/>
                <w:color w:val="auto"/>
              </w:rPr>
            </w:pPr>
          </w:p>
        </w:tc>
      </w:tr>
      <w:tr>
        <w:trPr>
          <w:trHeight w:val="223"/>
        </w:trPr>
        <w:tc>
          <w:tcPr>
            <w:tcW w:w="7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481,367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500,469</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condensed notes are an integral part of these condensed consolidated financial statements.</w:t>
      </w:r>
    </w:p>
    <w:p>
      <w:pPr>
        <w:sectPr>
          <w:pgSz w:w="11900" w:h="16838" w:orient="portrait"/>
          <w:cols w:equalWidth="0" w:num="1">
            <w:col w:w="11220"/>
          </w:cols>
          <w:pgMar w:left="320" w:top="45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tc>
        <w:tc>
          <w:tcPr>
            <w:tcW w:w="42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14,018</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 (exclusive of amortization of intangible assets included below)</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8,711</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12,668</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11,740</w:t>
            </w: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expense</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30,611</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(25,304)</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 income</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Gain from change in fair value of earnout liabilities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8,837</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(16,467)</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method investment loss</w:t>
            </w:r>
          </w:p>
        </w:tc>
        <w:tc>
          <w:tcPr>
            <w:tcW w:w="4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48"/>
        </w:trPr>
        <w:tc>
          <w:tcPr>
            <w:tcW w:w="7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(16,829)</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common share</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net loss per share attributable to common stockholders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net loss per share attributable to common stockholders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57"/>
        </w:trPr>
        <w:tc>
          <w:tcPr>
            <w:tcW w:w="7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used in net loss per share attributable to common shareholders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common shares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229,988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187,784</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common shares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187,784</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117" w:lineRule="exact"/>
        <w:rPr>
          <w:sz w:val="20"/>
          <w:szCs w:val="20"/>
          <w:color w:val="auto"/>
        </w:rPr>
      </w:pPr>
    </w:p>
    <w:p>
      <w:pPr>
        <w:jc w:val="right"/>
        <w:ind w:right="23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6"/>
          <w:szCs w:val="16"/>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21590</wp:posOffset>
            </wp:positionV>
            <wp:extent cx="41579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157980" cy="8890"/>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p>
      <w:pPr>
        <w:spacing w:after="0" w:line="3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p>
      <w:pPr>
        <w:spacing w:after="0" w:line="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BALANCE AT DECEMBER 31, 2025</w:t>
      </w:r>
    </w:p>
    <w:p>
      <w:pPr>
        <w:spacing w:after="0" w:line="30" w:lineRule="exact"/>
        <w:rPr>
          <w:sz w:val="20"/>
          <w:szCs w:val="20"/>
          <w:color w:val="auto"/>
        </w:rPr>
      </w:pPr>
    </w:p>
    <w:p>
      <w:pPr>
        <w:ind w:left="220" w:hanging="161"/>
        <w:spacing w:after="0" w:line="237" w:lineRule="auto"/>
        <w:rPr>
          <w:sz w:val="20"/>
          <w:szCs w:val="20"/>
          <w:color w:val="auto"/>
        </w:rPr>
      </w:pPr>
      <w:r>
        <w:rPr>
          <w:rFonts w:ascii="Times New Roman" w:cs="Times New Roman" w:eastAsia="Times New Roman" w:hAnsi="Times New Roman"/>
          <w:sz w:val="18"/>
          <w:szCs w:val="18"/>
          <w:color w:val="auto"/>
        </w:rPr>
        <w:t>Issuance of common stock under employee stock option and stock award plans</w:t>
      </w:r>
    </w:p>
    <w:p>
      <w:pPr>
        <w:spacing w:after="0" w:line="10" w:lineRule="exact"/>
        <w:rPr>
          <w:sz w:val="20"/>
          <w:szCs w:val="20"/>
          <w:color w:val="auto"/>
        </w:rPr>
      </w:pPr>
    </w:p>
    <w:p>
      <w:pPr>
        <w:ind w:left="220" w:right="40" w:hanging="161"/>
        <w:spacing w:after="0" w:line="237" w:lineRule="auto"/>
        <w:rPr>
          <w:sz w:val="20"/>
          <w:szCs w:val="20"/>
          <w:color w:val="auto"/>
        </w:rPr>
      </w:pPr>
      <w:r>
        <w:rPr>
          <w:rFonts w:ascii="Times New Roman" w:cs="Times New Roman" w:eastAsia="Times New Roman" w:hAnsi="Times New Roman"/>
          <w:sz w:val="18"/>
          <w:szCs w:val="18"/>
          <w:color w:val="auto"/>
        </w:rPr>
        <w:t>Stock-based compensation expense related to employee and non-employee stock awards</w:t>
      </w:r>
    </w:p>
    <w:p>
      <w:pPr>
        <w:spacing w:after="0" w:line="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 loss</w:t>
      </w:r>
    </w:p>
    <w:p>
      <w:pPr>
        <w:spacing w:after="0" w:line="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BALANCE AT MARCH 31, 2026</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80" w:type="dxa"/>
            <w:vAlign w:val="bottom"/>
            <w:gridSpan w:val="3"/>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18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100" w:type="dxa"/>
            <w:vAlign w:val="bottom"/>
            <w:gridSpan w:val="3"/>
            <w:vMerge w:val="restart"/>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00" w:type="dxa"/>
            <w:vAlign w:val="bottom"/>
            <w:gridSpan w:val="3"/>
            <w:vMerge w:val="restart"/>
          </w:tcPr>
          <w:p>
            <w:pPr>
              <w:jc w:val="center"/>
              <w:ind w:right="6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20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60" w:type="dxa"/>
            <w:vAlign w:val="bottom"/>
          </w:tcPr>
          <w:p>
            <w:pPr>
              <w:spacing w:after="0"/>
              <w:rPr>
                <w:sz w:val="16"/>
                <w:szCs w:val="16"/>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230,525</w:t>
            </w:r>
          </w:p>
        </w:tc>
        <w:tc>
          <w:tcPr>
            <w:tcW w:w="80" w:type="dxa"/>
            <w:vAlign w:val="bottom"/>
          </w:tcPr>
          <w:p>
            <w:pPr>
              <w:spacing w:after="0"/>
              <w:rPr>
                <w:sz w:val="20"/>
                <w:szCs w:val="20"/>
                <w:color w:val="auto"/>
              </w:rPr>
            </w:pPr>
          </w:p>
        </w:tc>
        <w:tc>
          <w:tcPr>
            <w:tcW w:w="760" w:type="dxa"/>
            <w:vAlign w:val="bottom"/>
            <w:tcBorders>
              <w:top w:val="single" w:sz="8" w:color="auto"/>
            </w:tcBorders>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26</w:t>
            </w: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945,381</w:t>
            </w: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(501,739)</w:t>
            </w:r>
          </w:p>
        </w:tc>
        <w:tc>
          <w:tcPr>
            <w:tcW w:w="80" w:type="dxa"/>
            <w:vAlign w:val="bottom"/>
          </w:tcPr>
          <w:p>
            <w:pPr>
              <w:spacing w:after="0"/>
              <w:rPr>
                <w:sz w:val="20"/>
                <w:szCs w:val="20"/>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443,661</w:t>
            </w:r>
          </w:p>
        </w:tc>
        <w:tc>
          <w:tcPr>
            <w:tcW w:w="0" w:type="dxa"/>
            <w:vAlign w:val="bottom"/>
          </w:tcPr>
          <w:p>
            <w:pPr>
              <w:spacing w:after="0"/>
              <w:rPr>
                <w:sz w:val="1"/>
                <w:szCs w:val="1"/>
                <w:color w:val="auto"/>
              </w:rPr>
            </w:pPr>
          </w:p>
        </w:tc>
      </w:tr>
      <w:tr>
        <w:trPr>
          <w:trHeight w:val="414"/>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418"/>
        </w:trPr>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9,370</w:t>
            </w:r>
          </w:p>
        </w:tc>
        <w:tc>
          <w:tcPr>
            <w:tcW w:w="0" w:type="dxa"/>
            <w:vAlign w:val="bottom"/>
          </w:tcPr>
          <w:p>
            <w:pPr>
              <w:spacing w:after="0"/>
              <w:rPr>
                <w:sz w:val="1"/>
                <w:szCs w:val="1"/>
                <w:color w:val="auto"/>
              </w:rPr>
            </w:pPr>
          </w:p>
        </w:tc>
      </w:tr>
      <w:tr>
        <w:trPr>
          <w:trHeight w:val="243"/>
        </w:trPr>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1"/>
                <w:szCs w:val="21"/>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(33,785)</w:t>
            </w:r>
          </w:p>
        </w:tc>
        <w:tc>
          <w:tcPr>
            <w:tcW w:w="0" w:type="dxa"/>
            <w:vAlign w:val="bottom"/>
          </w:tcPr>
          <w:p>
            <w:pPr>
              <w:spacing w:after="0"/>
              <w:rPr>
                <w:sz w:val="1"/>
                <w:szCs w:val="1"/>
                <w:color w:val="auto"/>
              </w:rPr>
            </w:pPr>
          </w:p>
        </w:tc>
      </w:tr>
      <w:tr>
        <w:trPr>
          <w:trHeight w:val="223"/>
        </w:trPr>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232,005</w:t>
            </w:r>
          </w:p>
        </w:tc>
        <w:tc>
          <w:tcPr>
            <w:tcW w:w="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26</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955,554</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(535,524)</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420,049</w:t>
            </w:r>
          </w:p>
        </w:tc>
        <w:tc>
          <w:tcPr>
            <w:tcW w:w="0" w:type="dxa"/>
            <w:vAlign w:val="bottom"/>
          </w:tcPr>
          <w:p>
            <w:pPr>
              <w:spacing w:after="0"/>
              <w:rPr>
                <w:sz w:val="1"/>
                <w:szCs w:val="1"/>
                <w:color w:val="auto"/>
              </w:rPr>
            </w:pPr>
          </w:p>
        </w:tc>
      </w:tr>
      <w:tr>
        <w:trPr>
          <w:trHeight w:val="21"/>
        </w:trPr>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-2936240</wp:posOffset>
            </wp:positionH>
            <wp:positionV relativeFrom="paragraph">
              <wp:posOffset>-1028065</wp:posOffset>
            </wp:positionV>
            <wp:extent cx="709803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154305"/>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-607695</wp:posOffset>
            </wp:positionV>
            <wp:extent cx="7098030" cy="265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8030" cy="265430"/>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-187960</wp:posOffset>
            </wp:positionV>
            <wp:extent cx="709803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Stockholders' Equity</w:t>
      </w:r>
    </w:p>
    <w:p>
      <w:pPr>
        <w:spacing w:after="0" w:line="28" w:lineRule="exact"/>
        <w:rPr>
          <w:sz w:val="20"/>
          <w:szCs w:val="20"/>
          <w:color w:val="auto"/>
        </w:rPr>
      </w:pPr>
    </w:p>
    <w:p>
      <w:pPr>
        <w:sectPr>
          <w:pgSz w:w="11900" w:h="16838" w:orient="portrait"/>
          <w:cols w:equalWidth="0" w:num="2">
            <w:col w:w="4400" w:space="260"/>
            <w:col w:w="6560"/>
          </w:cols>
          <w:pgMar w:left="320" w:top="454" w:right="359" w:bottom="1440" w:gutter="0" w:footer="0" w:header="0"/>
          <w:type w:val="continuous"/>
        </w:sectPr>
      </w:pPr>
    </w:p>
    <w:tbl>
      <w:tblPr>
        <w:tblLayout w:type="fixed"/>
        <w:tblInd w:w="4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1880" w:type="dxa"/>
            <w:vAlign w:val="bottom"/>
            <w:tcBorders>
              <w:top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2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100" w:type="dxa"/>
            <w:vAlign w:val="bottom"/>
            <w:gridSpan w:val="3"/>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00" w:type="dxa"/>
            <w:vAlign w:val="bottom"/>
            <w:gridSpan w:val="3"/>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4620" w:type="dxa"/>
            <w:vAlign w:val="bottom"/>
            <w:vMerge w:val="continue"/>
          </w:tcPr>
          <w:p>
            <w:pPr>
              <w:spacing w:after="0"/>
              <w:rPr>
                <w:sz w:val="7"/>
                <w:szCs w:val="7"/>
                <w:color w:val="auto"/>
              </w:rPr>
            </w:pPr>
          </w:p>
        </w:tc>
        <w:tc>
          <w:tcPr>
            <w:tcW w:w="11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4620" w:type="dxa"/>
            <w:vAlign w:val="bottom"/>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200" w:type="dxa"/>
            <w:vAlign w:val="bottom"/>
          </w:tcPr>
          <w:p>
            <w:pPr>
              <w:spacing w:after="0"/>
              <w:rPr>
                <w:sz w:val="17"/>
                <w:szCs w:val="17"/>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60" w:type="dxa"/>
            <w:vAlign w:val="bottom"/>
          </w:tcPr>
          <w:p>
            <w:pPr>
              <w:spacing w:after="0"/>
              <w:rPr>
                <w:sz w:val="17"/>
                <w:szCs w:val="17"/>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188,114</w:t>
            </w:r>
          </w:p>
        </w:tc>
        <w:tc>
          <w:tcPr>
            <w:tcW w:w="8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732,784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(384,786)</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348,013</w:t>
            </w:r>
          </w:p>
        </w:tc>
        <w:tc>
          <w:tcPr>
            <w:tcW w:w="0" w:type="dxa"/>
            <w:vAlign w:val="bottom"/>
          </w:tcPr>
          <w:p>
            <w:pPr>
              <w:spacing w:after="0"/>
              <w:rPr>
                <w:sz w:val="1"/>
                <w:szCs w:val="1"/>
                <w:color w:val="auto"/>
              </w:rPr>
            </w:pPr>
          </w:p>
        </w:tc>
      </w:tr>
      <w:tr>
        <w:trPr>
          <w:trHeight w:val="176"/>
        </w:trPr>
        <w:tc>
          <w:tcPr>
            <w:tcW w:w="4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common stock under employee stock option and</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award plans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for the issuance of common stock/At-the-market offering</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175"/>
        </w:trPr>
        <w:tc>
          <w:tcPr>
            <w:tcW w:w="4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Stock-based compensation expense related to employee and</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non-employee stock awards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1"/>
                <w:szCs w:val="21"/>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(16,829)</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2025</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191,763</w:t>
            </w:r>
          </w:p>
        </w:tc>
        <w:tc>
          <w:tcPr>
            <w:tcW w:w="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22</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743,420</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(401,615)</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341,820</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7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0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(16,829)</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0" w:type="dxa"/>
            <w:vAlign w:val="bottom"/>
          </w:tcPr>
          <w:p>
            <w:pPr>
              <w:spacing w:after="0"/>
              <w:rPr>
                <w:sz w:val="1"/>
                <w:szCs w:val="1"/>
                <w:color w:val="auto"/>
              </w:rPr>
            </w:pPr>
          </w:p>
        </w:tc>
      </w:tr>
      <w:tr>
        <w:trPr>
          <w:trHeight w:val="230"/>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lease expense</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6,972</w:t>
            </w:r>
          </w:p>
        </w:tc>
        <w:tc>
          <w:tcPr>
            <w:tcW w:w="0" w:type="dxa"/>
            <w:vAlign w:val="bottom"/>
          </w:tcPr>
          <w:p>
            <w:pPr>
              <w:spacing w:after="0"/>
              <w:rPr>
                <w:sz w:val="1"/>
                <w:szCs w:val="1"/>
                <w:color w:val="auto"/>
              </w:rPr>
            </w:pPr>
          </w:p>
        </w:tc>
      </w:tr>
      <w:tr>
        <w:trPr>
          <w:trHeight w:val="230"/>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2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equity method investment</w:t>
            </w: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29"/>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(gain) from change in fair value of earnout liability</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0" w:type="dxa"/>
            <w:vAlign w:val="bottom"/>
          </w:tcPr>
          <w:p>
            <w:pPr>
              <w:spacing w:after="0"/>
              <w:rPr>
                <w:sz w:val="1"/>
                <w:szCs w:val="1"/>
                <w:color w:val="auto"/>
              </w:rPr>
            </w:pPr>
          </w:p>
        </w:tc>
      </w:tr>
      <w:tr>
        <w:trPr>
          <w:trHeight w:val="230"/>
        </w:trPr>
        <w:tc>
          <w:tcPr>
            <w:tcW w:w="7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29"/>
        </w:trPr>
        <w:tc>
          <w:tcPr>
            <w:tcW w:w="7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 accrued compensation and other accrued expenses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0" w:type="dxa"/>
            <w:vAlign w:val="bottom"/>
          </w:tcPr>
          <w:p>
            <w:pPr>
              <w:spacing w:after="0"/>
              <w:rPr>
                <w:sz w:val="1"/>
                <w:szCs w:val="1"/>
                <w:color w:val="auto"/>
              </w:rPr>
            </w:pPr>
          </w:p>
        </w:tc>
      </w:tr>
      <w:tr>
        <w:trPr>
          <w:trHeight w:val="230"/>
        </w:trPr>
        <w:tc>
          <w:tcPr>
            <w:tcW w:w="7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(13,533)</w:t>
            </w:r>
          </w:p>
        </w:tc>
        <w:tc>
          <w:tcPr>
            <w:tcW w:w="0" w:type="dxa"/>
            <w:vAlign w:val="bottom"/>
          </w:tcPr>
          <w:p>
            <w:pPr>
              <w:spacing w:after="0"/>
              <w:rPr>
                <w:sz w:val="1"/>
                <w:szCs w:val="1"/>
                <w:color w:val="auto"/>
              </w:rPr>
            </w:pPr>
          </w:p>
        </w:tc>
      </w:tr>
      <w:tr>
        <w:trPr>
          <w:trHeight w:val="20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issuance of common stock in connection stock option exercises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30"/>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9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(12,625)</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238,602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88,240</w:t>
            </w:r>
          </w:p>
        </w:tc>
        <w:tc>
          <w:tcPr>
            <w:tcW w:w="0" w:type="dxa"/>
            <w:vAlign w:val="bottom"/>
          </w:tcPr>
          <w:p>
            <w:pPr>
              <w:spacing w:after="0"/>
              <w:rPr>
                <w:sz w:val="1"/>
                <w:szCs w:val="1"/>
                <w:color w:val="auto"/>
              </w:rPr>
            </w:pP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75,615</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OF CASH, CASH EQUIVALENTS AND RESTRICTED CASH</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221,008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75,132</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223,370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75,615</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9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paid for interest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Capital expenditures in accounts payable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bl>
    <w:p>
      <w:pPr>
        <w:spacing w:after="0" w:line="2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condensed notes are an integral part of these condensed consolidated financial statements.</w:t>
      </w:r>
    </w:p>
    <w:p>
      <w:pPr>
        <w:sectPr>
          <w:pgSz w:w="11900" w:h="16838" w:orient="portrait"/>
          <w:cols w:equalWidth="0" w:num="1">
            <w:col w:w="11140"/>
          </w:cols>
          <w:pgMar w:left="320" w:top="45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54" w:right="439" w:bottom="1440" w:gutter="0" w:footer="0" w:header="0"/>
          <w:type w:val="continuous"/>
        </w:sectPr>
      </w:pPr>
    </w:p>
    <w:bookmarkStart w:id="6" w:name="page7"/>
    <w:bookmarkEnd w:id="6"/>
    <w:p>
      <w:pPr>
        <w:ind w:left="3700"/>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35"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Navitas Semiconductor Corporation (“The Company”) was founded in 2014 and has since been developing next-generation power semiconductors including gallium nitride (“GaN”) power integrated circuits (“ICs”), silicon carbide (“SiC”) and associated high-speed silicon system controllers and digital isolators used in power conversion and charging. The Company presently operates as a product design house that contracts the manufacturing of its chips and packaging to partner suppliers. Navitas maintains its operations around the world, including the United States, Philippines, China, Taiwan, and South Korea, with principal executive offices in Torrance, California.</w:t>
      </w:r>
    </w:p>
    <w:p>
      <w:pPr>
        <w:spacing w:after="0" w:line="83"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Company has two authorized classes of common stock: Class A common stock, par value of $0.0001 per share (“Class A common stock”) and Class B common stock, par value of $0.0001 per share (“Class B common stock”). Both classes have identical voting, dividend, and liquidation rights. There were no outstanding Class B shares as of March 31, 2026 and 2025. The Company also has authorized 1.0 million shares of preferred stock, par value of $0.0001 per share (“preferred stock”), with no amounts outstanding as of March 31, 2026 and 2025. The preferred stock may be issued with terms, rights, and preferences determined by the board of directors at the time of issuance.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Use of Estimates</w:t>
      </w:r>
    </w:p>
    <w:p>
      <w:pPr>
        <w:spacing w:after="0" w:line="160"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unaudited and have been prepared in accordance with U.S. Generally Accepted Accounting Principles ("U.S. GAAP") and pursuant to the rules and regulations of the U.S. Securities and Exchange Commission ("SEC"). In our opinion, they include all adjustments, consisting only of normal recurring adjustments, necessary for the fair presentation of results for the interim periods. Certain information and note disclosures normally included in financial statements prepared in accordance with U.S. GAAP have been condensed or omitted as permitted by the SEC's rules and regulations for interim reporting. These Consolidated Financial Statements should be read in conjunction with our audited financial statements and notes thereto included in our annual report on Form 10-K for the year ended December 31, 2025, filed with the SEC on February 27, 2026.</w:t>
      </w:r>
    </w:p>
    <w:p>
      <w:pPr>
        <w:spacing w:after="0" w:line="88"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judgments affecting the amounts reported in our condensed consolidated financial statements and the accompanying notes. We base our estimates and judgments on historical experience, knowledge of current conditions, and our beliefs of what could occur in the future considering available information. While we believe that our estimates, assumptions, and judgments are reasonable, they are based on information available when made, and because of the uncertainty inherent in these matters, the actual results that we experience may differ materially from these estimates under different assumptions or conditions. We evaluate our estimates and judgments on an ongoing basis.</w:t>
      </w:r>
    </w:p>
    <w:p>
      <w:pPr>
        <w:spacing w:after="0" w:line="85"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We describe our accounting methods and practices in more detail in our 2025 10-K. There have been no changes to the significant accounting policies, procedures, or general information described in our 2025 10-K that have had a material impact on our condensed consolidated financial statements and the accompanying notes, except as described in Note 15 - “Related Party Transactions.”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133"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 for the three months ended March 31, 2026. Equipment previously included in construction in progress has been reclassified to computers and other equipment. This reclassification had no impact on net loss or retained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4" w:lineRule="auto"/>
        <w:rPr>
          <w:sz w:val="20"/>
          <w:szCs w:val="20"/>
          <w:color w:val="auto"/>
        </w:rPr>
      </w:pPr>
      <w:r>
        <w:rPr>
          <w:rFonts w:ascii="Times New Roman" w:cs="Times New Roman" w:eastAsia="Times New Roman" w:hAnsi="Times New Roman"/>
          <w:sz w:val="18"/>
          <w:szCs w:val="18"/>
          <w:b w:val="1"/>
          <w:bCs w:val="1"/>
          <w:color w:val="auto"/>
        </w:rPr>
        <w:t>NAVITAS SEMICONDUCTOR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6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In December 2025, the FASB issued ASU 2025-12, Codification Improvements, which makes technical corrections, clarifications, and other minor improvements to various Topics within the Accounting Standards Codification. The amendments are intended to improve the consistency and usability of U.S. GAAP and do not introduce significant new accounting requirements. ASU 2025-12 is effective for annual periods beginning after December 15, 2026, and interim periods within those annual periods, with early adoption permitted. The Company is currently evaluating the impact of this guidance; however, it does not expect adoption to have a material impact on its condensed consolidated financial statements.</w:t>
      </w:r>
    </w:p>
    <w:p>
      <w:pPr>
        <w:spacing w:after="0" w:line="69"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Improvements, which clarifies the application of interim reporting guidance and improves the organization of disclosure requirements within Topic 270. The amendments do not change the underlying principles of interim reporting or require additional disclosures. ASU 2025-11 is effective for interim reporting periods within annual periods beginning after December 15, 2027, with early adoption permitted. The Company is currently evaluating the impact of this guidance; however, it does not expect adoption to have a material impact on its condensed consolidated financial statements.</w:t>
      </w:r>
    </w:p>
    <w:p>
      <w:pPr>
        <w:spacing w:after="0" w:line="83"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Other—Internal-Use Software (Subtopic 350-40): Targeted Improvements to the Accounting for Internal-Use Software. The amendments eliminate references to software development project stages, making the guidance neutral across various software development methods. ASU 2025-06 is effective for annual reporting periods beginning after December 15, 2027, including interim periods within those fiscal years, with early adoption permitted. The Company is currently evaluating its potential impact on its Consolidated Financial Statements.</w:t>
      </w:r>
    </w:p>
    <w:p>
      <w:pPr>
        <w:spacing w:after="0" w:line="83"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which mandates enhanced disclosure of specific costs and expenses within the notes to the financial statements. The guidance is effective for annual reporting periods beginning after December 15, 2026, and interim periods within annual reporting periods beginning after December 15, 2027. Early adoption is permitted, and the amendments may be applied prospectively to reporting periods after the effective date or retrospectively to all periods presented in the financial statements. The Company is evaluating the impact that this ASU will have on the presentation of its consolidated financial statements, thus there was no impact related to adoption of this standard.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48"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Instruments—Credit Losses (Topic 326): Measurements of Credit Losses for Accounts Receivable and Contract Assets. This update introduces a practical expedient for estimating expected credit losses on current accounts receivable and contract assets arising from revenue transactions within the scope of ASC 606. Companies that elect this expedient must disclose both the election and the date through which subsequent cash collections are considered in the estimate. The Company adopted this standard on January 1, 2026 and has not elected the practical expedient.</w:t>
      </w:r>
    </w:p>
    <w:p>
      <w:pPr>
        <w:spacing w:after="0" w:line="83"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This Form 10-Q does not include any other newly implemented accounting standards or pronouncements beyond those detailed above. Such exclusions were made because they either do not apply to the Company or are not anticipated to materially impact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4" w:lineRule="auto"/>
        <w:rPr>
          <w:sz w:val="20"/>
          <w:szCs w:val="20"/>
          <w:color w:val="auto"/>
        </w:rPr>
      </w:pPr>
      <w:r>
        <w:rPr>
          <w:rFonts w:ascii="Times New Roman" w:cs="Times New Roman" w:eastAsia="Times New Roman" w:hAnsi="Times New Roman"/>
          <w:sz w:val="18"/>
          <w:szCs w:val="18"/>
          <w:b w:val="1"/>
          <w:bCs w:val="1"/>
          <w:color w:val="auto"/>
        </w:rPr>
        <w:t>NAVITAS SEMICONDUCTOR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NET LOSS PER SHARE</w:t>
      </w:r>
    </w:p>
    <w:p>
      <w:pPr>
        <w:spacing w:after="0" w:line="135" w:lineRule="exact"/>
        <w:rPr>
          <w:sz w:val="20"/>
          <w:szCs w:val="20"/>
          <w:color w:val="auto"/>
        </w:rPr>
      </w:pPr>
    </w:p>
    <w:p>
      <w:pPr>
        <w:jc w:val="both"/>
        <w:ind w:firstLine="486"/>
        <w:spacing w:after="0" w:line="293" w:lineRule="auto"/>
        <w:rPr>
          <w:sz w:val="20"/>
          <w:szCs w:val="20"/>
          <w:color w:val="auto"/>
        </w:rPr>
      </w:pPr>
      <w:r>
        <w:rPr>
          <w:rFonts w:ascii="Times New Roman" w:cs="Times New Roman" w:eastAsia="Times New Roman" w:hAnsi="Times New Roman"/>
          <w:sz w:val="18"/>
          <w:szCs w:val="18"/>
          <w:color w:val="auto"/>
        </w:rPr>
        <w:t>Basic income (loss) per share is calculated by dividing net income (loss) by the weighted-average shares of common stock outstanding during the period using the two-class method because the Company’s sponsor earnout shares are a participating security since these shares contain a non-forfeitable right to receive dividends. Under the two-class method, earnings are allocated to each class of common stock and participating security as if all of the earnings for the period had been distributed. As the Company incurred net losses during the three months ended March 31, 2026 and 2025 and these securities are not contractually required to fund the Company’s losses, there is no allocation to the participating securities in the years presented. Diluted earnings per share are calculated by dividing net income (loss) by the weighted-average shares of common stock and dilutive common equivalent shares outstanding during the period. Dilutive common equivalent shares included in this calculation consist of dilutive shares issuable upon the assumed exercise of outstanding common stock options, the assumed vesting of outstanding RSUs and restricted stock awards, and the assumed issuance of awards for contingently issuable performance-based awards, as computed using the treasury stock method. Performance-based RSUs and restricted stock awards are included in the number of shares used to calculate diluted earnings per share after evaluating the applicable performance criteria as of period end and under the assumption the end of the reporting period was the end of the contingency period, and the effect is dilutive. The Company has no plans to declare dividends.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6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43"/>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2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1"/>
                <w:szCs w:val="21"/>
                <w:color w:val="auto"/>
              </w:rPr>
            </w:pPr>
          </w:p>
        </w:tc>
        <w:tc>
          <w:tcPr>
            <w:tcW w:w="184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7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2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 basic common stock</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229,988</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187,784</w:t>
            </w:r>
          </w:p>
        </w:tc>
      </w:tr>
      <w:tr>
        <w:trPr>
          <w:trHeight w:val="230"/>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options and other dilutive awards</w:t>
            </w: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8"/>
        </w:trPr>
        <w:tc>
          <w:tcPr>
            <w:tcW w:w="74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 diluted common stock</w:t>
            </w:r>
          </w:p>
        </w:tc>
        <w:tc>
          <w:tcPr>
            <w:tcW w:w="1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229,988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187,784</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7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29"/>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Shares excluded from diluted weighted-average shares:</w:t>
            </w: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43"/>
        </w:trPr>
        <w:tc>
          <w:tcPr>
            <w:tcW w:w="7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Dilutive shares excluded ¹</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4,538</w:t>
            </w:r>
          </w:p>
        </w:tc>
        <w:tc>
          <w:tcPr>
            <w:tcW w:w="1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r>
    </w:tbl>
    <w:p>
      <w:pPr>
        <w:spacing w:after="0" w:line="99" w:lineRule="exact"/>
        <w:rPr>
          <w:sz w:val="20"/>
          <w:szCs w:val="20"/>
          <w:color w:val="auto"/>
        </w:rPr>
      </w:pPr>
    </w:p>
    <w:p>
      <w:pPr>
        <w:ind w:left="340" w:hanging="8"/>
        <w:spacing w:after="0" w:line="302" w:lineRule="auto"/>
        <w:tabs>
          <w:tab w:leader="none" w:pos="433"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potentially dilutive securities, which include unexercised stock options, unvested restricted stock units, and ESPP shares have been excluded from the computation of diluted net loss per share as the effect would be to reduce the net loss per share for the three months ended March 31, 2026 and 2025.</w:t>
      </w:r>
    </w:p>
    <w:p>
      <w:pPr>
        <w:spacing w:after="0" w:line="207" w:lineRule="exact"/>
        <w:rPr>
          <w:sz w:val="20"/>
          <w:szCs w:val="20"/>
          <w:color w:val="auto"/>
        </w:rPr>
      </w:pPr>
    </w:p>
    <w:p>
      <w:pPr>
        <w:jc w:val="both"/>
        <w:ind w:firstLine="486"/>
        <w:spacing w:after="0" w:line="289" w:lineRule="auto"/>
        <w:rPr>
          <w:sz w:val="20"/>
          <w:szCs w:val="20"/>
          <w:color w:val="auto"/>
        </w:rPr>
      </w:pPr>
      <w:r>
        <w:rPr>
          <w:rFonts w:ascii="Times New Roman" w:cs="Times New Roman" w:eastAsia="Times New Roman" w:hAnsi="Times New Roman"/>
          <w:sz w:val="18"/>
          <w:szCs w:val="18"/>
          <w:color w:val="auto"/>
        </w:rPr>
        <w:t>As of March 31, 2026, the Company did not exclude any restricted stock awards from the diluted weighted average share count, as the individuals associated with those awards are no longer employed by the Company. As of March 31, 2025, the Company excluded an immaterial amount of restricted stock awards from the diluted weighted average share count as their performance conditions have not been achieved. As of March 31, 2026 and 2025, the Company excluded 10.0 million Earnout shares from the diluted weighted average share count as their performance and/or market conditions have not been achieved. As of March 31, 2026, there have been no Long Term Incentive Plan options (“LTIP options”) excluded from the diluted weighted average share count as these options have all been forfeited. As of March 31, 2025, 6.5 million LTIP options had been excluded from the diluted weighted average share count as their performance and/or market conditions have not been achieved.</w:t>
      </w:r>
    </w:p>
    <w:p>
      <w:pPr>
        <w:spacing w:after="0" w:line="78" w:lineRule="exact"/>
        <w:rPr>
          <w:sz w:val="20"/>
          <w:szCs w:val="20"/>
          <w:color w:val="auto"/>
        </w:rPr>
      </w:pPr>
    </w:p>
    <w:p>
      <w:pPr>
        <w:jc w:val="both"/>
        <w:ind w:firstLine="486"/>
        <w:spacing w:after="0" w:line="301" w:lineRule="auto"/>
        <w:rPr>
          <w:sz w:val="20"/>
          <w:szCs w:val="20"/>
          <w:color w:val="auto"/>
        </w:rPr>
      </w:pPr>
      <w:r>
        <w:rPr>
          <w:rFonts w:ascii="Times New Roman" w:cs="Times New Roman" w:eastAsia="Times New Roman" w:hAnsi="Times New Roman"/>
          <w:sz w:val="18"/>
          <w:szCs w:val="18"/>
          <w:color w:val="auto"/>
        </w:rPr>
        <w:t>As of March 31, 2026, the Company excluded 1.3 million of outstanding Class A common stock from basic and diluted weighted average share count as these shares are subject to forfeiture based on market conditions that have not been achieved. These shares relate to certain shares of Class A common stock held by the Company’s SPAC sponsor that as part of the business combination were placed under market conditions requirements that if not met, would result in forfeiture. These requirements are consistent with the Earnout Milestones noted in Note 11 - “Earnout Liability” and these shares are participating securities with the same voting and dividend rights as the Company’s other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4" w:lineRule="auto"/>
        <w:rPr>
          <w:sz w:val="20"/>
          <w:szCs w:val="20"/>
          <w:color w:val="auto"/>
        </w:rPr>
      </w:pPr>
      <w:r>
        <w:rPr>
          <w:rFonts w:ascii="Times New Roman" w:cs="Times New Roman" w:eastAsia="Times New Roman" w:hAnsi="Times New Roman"/>
          <w:sz w:val="18"/>
          <w:szCs w:val="18"/>
          <w:b w:val="1"/>
          <w:bCs w:val="1"/>
          <w:color w:val="auto"/>
        </w:rPr>
        <w:t>NAVITAS SEMICONDUCTOR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SIGNIFICANT CUSTOMERS AND CREDIT CONCENTRATIONS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Concentration</w:t>
      </w:r>
    </w:p>
    <w:p>
      <w:pPr>
        <w:spacing w:after="0" w:line="160" w:lineRule="exact"/>
        <w:rPr>
          <w:sz w:val="20"/>
          <w:szCs w:val="20"/>
          <w:color w:val="auto"/>
        </w:rPr>
      </w:pPr>
    </w:p>
    <w:p>
      <w:pPr>
        <w:ind w:right="20" w:firstLine="486"/>
        <w:spacing w:after="0" w:line="313" w:lineRule="auto"/>
        <w:rPr>
          <w:sz w:val="20"/>
          <w:szCs w:val="20"/>
          <w:color w:val="auto"/>
        </w:rPr>
      </w:pPr>
      <w:r>
        <w:rPr>
          <w:rFonts w:ascii="Times New Roman" w:cs="Times New Roman" w:eastAsia="Times New Roman" w:hAnsi="Times New Roman"/>
          <w:sz w:val="18"/>
          <w:szCs w:val="18"/>
          <w:color w:val="auto"/>
        </w:rPr>
        <w:t>A majority of the Company’s revenues are attributable to sales of the Company’s products to distributors of electronic components. These distributors sell the Company’s products to a range of end users, including OEMs and merchant power supply manufacturers.</w:t>
      </w:r>
    </w:p>
    <w:p>
      <w:pPr>
        <w:spacing w:after="0" w:line="54"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customers represented 10% or more of the Company’s net revenues for the three months ended March 31, 2026 and 2025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Customer</w:t>
            </w:r>
          </w:p>
        </w:tc>
        <w:tc>
          <w:tcPr>
            <w:tcW w:w="3960" w:type="dxa"/>
            <w:vAlign w:val="bottom"/>
            <w:tcBorders>
              <w:bottom w:val="single" w:sz="8" w:color="auto"/>
            </w:tcBorders>
            <w:gridSpan w:val="3"/>
          </w:tcPr>
          <w:p>
            <w:pPr>
              <w:jc w:val="right"/>
              <w:ind w:right="77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2"/>
        </w:trPr>
        <w:tc>
          <w:tcPr>
            <w:tcW w:w="7280" w:type="dxa"/>
            <w:vAlign w:val="bottom"/>
            <w:gridSpan w:val="2"/>
            <w:vMerge w:val="continue"/>
          </w:tcPr>
          <w:p>
            <w:pPr>
              <w:spacing w:after="0"/>
              <w:rPr>
                <w:sz w:val="18"/>
                <w:szCs w:val="18"/>
                <w:color w:val="auto"/>
              </w:rPr>
            </w:pPr>
          </w:p>
        </w:tc>
        <w:tc>
          <w:tcPr>
            <w:tcW w:w="1940" w:type="dxa"/>
            <w:vAlign w:val="bottom"/>
          </w:tcPr>
          <w:p>
            <w:pPr>
              <w:jc w:val="right"/>
              <w:ind w:right="714"/>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8"/>
                <w:szCs w:val="18"/>
                <w:color w:val="auto"/>
              </w:rPr>
            </w:pPr>
          </w:p>
        </w:tc>
        <w:tc>
          <w:tcPr>
            <w:tcW w:w="1940" w:type="dxa"/>
            <w:vAlign w:val="bottom"/>
          </w:tcPr>
          <w:p>
            <w:pPr>
              <w:jc w:val="right"/>
              <w:ind w:right="7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23"/>
        </w:trPr>
        <w:tc>
          <w:tcPr>
            <w:tcW w:w="7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 A</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8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Distributor B</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30"/>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 C</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by Geographic Area</w:t>
      </w:r>
    </w:p>
    <w:p>
      <w:pPr>
        <w:spacing w:after="0" w:line="1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Revenues for the three months ended March 31, 2026 and 2025 were attributable to the following regions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Region</w:t>
            </w:r>
          </w:p>
        </w:tc>
        <w:tc>
          <w:tcPr>
            <w:tcW w:w="4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3"/>
          </w:tcPr>
          <w:p>
            <w:pPr>
              <w:jc w:val="center"/>
              <w:ind w:left="11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3"/>
          </w:tcPr>
          <w:p>
            <w:pPr>
              <w:jc w:val="center"/>
              <w:ind w:left="9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4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2700" w:type="dxa"/>
            <w:vAlign w:val="bottom"/>
            <w:gridSpan w:val="3"/>
          </w:tcPr>
          <w:p>
            <w:pPr>
              <w:jc w:val="right"/>
              <w:ind w:right="1100"/>
              <w:spacing w:after="0"/>
              <w:rPr>
                <w:sz w:val="20"/>
                <w:szCs w:val="20"/>
                <w:color w:val="auto"/>
              </w:rPr>
            </w:pPr>
            <w:r>
              <w:rPr>
                <w:rFonts w:ascii="Times New Roman" w:cs="Times New Roman" w:eastAsia="Times New Roman" w:hAnsi="Times New Roman"/>
                <w:sz w:val="16"/>
                <w:szCs w:val="16"/>
                <w:b w:val="1"/>
                <w:bCs w:val="1"/>
                <w:color w:val="auto"/>
              </w:rPr>
              <w:t>2026</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720" w:type="dxa"/>
            <w:vAlign w:val="bottom"/>
            <w:gridSpan w:val="3"/>
          </w:tcPr>
          <w:p>
            <w:pPr>
              <w:jc w:val="right"/>
              <w:ind w:right="11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6,583</w:t>
            </w:r>
          </w:p>
        </w:tc>
        <w:tc>
          <w:tcPr>
            <w:tcW w:w="1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8,270</w:t>
            </w:r>
          </w:p>
        </w:tc>
        <w:tc>
          <w:tcPr>
            <w:tcW w:w="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3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4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 of Asia</w:t>
            </w:r>
          </w:p>
        </w:tc>
        <w:tc>
          <w:tcPr>
            <w:tcW w:w="4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4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4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others</w:t>
            </w:r>
          </w:p>
        </w:tc>
        <w:tc>
          <w:tcPr>
            <w:tcW w:w="460" w:type="dxa"/>
            <w:vAlign w:val="bottom"/>
          </w:tcPr>
          <w:p>
            <w:pPr>
              <w:spacing w:after="0"/>
              <w:rPr>
                <w:sz w:val="19"/>
                <w:szCs w:val="19"/>
                <w:color w:val="auto"/>
              </w:rPr>
            </w:pPr>
          </w:p>
        </w:tc>
        <w:tc>
          <w:tcPr>
            <w:tcW w:w="2700" w:type="dxa"/>
            <w:vAlign w:val="bottom"/>
            <w:gridSpan w:val="3"/>
          </w:tcPr>
          <w:p>
            <w:pPr>
              <w:jc w:val="right"/>
              <w:ind w:right="14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8"/>
        </w:trPr>
        <w:tc>
          <w:tcPr>
            <w:tcW w:w="35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customers represented 10% or more of the Company’s accounts receivable (in thousands).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Customer</w:t>
            </w:r>
          </w:p>
        </w:tc>
        <w:tc>
          <w:tcPr>
            <w:tcW w:w="660" w:type="dxa"/>
            <w:vAlign w:val="bottom"/>
          </w:tcPr>
          <w:p>
            <w:pPr>
              <w:spacing w:after="0"/>
              <w:rPr>
                <w:sz w:val="20"/>
                <w:szCs w:val="20"/>
                <w:color w:val="auto"/>
              </w:rPr>
            </w:pPr>
          </w:p>
        </w:tc>
        <w:tc>
          <w:tcPr>
            <w:tcW w:w="214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2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780" w:type="dxa"/>
            <w:vAlign w:val="bottom"/>
          </w:tcPr>
          <w:p>
            <w:pPr>
              <w:spacing w:after="0"/>
              <w:rPr>
                <w:sz w:val="20"/>
                <w:szCs w:val="20"/>
                <w:color w:val="auto"/>
              </w:rPr>
            </w:pPr>
          </w:p>
        </w:tc>
      </w:tr>
      <w:tr>
        <w:trPr>
          <w:trHeight w:val="223"/>
        </w:trPr>
        <w:tc>
          <w:tcPr>
            <w:tcW w:w="3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 A</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Borders>
              <w:top w:val="single" w:sz="8" w:color="auto"/>
            </w:tcBorders>
            <w:shd w:val="clear" w:color="auto" w:fill="CCEEFF"/>
          </w:tcPr>
          <w:p>
            <w:pPr>
              <w:jc w:val="right"/>
              <w:ind w:right="1072"/>
              <w:spacing w:after="0"/>
              <w:rPr>
                <w:sz w:val="20"/>
                <w:szCs w:val="20"/>
                <w:color w:val="auto"/>
              </w:rPr>
            </w:pPr>
            <w:r>
              <w:rPr>
                <w:rFonts w:ascii="Times New Roman" w:cs="Times New Roman" w:eastAsia="Times New Roman" w:hAnsi="Times New Roman"/>
                <w:sz w:val="18"/>
                <w:szCs w:val="18"/>
                <w:color w:val="auto"/>
              </w:rPr>
              <w:t>2,143</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top w:val="single" w:sz="8" w:color="auto"/>
            </w:tcBorders>
            <w:shd w:val="clear" w:color="auto" w:fill="CCEEFF"/>
          </w:tcPr>
          <w:p>
            <w:pPr>
              <w:jc w:val="right"/>
              <w:ind w:right="1132"/>
              <w:spacing w:after="0"/>
              <w:rPr>
                <w:sz w:val="20"/>
                <w:szCs w:val="20"/>
                <w:color w:val="auto"/>
              </w:rPr>
            </w:pPr>
            <w:r>
              <w:rPr>
                <w:rFonts w:ascii="Times New Roman" w:cs="Times New Roman" w:eastAsia="Times New Roman" w:hAnsi="Times New Roman"/>
                <w:sz w:val="18"/>
                <w:szCs w:val="18"/>
                <w:color w:val="auto"/>
              </w:rPr>
              <w:t>860</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3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Distributor B</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Pr>
          <w:p>
            <w:pPr>
              <w:jc w:val="right"/>
              <w:ind w:right="1072"/>
              <w:spacing w:after="0"/>
              <w:rPr>
                <w:sz w:val="20"/>
                <w:szCs w:val="20"/>
                <w:color w:val="auto"/>
              </w:rPr>
            </w:pPr>
            <w:r>
              <w:rPr>
                <w:rFonts w:ascii="Times New Roman" w:cs="Times New Roman" w:eastAsia="Times New Roman" w:hAnsi="Times New Roman"/>
                <w:sz w:val="18"/>
                <w:szCs w:val="18"/>
                <w:color w:val="auto"/>
              </w:rPr>
              <w:t>386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ind w:right="1132"/>
              <w:spacing w:after="0"/>
              <w:rPr>
                <w:sz w:val="20"/>
                <w:szCs w:val="20"/>
                <w:color w:val="auto"/>
              </w:rPr>
            </w:pPr>
            <w:r>
              <w:rPr>
                <w:rFonts w:ascii="Times New Roman" w:cs="Times New Roman" w:eastAsia="Times New Roman" w:hAnsi="Times New Roman"/>
                <w:sz w:val="18"/>
                <w:szCs w:val="18"/>
                <w:color w:val="auto"/>
              </w:rPr>
              <w:t>386</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9"/>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 C</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shd w:val="clear" w:color="auto" w:fill="CCEEFF"/>
          </w:tcPr>
          <w:p>
            <w:pPr>
              <w:jc w:val="right"/>
              <w:ind w:right="1072"/>
              <w:spacing w:after="0"/>
              <w:rPr>
                <w:sz w:val="20"/>
                <w:szCs w:val="20"/>
                <w:color w:val="auto"/>
              </w:rPr>
            </w:pPr>
            <w:r>
              <w:rPr>
                <w:rFonts w:ascii="Times New Roman" w:cs="Times New Roman" w:eastAsia="Times New Roman" w:hAnsi="Times New Roman"/>
                <w:sz w:val="18"/>
                <w:szCs w:val="18"/>
                <w:color w:val="auto"/>
              </w:rPr>
              <w:t>357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shd w:val="clear" w:color="auto" w:fill="CCEEFF"/>
          </w:tcPr>
          <w:p>
            <w:pPr>
              <w:jc w:val="right"/>
              <w:ind w:right="1132"/>
              <w:spacing w:after="0"/>
              <w:rPr>
                <w:sz w:val="20"/>
                <w:szCs w:val="20"/>
                <w:color w:val="auto"/>
              </w:rPr>
            </w:pPr>
            <w:r>
              <w:rPr>
                <w:rFonts w:ascii="Times New Roman" w:cs="Times New Roman" w:eastAsia="Times New Roman" w:hAnsi="Times New Roman"/>
                <w:sz w:val="18"/>
                <w:szCs w:val="18"/>
                <w:color w:val="auto"/>
              </w:rPr>
              <w:t>108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82" w:lineRule="exact"/>
        <w:rPr>
          <w:sz w:val="20"/>
          <w:szCs w:val="20"/>
          <w:color w:val="auto"/>
        </w:rPr>
      </w:pPr>
    </w:p>
    <w:p>
      <w:pPr>
        <w:ind w:left="800" w:hanging="144"/>
        <w:spacing w:after="0"/>
        <w:tabs>
          <w:tab w:leader="none" w:pos="80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Customer revenues or accounts receivable represented less than 10% of total revenues or accounts receivable.</w:t>
      </w:r>
    </w:p>
    <w:p>
      <w:pPr>
        <w:spacing w:after="0" w:line="200" w:lineRule="exact"/>
        <w:rPr>
          <w:rFonts w:ascii="Times New Roman" w:cs="Times New Roman" w:eastAsia="Times New Roman" w:hAnsi="Times New Roman"/>
          <w:sz w:val="18"/>
          <w:szCs w:val="18"/>
          <w:i w:val="1"/>
          <w:iCs w:val="1"/>
          <w:color w:val="auto"/>
        </w:rPr>
      </w:pPr>
    </w:p>
    <w:p>
      <w:pPr>
        <w:spacing w:after="0" w:line="200" w:lineRule="exact"/>
        <w:rPr>
          <w:rFonts w:ascii="Times New Roman" w:cs="Times New Roman" w:eastAsia="Times New Roman" w:hAnsi="Times New Roman"/>
          <w:sz w:val="18"/>
          <w:szCs w:val="18"/>
          <w:i w:val="1"/>
          <w:iCs w:val="1"/>
          <w:color w:val="auto"/>
        </w:rPr>
      </w:pPr>
    </w:p>
    <w:p>
      <w:pPr>
        <w:spacing w:after="0" w:line="340" w:lineRule="exact"/>
        <w:rPr>
          <w:rFonts w:ascii="Times New Roman" w:cs="Times New Roman" w:eastAsia="Times New Roman" w:hAnsi="Times New Roman"/>
          <w:sz w:val="18"/>
          <w:szCs w:val="18"/>
          <w:i w:val="1"/>
          <w:iCs w:val="1"/>
          <w:color w:val="auto"/>
        </w:rPr>
      </w:pPr>
    </w:p>
    <w:p>
      <w:pPr>
        <w:ind w:left="554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4" w:lineRule="auto"/>
        <w:rPr>
          <w:sz w:val="20"/>
          <w:szCs w:val="20"/>
          <w:color w:val="auto"/>
        </w:rPr>
      </w:pPr>
      <w:r>
        <w:rPr>
          <w:rFonts w:ascii="Times New Roman" w:cs="Times New Roman" w:eastAsia="Times New Roman" w:hAnsi="Times New Roman"/>
          <w:sz w:val="18"/>
          <w:szCs w:val="18"/>
          <w:b w:val="1"/>
          <w:bCs w:val="1"/>
          <w:color w:val="auto"/>
        </w:rPr>
        <w:t>NAVITAS SEMICONDUCTOR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BALANCE SHEET COMPONENTS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are non-interest-bearing and stated net of an allowance for expected lifetime credit losses, as detailed in our 2025 annual report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10-K. Accounts receivable, net consist of the following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3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gross</w:t>
            </w:r>
          </w:p>
        </w:tc>
        <w:tc>
          <w:tcPr>
            <w:tcW w:w="300" w:type="dxa"/>
            <w:vAlign w:val="bottom"/>
            <w:shd w:val="clear" w:color="auto" w:fill="CCEEFF"/>
          </w:tcPr>
          <w:p>
            <w:pPr>
              <w:spacing w:after="0"/>
              <w:rPr>
                <w:sz w:val="23"/>
                <w:szCs w:val="23"/>
                <w:color w:val="auto"/>
              </w:rPr>
            </w:pPr>
          </w:p>
        </w:tc>
        <w:tc>
          <w:tcPr>
            <w:tcW w:w="17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3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receivables</w:t>
            </w:r>
          </w:p>
        </w:tc>
        <w:tc>
          <w:tcPr>
            <w:tcW w:w="3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2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spacing w:after="0"/>
              <w:rPr>
                <w:sz w:val="20"/>
                <w:szCs w:val="20"/>
                <w:color w:val="auto"/>
              </w:rPr>
            </w:pPr>
          </w:p>
        </w:tc>
        <w:tc>
          <w:tcPr>
            <w:tcW w:w="17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3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Allowance for credit losses activity (in thousands):</w:t>
            </w: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880" w:type="dxa"/>
            <w:vAlign w:val="bottom"/>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48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Allowance for Credit Losses</w:t>
            </w:r>
          </w:p>
        </w:tc>
        <w:tc>
          <w:tcPr>
            <w:tcW w:w="0" w:type="dxa"/>
            <w:vAlign w:val="bottom"/>
          </w:tcPr>
          <w:p>
            <w:pPr>
              <w:spacing w:after="0"/>
              <w:rPr>
                <w:sz w:val="1"/>
                <w:szCs w:val="1"/>
                <w:color w:val="auto"/>
              </w:rPr>
            </w:pPr>
          </w:p>
        </w:tc>
      </w:tr>
      <w:tr>
        <w:trPr>
          <w:trHeight w:val="242"/>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(844)</w:t>
            </w:r>
          </w:p>
        </w:tc>
        <w:tc>
          <w:tcPr>
            <w:tcW w:w="0" w:type="dxa"/>
            <w:vAlign w:val="bottom"/>
          </w:tcPr>
          <w:p>
            <w:pPr>
              <w:spacing w:after="0"/>
              <w:rPr>
                <w:sz w:val="1"/>
                <w:szCs w:val="1"/>
                <w:color w:val="auto"/>
              </w:rPr>
            </w:pPr>
          </w:p>
        </w:tc>
      </w:tr>
      <w:tr>
        <w:trPr>
          <w:trHeight w:val="243"/>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written-off</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43"/>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Recovery of prior accounts written off</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14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7"/>
        </w:trPr>
        <w:tc>
          <w:tcPr>
            <w:tcW w:w="4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80" w:type="dxa"/>
            <w:vAlign w:val="bottom"/>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48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488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3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7,196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14,925</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13,283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80" w:type="dxa"/>
            <w:vAlign w:val="bottom"/>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48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 consist of the following (in thousands):</w:t>
            </w: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4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gridSpan w:val="2"/>
          </w:tcPr>
          <w:p>
            <w:pPr>
              <w:ind w:left="660"/>
              <w:spacing w:after="0"/>
              <w:rPr>
                <w:sz w:val="20"/>
                <w:szCs w:val="20"/>
                <w:color w:val="auto"/>
              </w:rPr>
            </w:pPr>
            <w:r>
              <w:rPr>
                <w:rFonts w:ascii="Times New Roman" w:cs="Times New Roman" w:eastAsia="Times New Roman" w:hAnsi="Times New Roman"/>
                <w:sz w:val="16"/>
                <w:szCs w:val="16"/>
                <w:b w:val="1"/>
                <w:bCs w:val="1"/>
                <w:color w:val="auto"/>
              </w:rPr>
              <w:t>Useful Life</w:t>
            </w:r>
          </w:p>
        </w:tc>
        <w:tc>
          <w:tcPr>
            <w:tcW w:w="0" w:type="dxa"/>
            <w:vAlign w:val="bottom"/>
          </w:tcPr>
          <w:p>
            <w:pPr>
              <w:spacing w:after="0"/>
              <w:rPr>
                <w:sz w:val="1"/>
                <w:szCs w:val="1"/>
                <w:color w:val="auto"/>
              </w:rPr>
            </w:pPr>
          </w:p>
        </w:tc>
      </w:tr>
      <w:tr>
        <w:trPr>
          <w:trHeight w:val="250"/>
        </w:trPr>
        <w:tc>
          <w:tcPr>
            <w:tcW w:w="4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ind w:right="97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60" w:type="dxa"/>
            <w:vAlign w:val="bottom"/>
            <w:tcBorders>
              <w:top w:val="single" w:sz="8" w:color="auto"/>
              <w:bottom w:val="single" w:sz="8" w:color="CCEEFF"/>
            </w:tcBorders>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3 — 7 years</w:t>
            </w:r>
          </w:p>
        </w:tc>
        <w:tc>
          <w:tcPr>
            <w:tcW w:w="0" w:type="dxa"/>
            <w:vAlign w:val="bottom"/>
          </w:tcPr>
          <w:p>
            <w:pPr>
              <w:spacing w:after="0"/>
              <w:rPr>
                <w:sz w:val="1"/>
                <w:szCs w:val="1"/>
                <w:color w:val="auto"/>
              </w:rPr>
            </w:pP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 and other equipment</w:t>
            </w:r>
          </w:p>
        </w:tc>
        <w:tc>
          <w:tcPr>
            <w:tcW w:w="300" w:type="dxa"/>
            <w:vAlign w:val="bottom"/>
          </w:tcPr>
          <w:p>
            <w:pPr>
              <w:spacing w:after="0"/>
              <w:rPr>
                <w:sz w:val="21"/>
                <w:szCs w:val="21"/>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15,813</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15,675</w:t>
            </w:r>
          </w:p>
        </w:tc>
        <w:tc>
          <w:tcPr>
            <w:tcW w:w="80" w:type="dxa"/>
            <w:vAlign w:val="bottom"/>
          </w:tcPr>
          <w:p>
            <w:pPr>
              <w:spacing w:after="0"/>
              <w:rPr>
                <w:sz w:val="21"/>
                <w:szCs w:val="21"/>
                <w:color w:val="auto"/>
              </w:rPr>
            </w:pPr>
          </w:p>
        </w:tc>
        <w:tc>
          <w:tcPr>
            <w:tcW w:w="206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2 — 5 years</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gridSpan w:val="5"/>
          </w:tcPr>
          <w:p>
            <w:pPr>
              <w:spacing w:after="0"/>
              <w:rPr>
                <w:sz w:val="2"/>
                <w:szCs w:val="2"/>
                <w:color w:val="auto"/>
              </w:rPr>
            </w:pPr>
          </w:p>
        </w:tc>
        <w:tc>
          <w:tcPr>
            <w:tcW w:w="80" w:type="dxa"/>
            <w:vAlign w:val="bottom"/>
          </w:tcPr>
          <w:p>
            <w:pPr>
              <w:spacing w:after="0"/>
              <w:rPr>
                <w:sz w:val="2"/>
                <w:szCs w:val="2"/>
                <w:color w:val="auto"/>
              </w:rPr>
            </w:pPr>
          </w:p>
        </w:tc>
        <w:tc>
          <w:tcPr>
            <w:tcW w:w="20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8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2 — 6 years</w:t>
            </w:r>
          </w:p>
        </w:tc>
        <w:tc>
          <w:tcPr>
            <w:tcW w:w="0" w:type="dxa"/>
            <w:vAlign w:val="bottom"/>
          </w:tcPr>
          <w:p>
            <w:pPr>
              <w:spacing w:after="0"/>
              <w:rPr>
                <w:sz w:val="1"/>
                <w:szCs w:val="1"/>
                <w:color w:val="auto"/>
              </w:rPr>
            </w:pPr>
          </w:p>
        </w:tc>
      </w:tr>
      <w:tr>
        <w:trPr>
          <w:trHeight w:val="236"/>
        </w:trPr>
        <w:tc>
          <w:tcPr>
            <w:tcW w:w="48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20,576</w:t>
            </w:r>
          </w:p>
        </w:tc>
        <w:tc>
          <w:tcPr>
            <w:tcW w:w="80" w:type="dxa"/>
            <w:vAlign w:val="bottom"/>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20,353</w:t>
            </w: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gridSpan w:val="5"/>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(11,453)</w:t>
            </w:r>
          </w:p>
        </w:tc>
        <w:tc>
          <w:tcPr>
            <w:tcW w:w="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(10,574)</w:t>
            </w:r>
          </w:p>
        </w:tc>
        <w:tc>
          <w:tcPr>
            <w:tcW w:w="8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9,123</w:t>
            </w:r>
          </w:p>
        </w:tc>
        <w:tc>
          <w:tcPr>
            <w:tcW w:w="80" w:type="dxa"/>
            <w:vAlign w:val="bottom"/>
          </w:tcPr>
          <w:p>
            <w:pPr>
              <w:spacing w:after="0"/>
              <w:rPr>
                <w:sz w:val="20"/>
                <w:szCs w:val="20"/>
                <w:color w:val="auto"/>
              </w:rPr>
            </w:pPr>
          </w:p>
        </w:tc>
        <w:tc>
          <w:tcPr>
            <w:tcW w:w="1180" w:type="dxa"/>
            <w:vAlign w:val="bottom"/>
            <w:tcBorders>
              <w:top w:val="single" w:sz="8" w:color="auto"/>
            </w:tcBorders>
          </w:tcPr>
          <w:p>
            <w:pPr>
              <w:jc w:val="right"/>
              <w:ind w:right="9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9,779</w:t>
            </w: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4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4" w:lineRule="auto"/>
        <w:rPr>
          <w:sz w:val="20"/>
          <w:szCs w:val="20"/>
          <w:color w:val="auto"/>
        </w:rPr>
      </w:pPr>
      <w:r>
        <w:rPr>
          <w:rFonts w:ascii="Times New Roman" w:cs="Times New Roman" w:eastAsia="Times New Roman" w:hAnsi="Times New Roman"/>
          <w:sz w:val="18"/>
          <w:szCs w:val="18"/>
          <w:b w:val="1"/>
          <w:bCs w:val="1"/>
          <w:color w:val="auto"/>
        </w:rPr>
        <w:t>NAVITAS SEMICONDUCTOR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OF FINANCIAL ASSETS AND LIABILITIES</w:t>
      </w:r>
    </w:p>
    <w:p>
      <w:pPr>
        <w:spacing w:after="0" w:line="135" w:lineRule="exact"/>
        <w:rPr>
          <w:sz w:val="20"/>
          <w:szCs w:val="20"/>
          <w:color w:val="auto"/>
        </w:rPr>
      </w:pPr>
    </w:p>
    <w:p>
      <w:pPr>
        <w:ind w:firstLine="486"/>
        <w:spacing w:after="0" w:line="329" w:lineRule="auto"/>
        <w:rPr>
          <w:sz w:val="20"/>
          <w:szCs w:val="20"/>
          <w:color w:val="auto"/>
        </w:rPr>
      </w:pPr>
      <w:r>
        <w:rPr>
          <w:rFonts w:ascii="Times New Roman" w:cs="Times New Roman" w:eastAsia="Times New Roman" w:hAnsi="Times New Roman"/>
          <w:sz w:val="18"/>
          <w:szCs w:val="18"/>
          <w:color w:val="auto"/>
        </w:rPr>
        <w:t>The short-term nature of the Company’s cash and cash equivalents, accounts receivable and current liabilities causes each of their carrying values to approximate fair value for all periods presented.</w:t>
      </w:r>
    </w:p>
    <w:p>
      <w:pPr>
        <w:spacing w:after="0" w:line="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Company’s fair value hierarchy for financial instruments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3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w w:val="97"/>
              </w:rPr>
              <w:t>Level 1</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186,738</w:t>
            </w:r>
          </w:p>
        </w:tc>
        <w:tc>
          <w:tcPr>
            <w:tcW w:w="140" w:type="dxa"/>
            <w:vAlign w:val="bottom"/>
            <w:gridSpan w:val="2"/>
          </w:tcPr>
          <w:p>
            <w:pPr>
              <w:spacing w:after="0"/>
              <w:rPr>
                <w:sz w:val="19"/>
                <w:szCs w:val="19"/>
                <w:color w:val="auto"/>
              </w:rPr>
            </w:pPr>
          </w:p>
        </w:tc>
        <w:tc>
          <w:tcPr>
            <w:tcW w:w="5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186,738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185,050</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185,050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6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186,738</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186,738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185,050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Earnout liability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30,546</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22,632</w:t>
            </w:r>
          </w:p>
        </w:tc>
        <w:tc>
          <w:tcPr>
            <w:tcW w:w="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22,632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6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22,632</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22,632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INTANGIBLES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206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40" w:type="dxa"/>
            <w:vAlign w:val="bottom"/>
            <w:gridSpan w:val="29"/>
          </w:tcPr>
          <w:p>
            <w:pPr>
              <w:ind w:left="280"/>
              <w:spacing w:after="0"/>
              <w:rPr>
                <w:sz w:val="20"/>
                <w:szCs w:val="20"/>
                <w:color w:val="auto"/>
              </w:rPr>
            </w:pPr>
            <w:r>
              <w:rPr>
                <w:rFonts w:ascii="Times New Roman" w:cs="Times New Roman" w:eastAsia="Times New Roman" w:hAnsi="Times New Roman"/>
                <w:sz w:val="18"/>
                <w:szCs w:val="18"/>
                <w:color w:val="auto"/>
              </w:rPr>
              <w:t>The following table presents the Company’s finite-lived intangible asset balances by asset class (in thousands):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6"/>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4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Intangible Asset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4"/>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Cost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5"/>
          </w:tcPr>
          <w:p>
            <w:pPr>
              <w:ind w:left="120"/>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126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gridSpan w:val="6"/>
          </w:tcPr>
          <w:p>
            <w:pPr>
              <w:ind w:left="300"/>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520" w:type="dxa"/>
            <w:vAlign w:val="bottom"/>
            <w:gridSpan w:val="6"/>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gridSpan w:val="4"/>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7"/>
                <w:szCs w:val="17"/>
                <w:color w:val="auto"/>
              </w:rPr>
            </w:pPr>
          </w:p>
        </w:tc>
        <w:tc>
          <w:tcPr>
            <w:tcW w:w="1260" w:type="dxa"/>
            <w:vAlign w:val="bottom"/>
            <w:gridSpan w:val="5"/>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520" w:type="dxa"/>
            <w:vAlign w:val="bottom"/>
            <w:gridSpan w:val="6"/>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54,677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(48,157)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54,677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(44,741)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9,936</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25,991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26,606</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24,300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15,491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24,300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(8,201)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16,099</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Non-Competition</w:t>
            </w: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Agreements</w:t>
            </w: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117,335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48,524</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117,335</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53,258</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360" w:type="dxa"/>
            <w:vAlign w:val="bottom"/>
            <w:tcBorders>
              <w:top w:val="single" w:sz="8" w:color="CCEEFF"/>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5"/>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5"/>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500" w:type="dxa"/>
            <w:vAlign w:val="bottom"/>
            <w:gridSpan w:val="24"/>
          </w:tcPr>
          <w:p>
            <w:pPr>
              <w:ind w:left="280"/>
              <w:spacing w:after="0"/>
              <w:rPr>
                <w:sz w:val="20"/>
                <w:szCs w:val="20"/>
                <w:color w:val="auto"/>
              </w:rPr>
            </w:pPr>
            <w:r>
              <w:rPr>
                <w:rFonts w:ascii="Times New Roman" w:cs="Times New Roman" w:eastAsia="Times New Roman" w:hAnsi="Times New Roman"/>
                <w:sz w:val="18"/>
                <w:szCs w:val="18"/>
                <w:color w:val="auto"/>
              </w:rPr>
              <w:t>Total future amortization expense of intangible assets is estimated to be as follows (in thousands):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40" w:type="dxa"/>
            <w:vAlign w:val="bottom"/>
          </w:tcPr>
          <w:p>
            <w:pPr>
              <w:spacing w:after="0"/>
              <w:rPr>
                <w:sz w:val="24"/>
                <w:szCs w:val="24"/>
                <w:color w:val="auto"/>
              </w:rPr>
            </w:pPr>
          </w:p>
        </w:tc>
        <w:tc>
          <w:tcPr>
            <w:tcW w:w="30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6"/>
                <w:szCs w:val="16"/>
                <w:b w:val="1"/>
                <w:bCs w:val="1"/>
                <w:color w:val="auto"/>
              </w:rPr>
              <w:t>Fiscal Year Ending December 31,</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2026 (remainder of fiscal 2026)</w:t>
            </w:r>
          </w:p>
        </w:tc>
        <w:tc>
          <w:tcPr>
            <w:tcW w:w="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9,586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4,996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4,690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18,921</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2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48,524</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4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4" w:lineRule="auto"/>
        <w:rPr>
          <w:sz w:val="20"/>
          <w:szCs w:val="20"/>
          <w:color w:val="auto"/>
        </w:rPr>
      </w:pPr>
      <w:r>
        <w:rPr>
          <w:rFonts w:ascii="Times New Roman" w:cs="Times New Roman" w:eastAsia="Times New Roman" w:hAnsi="Times New Roman"/>
          <w:sz w:val="18"/>
          <w:szCs w:val="18"/>
          <w:b w:val="1"/>
          <w:bCs w:val="1"/>
          <w:color w:val="auto"/>
        </w:rPr>
        <w:t>NAVITAS SEMICONDUCTOR CORPORATION NOTES TO CONDENSED CONSOLIDATED FINANCIAL STATEMENTS (unaudited)</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RESTRUCTURING</w:t>
      </w:r>
    </w:p>
    <w:p>
      <w:pPr>
        <w:spacing w:after="0" w:line="16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On January 20, 2025, the Company announced a cost-reduction plan (“2025 Restructuring Plan”) aimed at further streamlining operations and enhancing its focus on AI data centers, EV, and mobile applications. The plan included a 19% reduction in workforce, with most associated costs related to severance and stock-based compensation. No restructuring-related liabilities under the 2025 Restructuring Plan remain as of March 31, 2026. During the three months ended March 31, 2025, the Company incurred $1.5 million in restructuring costs related to this plan.</w:t>
      </w:r>
    </w:p>
    <w:p>
      <w:pPr>
        <w:spacing w:after="0" w:line="8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During the fourth quarter of 2025, the Company announced the Navitas 2.0 Restructuring Plan (“Restructuring Plan”) to further streamline its organization and enhance operational efficiency in support of its long-term growth strategy across high-priority markets, AI data centers, energy and grid infrastructure, performance computing and industrial electrification. The plan primarily consists of a 19% targeted workforce reduction and organizational realignments, with associated costs largely related to employee severance and benefits, contract termination costs, and fixed asset impairments. These actions are intended to sharpen the Company’s focus on higher-value opportunities, strengthen its technology leadership, and improve financial discipline.</w:t>
      </w:r>
    </w:p>
    <w:p>
      <w:pPr>
        <w:spacing w:after="0" w:line="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balance sheet activity related to the Restructuring Plan is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40" w:type="dxa"/>
            <w:vAlign w:val="bottom"/>
          </w:tcPr>
          <w:p>
            <w:pPr>
              <w:spacing w:after="0"/>
              <w:rPr>
                <w:sz w:val="16"/>
                <w:szCs w:val="16"/>
                <w:color w:val="auto"/>
              </w:rPr>
            </w:pPr>
          </w:p>
        </w:tc>
        <w:tc>
          <w:tcPr>
            <w:tcW w:w="16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Amounts accrued as</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Non-cash</w:t>
            </w:r>
          </w:p>
        </w:tc>
        <w:tc>
          <w:tcPr>
            <w:tcW w:w="1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Amounts accrued as</w:t>
            </w: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of December 31,</w:t>
            </w:r>
          </w:p>
        </w:tc>
        <w:tc>
          <w:tcPr>
            <w:tcW w:w="180" w:type="dxa"/>
            <w:vAlign w:val="bottom"/>
          </w:tcPr>
          <w:p>
            <w:pPr>
              <w:spacing w:after="0"/>
              <w:rPr>
                <w:sz w:val="14"/>
                <w:szCs w:val="14"/>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Costs Incurred</w:t>
            </w:r>
          </w:p>
        </w:tc>
        <w:tc>
          <w:tcPr>
            <w:tcW w:w="180" w:type="dxa"/>
            <w:vAlign w:val="bottom"/>
          </w:tcPr>
          <w:p>
            <w:pPr>
              <w:spacing w:after="0"/>
              <w:rPr>
                <w:sz w:val="14"/>
                <w:szCs w:val="14"/>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Cash Payments</w:t>
            </w:r>
          </w:p>
        </w:tc>
        <w:tc>
          <w:tcPr>
            <w:tcW w:w="22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120" w:type="dxa"/>
            <w:vAlign w:val="bottom"/>
          </w:tcPr>
          <w:p>
            <w:pPr>
              <w:spacing w:after="0"/>
              <w:rPr>
                <w:sz w:val="18"/>
                <w:szCs w:val="18"/>
                <w:color w:val="auto"/>
              </w:rPr>
            </w:pPr>
          </w:p>
        </w:tc>
        <w:tc>
          <w:tcPr>
            <w:tcW w:w="1400" w:type="dxa"/>
            <w:vAlign w:val="bottom"/>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of March 31, 2026</w:t>
            </w:r>
          </w:p>
        </w:tc>
        <w:tc>
          <w:tcPr>
            <w:tcW w:w="0" w:type="dxa"/>
            <w:vAlign w:val="bottom"/>
          </w:tcPr>
          <w:p>
            <w:pPr>
              <w:spacing w:after="0"/>
              <w:rPr>
                <w:sz w:val="1"/>
                <w:szCs w:val="1"/>
                <w:color w:val="auto"/>
              </w:rPr>
            </w:pPr>
          </w:p>
        </w:tc>
      </w:tr>
      <w:tr>
        <w:trPr>
          <w:trHeight w:val="225"/>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Severance and Benefits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Terminations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3"/>
        </w:trPr>
        <w:tc>
          <w:tcPr>
            <w:tcW w:w="3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35" w:lineRule="exact"/>
        <w:rPr>
          <w:sz w:val="20"/>
          <w:szCs w:val="20"/>
          <w:color w:val="auto"/>
        </w:rPr>
      </w:pPr>
    </w:p>
    <w:p>
      <w:pPr>
        <w:ind w:firstLine="486"/>
        <w:spacing w:after="0" w:line="313" w:lineRule="auto"/>
        <w:rPr>
          <w:sz w:val="20"/>
          <w:szCs w:val="20"/>
          <w:color w:val="auto"/>
        </w:rPr>
      </w:pPr>
      <w:r>
        <w:rPr>
          <w:rFonts w:ascii="Times New Roman" w:cs="Times New Roman" w:eastAsia="Times New Roman" w:hAnsi="Times New Roman"/>
          <w:sz w:val="18"/>
          <w:szCs w:val="18"/>
          <w:color w:val="auto"/>
        </w:rPr>
        <w:t>The Company has entered into operating leases primarily for corporate offices, sales offices, research and development facilities, and a finance lease for equipment.</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Information related to the Company’s right-of-use assets and related operating and finance lease liabilities was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4"/>
          </w:tcPr>
          <w:p>
            <w:pPr>
              <w:jc w:val="right"/>
              <w:ind w:right="69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43"/>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4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5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569</w:t>
            </w:r>
          </w:p>
        </w:tc>
      </w:tr>
      <w:tr>
        <w:trPr>
          <w:trHeight w:val="27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137</w:t>
            </w:r>
          </w:p>
        </w:tc>
      </w:tr>
    </w:tbl>
    <w:p>
      <w:pPr>
        <w:spacing w:after="0" w:line="362"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21590</wp:posOffset>
            </wp:positionV>
            <wp:extent cx="24003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Finance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paid for principal portion of finance lease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Right-of-use assets obtained in exchange for new finance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2026</w:t>
            </w:r>
          </w:p>
        </w:tc>
      </w:tr>
      <w:tr>
        <w:trPr>
          <w:trHeight w:val="257"/>
        </w:trPr>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79</w:t>
            </w:r>
          </w:p>
        </w:tc>
      </w:tr>
      <w:tr>
        <w:trPr>
          <w:trHeight w:val="270"/>
        </w:trPr>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bl>
    <w:p>
      <w:pPr>
        <w:spacing w:after="0" w:line="3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Operating Leases</w:t>
      </w:r>
    </w:p>
    <w:p>
      <w:pPr>
        <w:spacing w:after="0" w:line="7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3.0</w:t>
      </w:r>
    </w:p>
    <w:p>
      <w:pPr>
        <w:spacing w:after="0" w:line="6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57"/>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64"/>
        </w:trPr>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Finance Lease</w:t>
            </w:r>
          </w:p>
        </w:tc>
      </w:tr>
      <w:tr>
        <w:trPr>
          <w:trHeight w:val="253"/>
        </w:trPr>
        <w:tc>
          <w:tcPr>
            <w:tcW w:w="260" w:type="dxa"/>
            <w:vAlign w:val="bottom"/>
          </w:tcPr>
          <w:p>
            <w:pPr>
              <w:spacing w:after="0"/>
              <w:rPr>
                <w:sz w:val="22"/>
                <w:szCs w:val="22"/>
                <w:color w:val="auto"/>
              </w:rPr>
            </w:pPr>
          </w:p>
        </w:tc>
        <w:tc>
          <w:tcPr>
            <w:tcW w:w="15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w:t>
            </w:r>
          </w:p>
        </w:tc>
      </w:tr>
      <w:tr>
        <w:trPr>
          <w:trHeight w:val="270"/>
        </w:trPr>
        <w:tc>
          <w:tcPr>
            <w:tcW w:w="260" w:type="dxa"/>
            <w:vAlign w:val="bottom"/>
          </w:tcPr>
          <w:p>
            <w:pPr>
              <w:spacing w:after="0"/>
              <w:rPr>
                <w:sz w:val="23"/>
                <w:szCs w:val="23"/>
                <w:color w:val="auto"/>
              </w:rPr>
            </w:pPr>
          </w:p>
        </w:tc>
        <w:tc>
          <w:tcPr>
            <w:tcW w:w="15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5.0%</w:t>
            </w:r>
          </w:p>
        </w:tc>
      </w:tr>
    </w:tbl>
    <w:p>
      <w:pPr>
        <w:spacing w:after="0" w:line="200" w:lineRule="exact"/>
        <w:rPr>
          <w:sz w:val="20"/>
          <w:szCs w:val="20"/>
          <w:color w:val="auto"/>
        </w:rPr>
      </w:pPr>
    </w:p>
    <w:p>
      <w:pPr>
        <w:sectPr>
          <w:pgSz w:w="11900" w:h="16838" w:orient="portrait"/>
          <w:cols w:equalWidth="0" w:num="3">
            <w:col w:w="6740" w:space="720"/>
            <w:col w:w="1840" w:space="100"/>
            <w:col w:w="1840"/>
          </w:cols>
          <w:pgMar w:left="320" w:top="45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4" w:lineRule="auto"/>
        <w:rPr>
          <w:sz w:val="20"/>
          <w:szCs w:val="20"/>
          <w:color w:val="auto"/>
        </w:rPr>
      </w:pPr>
      <w:r>
        <w:rPr>
          <w:rFonts w:ascii="Times New Roman" w:cs="Times New Roman" w:eastAsia="Times New Roman" w:hAnsi="Times New Roman"/>
          <w:sz w:val="18"/>
          <w:szCs w:val="18"/>
          <w:b w:val="1"/>
          <w:bCs w:val="1"/>
          <w:color w:val="auto"/>
        </w:rPr>
        <w:t>NAVITAS SEMICONDUCTOR CORPORATION NOTES TO CONDENSED CONSOLIDATED FINANCIAL STATEMENTS (unaudited)</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4"/>
          </w:tcPr>
          <w:p>
            <w:pPr>
              <w:jc w:val="right"/>
              <w:ind w:right="69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33"/>
        </w:trPr>
        <w:tc>
          <w:tcPr>
            <w:tcW w:w="74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7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amortization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interest expense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53"/>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operating and finance lease liabilities were as follows (in thousands):</w:t>
            </w: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53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Ending December 31,</w:t>
            </w:r>
          </w:p>
        </w:tc>
        <w:tc>
          <w:tcPr>
            <w:tcW w:w="220" w:type="dxa"/>
            <w:vAlign w:val="bottom"/>
          </w:tcPr>
          <w:p>
            <w:pPr>
              <w:spacing w:after="0"/>
              <w:rPr>
                <w:sz w:val="24"/>
                <w:szCs w:val="24"/>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260" w:type="dxa"/>
            <w:vAlign w:val="bottom"/>
          </w:tcPr>
          <w:p>
            <w:pPr>
              <w:spacing w:after="0"/>
              <w:rPr>
                <w:sz w:val="24"/>
                <w:szCs w:val="24"/>
                <w:color w:val="auto"/>
              </w:rPr>
            </w:pPr>
          </w:p>
        </w:tc>
        <w:tc>
          <w:tcPr>
            <w:tcW w:w="158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Finance Lease</w:t>
            </w:r>
          </w:p>
        </w:tc>
      </w:tr>
      <w:tr>
        <w:trPr>
          <w:trHeight w:val="250"/>
        </w:trPr>
        <w:tc>
          <w:tcPr>
            <w:tcW w:w="7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(remainder of fiscal 2026)</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4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7"/>
        </w:trPr>
        <w:tc>
          <w:tcPr>
            <w:tcW w:w="7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3"/>
        </w:trPr>
        <w:tc>
          <w:tcPr>
            <w:tcW w:w="7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r>
      <w:tr>
        <w:trPr>
          <w:trHeight w:val="24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7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8"/>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stock-based compensation expense recognized for the three months ended March 31, 2026 and 2025:</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60" w:type="dxa"/>
            <w:vAlign w:val="bottom"/>
          </w:tcPr>
          <w:p>
            <w:pPr>
              <w:spacing w:after="0"/>
              <w:rPr>
                <w:sz w:val="18"/>
                <w:szCs w:val="18"/>
                <w:color w:val="auto"/>
              </w:rPr>
            </w:pPr>
          </w:p>
        </w:tc>
        <w:tc>
          <w:tcPr>
            <w:tcW w:w="3160" w:type="dxa"/>
            <w:vAlign w:val="bottom"/>
            <w:tcBorders>
              <w:bottom w:val="single" w:sz="8" w:color="auto"/>
            </w:tcBorders>
            <w:gridSpan w:val="4"/>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20" w:type="dxa"/>
            <w:vAlign w:val="bottom"/>
            <w:tcBorders>
              <w:bottom w:val="single" w:sz="8" w:color="auto"/>
            </w:tcBorders>
          </w:tcPr>
          <w:p>
            <w:pPr>
              <w:spacing w:after="0"/>
              <w:rPr>
                <w:sz w:val="18"/>
                <w:szCs w:val="18"/>
                <w:color w:val="auto"/>
              </w:rPr>
            </w:pPr>
          </w:p>
        </w:tc>
      </w:tr>
      <w:tr>
        <w:trPr>
          <w:trHeight w:val="211"/>
        </w:trPr>
        <w:tc>
          <w:tcPr>
            <w:tcW w:w="746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2026</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r>
      <w:tr>
        <w:trPr>
          <w:trHeight w:val="225"/>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180" w:type="dxa"/>
            <w:vAlign w:val="bottom"/>
            <w:shd w:val="clear" w:color="auto" w:fill="CCEEFF"/>
          </w:tcPr>
          <w:p>
            <w:pPr>
              <w:jc w:val="right"/>
              <w:ind w:right="99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5,212</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w:t>
            </w:r>
          </w:p>
        </w:tc>
      </w:tr>
      <w:tr>
        <w:trPr>
          <w:trHeight w:val="23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w:t>
            </w:r>
          </w:p>
        </w:tc>
      </w:tr>
      <w:tr>
        <w:trPr>
          <w:trHeight w:val="22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180" w:type="dxa"/>
            <w:vAlign w:val="bottom"/>
            <w:tcBorders>
              <w:bottom w:val="single" w:sz="8" w:color="auto"/>
            </w:tcBorders>
          </w:tcPr>
          <w:p>
            <w:pPr>
              <w:jc w:val="right"/>
              <w:ind w:right="99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10,338</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ind w:right="103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6,972</w:t>
            </w:r>
          </w:p>
        </w:tc>
      </w:tr>
      <w:tr>
        <w:trPr>
          <w:trHeight w:val="20"/>
        </w:trPr>
        <w:tc>
          <w:tcPr>
            <w:tcW w:w="74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Incentive Plans</w:t>
      </w:r>
    </w:p>
    <w:p>
      <w:pPr>
        <w:spacing w:after="0" w:line="133" w:lineRule="exact"/>
        <w:rPr>
          <w:sz w:val="20"/>
          <w:szCs w:val="20"/>
          <w:color w:val="auto"/>
        </w:rPr>
      </w:pPr>
    </w:p>
    <w:p>
      <w:pPr>
        <w:jc w:val="both"/>
        <w:ind w:firstLine="486"/>
        <w:spacing w:after="0" w:line="293" w:lineRule="auto"/>
        <w:rPr>
          <w:sz w:val="20"/>
          <w:szCs w:val="20"/>
          <w:color w:val="auto"/>
        </w:rPr>
      </w:pPr>
      <w:r>
        <w:rPr>
          <w:rFonts w:ascii="Times New Roman" w:cs="Times New Roman" w:eastAsia="Times New Roman" w:hAnsi="Times New Roman"/>
          <w:sz w:val="18"/>
          <w:szCs w:val="18"/>
          <w:color w:val="auto"/>
        </w:rPr>
        <w:t>The Navitas Semiconductor Corporation 2021 Equity Incentive Plan (the “2021 Plan”) was adopted by the Company’s board of directors on August 17, 2021 and adopted and approved by the Company’s stockholders on October 12, 2021. Under the terms of the 2021 Plan, the Company is authorized to issue, pursuant to awards granted under the 2021 Plan, (a) up to 16,334,527 shares of Common Stock; plus (b) up to 15,802,050 shares of Common Stock subject to awards under the 2020 Plan that are forfeited, expire or lapse after October 19, 2021; plus (c) an annual increase, effective as of the first day of each fiscal year up to and including January 1, 2031, equal to the lesser of (i) 4% of the number of shares of Common Stock outstanding as of the conclusion of the Company’s immediately preceding fiscal year, or (ii) such amount, if any, as the board of directors may determine. If the Company modifies stock-based awards, the modification may result in incremental compensation costs or a reversal of previously recorded accruals. Incremental compensation costs, or reductions in previously recognized costs, are measured in accordance with ASC 718-10-50-2 and are recorded in the consolidated statements of operations over the remaining service period of the awards. As of March 31, 2026 the Company has issued 847,603 non-statutory stock options under the 2021 Plan.</w:t>
      </w:r>
    </w:p>
    <w:p>
      <w:pPr>
        <w:sectPr>
          <w:pgSz w:w="11900" w:h="16838" w:orient="portrait"/>
          <w:cols w:equalWidth="0" w:num="1">
            <w:col w:w="11240"/>
          </w:cols>
          <w:pgMar w:left="320" w:top="4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4" w:lineRule="auto"/>
        <w:rPr>
          <w:sz w:val="20"/>
          <w:szCs w:val="20"/>
          <w:color w:val="auto"/>
        </w:rPr>
      </w:pPr>
      <w:r>
        <w:rPr>
          <w:rFonts w:ascii="Times New Roman" w:cs="Times New Roman" w:eastAsia="Times New Roman" w:hAnsi="Times New Roman"/>
          <w:sz w:val="18"/>
          <w:szCs w:val="18"/>
          <w:b w:val="1"/>
          <w:bCs w:val="1"/>
          <w:color w:val="auto"/>
        </w:rPr>
        <w:t>NAVITAS SEMICONDUCTOR CORPORATION 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33"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Stock options granted under the Plans generally have a contractual term of ten years and vest over four years, with 25% vesting on the first anniversary of the vesting commencement date and the remaining 75% vesting quarterly thereafter. Compensation expense for these awards is recognized when the performance condition is considered probable. The fair value of stock options, including incentive stock options and non-statutory stock options, is estimated on the grant date using the Black-Scholes option pricing model.</w:t>
      </w:r>
    </w:p>
    <w:p>
      <w:pPr>
        <w:spacing w:after="0" w:line="65"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A summary of stock options outstanding, excluding LTIP Options as of March 31, 2026, and activity during the three months then ended, is presented below:</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20" w:type="dxa"/>
            <w:vAlign w:val="bottom"/>
          </w:tcPr>
          <w:p>
            <w:pPr>
              <w:jc w:val="center"/>
              <w:ind w:right="314"/>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20" w:type="dxa"/>
            <w:vAlign w:val="bottom"/>
          </w:tcPr>
          <w:p>
            <w:pPr>
              <w:spacing w:after="0"/>
              <w:rPr>
                <w:sz w:val="16"/>
                <w:szCs w:val="16"/>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680" w:type="dxa"/>
            <w:vAlign w:val="bottom"/>
            <w:vMerge w:val="restart"/>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20" w:type="dxa"/>
            <w:vAlign w:val="bottom"/>
          </w:tcPr>
          <w:p>
            <w:pPr>
              <w:jc w:val="center"/>
              <w:ind w:right="314"/>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20" w:type="dxa"/>
            <w:vAlign w:val="bottom"/>
          </w:tcPr>
          <w:p>
            <w:pPr>
              <w:spacing w:after="0"/>
              <w:rPr>
                <w:sz w:val="14"/>
                <w:szCs w:val="14"/>
                <w:color w:val="auto"/>
              </w:rPr>
            </w:pPr>
          </w:p>
        </w:tc>
        <w:tc>
          <w:tcPr>
            <w:tcW w:w="21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0" w:type="dxa"/>
            <w:vAlign w:val="bottom"/>
          </w:tcPr>
          <w:p>
            <w:pPr>
              <w:spacing w:after="0"/>
              <w:rPr>
                <w:sz w:val="1"/>
                <w:szCs w:val="1"/>
                <w:color w:val="auto"/>
              </w:rPr>
            </w:pPr>
          </w:p>
        </w:tc>
      </w:tr>
      <w:tr>
        <w:trPr>
          <w:trHeight w:val="162"/>
        </w:trPr>
        <w:tc>
          <w:tcPr>
            <w:tcW w:w="4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6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20" w:type="dxa"/>
            <w:vAlign w:val="bottom"/>
          </w:tcPr>
          <w:p>
            <w:pPr>
              <w:jc w:val="center"/>
              <w:ind w:right="334"/>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20" w:type="dxa"/>
            <w:vAlign w:val="bottom"/>
          </w:tcPr>
          <w:p>
            <w:pPr>
              <w:spacing w:after="0"/>
              <w:rPr>
                <w:sz w:val="14"/>
                <w:szCs w:val="14"/>
                <w:color w:val="auto"/>
              </w:rPr>
            </w:pPr>
          </w:p>
        </w:tc>
        <w:tc>
          <w:tcPr>
            <w:tcW w:w="21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Contractual Term</w:t>
            </w:r>
          </w:p>
        </w:tc>
        <w:tc>
          <w:tcPr>
            <w:tcW w:w="0" w:type="dxa"/>
            <w:vAlign w:val="bottom"/>
          </w:tcPr>
          <w:p>
            <w:pPr>
              <w:spacing w:after="0"/>
              <w:rPr>
                <w:sz w:val="1"/>
                <w:szCs w:val="1"/>
                <w:color w:val="auto"/>
              </w:rPr>
            </w:pPr>
          </w:p>
        </w:tc>
      </w:tr>
      <w:tr>
        <w:trPr>
          <w:trHeight w:val="216"/>
        </w:trPr>
        <w:tc>
          <w:tcPr>
            <w:tcW w:w="4580" w:type="dxa"/>
            <w:vAlign w:val="bottom"/>
            <w:tcBorders>
              <w:bottom w:val="single" w:sz="8" w:color="CCEEFF"/>
            </w:tcBorders>
            <w:vMerge w:val="continue"/>
          </w:tcPr>
          <w:p>
            <w:pPr>
              <w:spacing w:after="0"/>
              <w:rPr>
                <w:sz w:val="18"/>
                <w:szCs w:val="18"/>
                <w:color w:val="auto"/>
              </w:rPr>
            </w:pPr>
          </w:p>
        </w:tc>
        <w:tc>
          <w:tcPr>
            <w:tcW w:w="1680" w:type="dxa"/>
            <w:vAlign w:val="bottom"/>
            <w:tcBorders>
              <w:bottom w:val="single" w:sz="8" w:color="auto"/>
            </w:tcBorders>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center"/>
              <w:ind w:right="314"/>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20" w:type="dxa"/>
            <w:vAlign w:val="bottom"/>
            <w:tcBorders>
              <w:bottom w:val="single" w:sz="8" w:color="CCEEFF"/>
            </w:tcBorders>
          </w:tcPr>
          <w:p>
            <w:pPr>
              <w:spacing w:after="0"/>
              <w:rPr>
                <w:sz w:val="18"/>
                <w:szCs w:val="18"/>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0" w:type="dxa"/>
            <w:vAlign w:val="bottom"/>
          </w:tcPr>
          <w:p>
            <w:pPr>
              <w:spacing w:after="0"/>
              <w:rPr>
                <w:sz w:val="1"/>
                <w:szCs w:val="1"/>
                <w:color w:val="auto"/>
              </w:rPr>
            </w:pPr>
          </w:p>
        </w:tc>
      </w:tr>
      <w:tr>
        <w:trPr>
          <w:trHeight w:val="25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68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20" w:type="dxa"/>
            <w:vAlign w:val="bottom"/>
            <w:shd w:val="clear" w:color="auto" w:fill="CCEEFF"/>
          </w:tcPr>
          <w:p>
            <w:pPr>
              <w:spacing w:after="0"/>
              <w:rPr>
                <w:sz w:val="21"/>
                <w:szCs w:val="21"/>
                <w:color w:val="auto"/>
              </w:rPr>
            </w:pPr>
          </w:p>
        </w:tc>
        <w:tc>
          <w:tcPr>
            <w:tcW w:w="214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w w:val="97"/>
              </w:rPr>
              <w:t>3.5</w:t>
            </w:r>
          </w:p>
        </w:tc>
        <w:tc>
          <w:tcPr>
            <w:tcW w:w="0" w:type="dxa"/>
            <w:vAlign w:val="bottom"/>
          </w:tcPr>
          <w:p>
            <w:pPr>
              <w:spacing w:after="0"/>
              <w:rPr>
                <w:sz w:val="1"/>
                <w:szCs w:val="1"/>
                <w:color w:val="auto"/>
              </w:rPr>
            </w:pPr>
          </w:p>
        </w:tc>
      </w:tr>
      <w:tr>
        <w:trPr>
          <w:trHeight w:val="229"/>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20" w:type="dxa"/>
            <w:vAlign w:val="bottom"/>
          </w:tcPr>
          <w:p>
            <w:pPr>
              <w:spacing w:after="0"/>
              <w:rPr>
                <w:sz w:val="19"/>
                <w:szCs w:val="19"/>
                <w:color w:val="auto"/>
              </w:rPr>
            </w:pPr>
          </w:p>
        </w:tc>
        <w:tc>
          <w:tcPr>
            <w:tcW w:w="21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6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6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20" w:type="dxa"/>
            <w:vAlign w:val="bottom"/>
          </w:tcPr>
          <w:p>
            <w:pPr>
              <w:spacing w:after="0"/>
              <w:rPr>
                <w:sz w:val="19"/>
                <w:szCs w:val="19"/>
                <w:color w:val="auto"/>
              </w:rPr>
            </w:pPr>
          </w:p>
        </w:tc>
        <w:tc>
          <w:tcPr>
            <w:tcW w:w="214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8"/>
                <w:szCs w:val="18"/>
                <w:color w:val="auto"/>
                <w:w w:val="97"/>
              </w:rPr>
              <w:t>9.2</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Exercisable at March 31, 2026</w:t>
            </w:r>
          </w:p>
        </w:tc>
        <w:tc>
          <w:tcPr>
            <w:tcW w:w="16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w w:val="97"/>
              </w:rPr>
              <w:t>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33"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The Company regularly grants RSUs to employees as a component of their compensation. A summary of RSUs outstanding as of March 31, 2026, and activity during the three months then ended, is presented below:</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Restricted Stock Unit Awards</w:t>
            </w:r>
          </w:p>
        </w:tc>
        <w:tc>
          <w:tcPr>
            <w:tcW w:w="2360" w:type="dxa"/>
            <w:vAlign w:val="bottom"/>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6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Weighted-Average Grant Date Fair Value</w:t>
            </w:r>
          </w:p>
        </w:tc>
        <w:tc>
          <w:tcPr>
            <w:tcW w:w="0" w:type="dxa"/>
            <w:vAlign w:val="bottom"/>
          </w:tcPr>
          <w:p>
            <w:pPr>
              <w:spacing w:after="0"/>
              <w:rPr>
                <w:sz w:val="1"/>
                <w:szCs w:val="1"/>
                <w:color w:val="auto"/>
              </w:rPr>
            </w:pPr>
          </w:p>
        </w:tc>
      </w:tr>
      <w:tr>
        <w:trPr>
          <w:trHeight w:val="214"/>
        </w:trPr>
        <w:tc>
          <w:tcPr>
            <w:tcW w:w="4780" w:type="dxa"/>
            <w:vAlign w:val="bottom"/>
            <w:tcBorders>
              <w:bottom w:val="single" w:sz="8" w:color="CCEEFF"/>
            </w:tcBorders>
            <w:vMerge w:val="continue"/>
          </w:tcPr>
          <w:p>
            <w:pPr>
              <w:spacing w:after="0"/>
              <w:rPr>
                <w:sz w:val="18"/>
                <w:szCs w:val="18"/>
                <w:color w:val="auto"/>
              </w:rPr>
            </w:pPr>
          </w:p>
        </w:tc>
        <w:tc>
          <w:tcPr>
            <w:tcW w:w="2360" w:type="dxa"/>
            <w:vAlign w:val="bottom"/>
            <w:tcBorders>
              <w:bottom w:val="single" w:sz="8" w:color="auto"/>
            </w:tcBorders>
          </w:tcPr>
          <w:p>
            <w:pPr>
              <w:jc w:val="center"/>
              <w:ind w:left="75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tcPr>
          <w:p>
            <w:pPr>
              <w:jc w:val="right"/>
              <w:ind w:right="1173"/>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0" w:type="dxa"/>
            <w:vAlign w:val="bottom"/>
          </w:tcPr>
          <w:p>
            <w:pPr>
              <w:spacing w:after="0"/>
              <w:rPr>
                <w:sz w:val="1"/>
                <w:szCs w:val="1"/>
                <w:color w:val="auto"/>
              </w:rPr>
            </w:pPr>
          </w:p>
        </w:tc>
      </w:tr>
      <w:tr>
        <w:trPr>
          <w:trHeight w:val="252"/>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2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70"/>
        </w:trPr>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23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0" w:type="dxa"/>
            <w:vAlign w:val="bottom"/>
          </w:tcPr>
          <w:p>
            <w:pPr>
              <w:spacing w:after="0"/>
              <w:rPr>
                <w:sz w:val="1"/>
                <w:szCs w:val="1"/>
                <w:color w:val="auto"/>
              </w:rPr>
            </w:pPr>
          </w:p>
        </w:tc>
      </w:tr>
      <w:tr>
        <w:trPr>
          <w:trHeight w:val="270"/>
        </w:trPr>
        <w:tc>
          <w:tcPr>
            <w:tcW w:w="4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23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70"/>
        </w:trPr>
        <w:tc>
          <w:tcPr>
            <w:tcW w:w="47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23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23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As of March 31, 2026, unrecognized compensation cost related to unvested RSU awards expected to be recognized totaled $50.2 million. The weighted-average period over which this remaining compensation cost is expected to be recognized is 2.7 years.</w:t>
      </w:r>
    </w:p>
    <w:p>
      <w:pPr>
        <w:spacing w:after="0" w:line="68"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Company implemented a yearly stock-based bonus plan in 2021 and plans to settle accrued bonus liabilities related to fiscal year 2026 (included in “Accrued compensation expenses” on the condensed consolidated balance sheets), by issuing a variable number of fully-vested restricted stock units to its employees in 2026. As of March 31, 2026, the Company accrued $1.5 million for its 2026 annual bonus, which is expected to be settled in the first quarter of 2027 through the issuance of approximately 167,144 shares based on the Company's closing stock price as of March 31, 2026. However, the actual number of shares will be based on the share price at the date of settlement.</w:t>
      </w:r>
    </w:p>
    <w:p>
      <w:pPr>
        <w:sectPr>
          <w:pgSz w:w="11900" w:h="16838" w:orient="portrait"/>
          <w:cols w:equalWidth="0" w:num="1">
            <w:col w:w="11240"/>
          </w:cols>
          <w:pgMar w:left="320" w:top="4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4" w:lineRule="auto"/>
        <w:rPr>
          <w:sz w:val="20"/>
          <w:szCs w:val="20"/>
          <w:color w:val="auto"/>
        </w:rPr>
      </w:pPr>
      <w:r>
        <w:rPr>
          <w:rFonts w:ascii="Times New Roman" w:cs="Times New Roman" w:eastAsia="Times New Roman" w:hAnsi="Times New Roman"/>
          <w:sz w:val="18"/>
          <w:szCs w:val="18"/>
          <w:b w:val="1"/>
          <w:bCs w:val="1"/>
          <w:color w:val="auto"/>
        </w:rPr>
        <w:t>NAVITAS SEMICONDUCTOR CORPORATION 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Employee Stock Purchase Plan</w:t>
      </w:r>
    </w:p>
    <w:p>
      <w:pPr>
        <w:spacing w:after="0" w:line="133"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Under the Company’s 2022 Employee Stock Purchase Plan (the “2022 ESPP”), eligible employees are granted the right to purchase shares of common stock at the lower of 85% of the fair value at the time of offering or 85% of the fair value at the time of purchase, generally over a six-month period. For the three months ended March 31, 2026 and 2025, employees who elected to participate in the ESPP purchased 168,363 and 400,431 shares of common stock under the 2022 ESPP, resulting in cash proceeds to the Company of $0.8 million and $0.8 million, respectively. The purchase price was $4.71 and $2.07, representing a 15% discount to the fair market value in March 2026 and March 2025, respectively. As of March 31, 2026, the Company had 1,074,104 remaining authorized shares available for purchase. During the three months ended March 31, 2026 and 2025, the Company recognized $0.2 million and $0.3 million of stock-based compensation expense for the 2022 ESPP, respectively.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Unvested Earnout Shares</w:t>
      </w:r>
    </w:p>
    <w:p>
      <w:pPr>
        <w:spacing w:after="0" w:line="146"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A portion of the earnout shares may be issued to individuals with unvested equity awards. While the payout of these shares requires achievement of share price targets based on the volume weighted average price of the Company’s common stock, the individuals are required to complete the remaining service period associated with these unvested equity awards to be eligible to receive the earnout shares. As a result, these unvested earnout shares are equity-classified awards and have an aggregated grant date fair value of $19.1 million or $11.52 per share. The Company recognized $0.0 million of stock-based compensation expense related to forfeitures during each of the three months ended March 31, 2026 and 2025. As of March 31, 2026, there was no remaining compensation cost related to unvested earnout shares, except for forfeitures. Refer to Note 11 - “Earnout Liability”.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EARNOUT LIABILITY</w:t>
      </w:r>
    </w:p>
    <w:p>
      <w:pPr>
        <w:spacing w:after="0" w:line="135"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The estimated fair value of the earnout liability was determined using a Monte Carlo analysis of 20,000 simulations of the future path of the Company’s stock price over the earnout period. The assumptions utilized in the calculation are based on the achievement of certain stock price milestones including projected stock price, volatility, and risk-free rate. The valuation model utilized the following assumptions: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40" w:type="dxa"/>
            <w:vAlign w:val="bottom"/>
            <w:tcBorders>
              <w:bottom w:val="single" w:sz="8" w:color="CCEEFF"/>
            </w:tcBorders>
          </w:tcPr>
          <w:p>
            <w:pPr>
              <w:spacing w:after="0"/>
              <w:rPr>
                <w:sz w:val="18"/>
                <w:szCs w:val="18"/>
                <w:color w:val="auto"/>
              </w:rPr>
            </w:pPr>
          </w:p>
        </w:tc>
        <w:tc>
          <w:tcPr>
            <w:tcW w:w="18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3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5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8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3.72 %</w:t>
            </w:r>
          </w:p>
        </w:tc>
        <w:tc>
          <w:tcPr>
            <w:tcW w:w="100" w:type="dxa"/>
            <w:vAlign w:val="bottom"/>
            <w:shd w:val="clear" w:color="auto" w:fill="CCEEFF"/>
          </w:tcPr>
          <w:p>
            <w:pPr>
              <w:spacing w:after="0"/>
              <w:rPr>
                <w:sz w:val="22"/>
                <w:szCs w:val="22"/>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3.52 %</w:t>
            </w:r>
          </w:p>
        </w:tc>
      </w:tr>
      <w:tr>
        <w:trPr>
          <w:trHeight w:val="27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volatility rate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3"/>
                <w:szCs w:val="23"/>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r>
    </w:tbl>
    <w:p>
      <w:pPr>
        <w:spacing w:after="0" w:line="200" w:lineRule="exact"/>
        <w:rPr>
          <w:sz w:val="20"/>
          <w:szCs w:val="20"/>
          <w:color w:val="auto"/>
        </w:rPr>
      </w:pPr>
    </w:p>
    <w:p>
      <w:pPr>
        <w:spacing w:after="0" w:line="241"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As of March 31, 2026 and December 31, 2025, the earnout liability had fair values of $30.5 million and $22.6 million, respectively. The change in value resulted in a loss of $7.9 million for the three months ended March 31, 2026, compared to a gain of $8.1 million for the three months ended March 31, 2025.</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PROVISION FOR INCOME TAXES</w:t>
      </w:r>
    </w:p>
    <w:p>
      <w:pPr>
        <w:spacing w:after="0" w:line="162"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The Company determined the income tax provision for interim periods using an estimate of the Company’s annual effective tax rate, adjusted for discrete items arising during the quarter. The Company’s effective tax rates for the three months ended March 31, 2026 and 2025 were (0.2)% and (0.5)%, respectively. In each quarter, the Company updates its estimated annual effective tax rate, and if the estimated annual effective tax rate changes, a cumulative adjustment is recorded in that quarter. The Company's quarterly income tax provision and quarterly estimate of the annual effective tax rate are subject to volatility due to several factors, including the Company’s ability to accurately predict the proportion of the Company’s loss before provision for income taxes in multiple jurisdictions, the tax effects of the Company’s stock-based compensation, and the effects of its foreign entities.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4" w:lineRule="auto"/>
        <w:rPr>
          <w:sz w:val="20"/>
          <w:szCs w:val="20"/>
          <w:color w:val="auto"/>
        </w:rPr>
      </w:pPr>
      <w:r>
        <w:rPr>
          <w:rFonts w:ascii="Times New Roman" w:cs="Times New Roman" w:eastAsia="Times New Roman" w:hAnsi="Times New Roman"/>
          <w:sz w:val="18"/>
          <w:szCs w:val="18"/>
          <w:b w:val="1"/>
          <w:bCs w:val="1"/>
          <w:color w:val="auto"/>
        </w:rPr>
        <w:t>NAVITAS SEMICONDUCTOR CORPORATION NOTES TO CONDENSED CONSOLIDATED FINANCIAL STATEMENTS (unaudited)</w:t>
      </w:r>
    </w:p>
    <w:p>
      <w:pPr>
        <w:spacing w:after="0" w:line="200" w:lineRule="exact"/>
        <w:rPr>
          <w:sz w:val="20"/>
          <w:szCs w:val="20"/>
          <w:color w:val="auto"/>
        </w:rPr>
      </w:pPr>
    </w:p>
    <w:p>
      <w:pPr>
        <w:spacing w:after="0" w:line="365" w:lineRule="exact"/>
        <w:rPr>
          <w:sz w:val="20"/>
          <w:szCs w:val="20"/>
          <w:color w:val="auto"/>
        </w:rPr>
      </w:pPr>
    </w:p>
    <w:p>
      <w:pPr>
        <w:jc w:val="both"/>
        <w:ind w:right="20" w:firstLine="486"/>
        <w:spacing w:after="0" w:line="329" w:lineRule="auto"/>
        <w:rPr>
          <w:sz w:val="20"/>
          <w:szCs w:val="20"/>
          <w:color w:val="auto"/>
        </w:rPr>
      </w:pPr>
      <w:r>
        <w:rPr>
          <w:rFonts w:ascii="Times New Roman" w:cs="Times New Roman" w:eastAsia="Times New Roman" w:hAnsi="Times New Roman"/>
          <w:sz w:val="18"/>
          <w:szCs w:val="18"/>
          <w:color w:val="auto"/>
        </w:rPr>
        <w:t>The Company had no unrecognized tax benefits, and no related interest or penalties were recognized, during the three months ended March 31, 2026 and 2025.</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162"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As of March 31, 2026, the Company operates in a single operating and reportable segment. The following table sets forth the Company’s revenue, cost of revenues, total operating expenses, and net income by its single operating and reportable segment: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80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14,018</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 (exclusive of amortization of intangibles)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8,711</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 (inclusive of amortization of intangibles)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30,611</w:t>
            </w:r>
          </w:p>
        </w:tc>
      </w:tr>
      <w:tr>
        <w:trPr>
          <w:trHeight w:val="234"/>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(16,829)</w:t>
            </w:r>
          </w:p>
        </w:tc>
      </w:tr>
    </w:tbl>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Obligations</w:t>
      </w:r>
    </w:p>
    <w:p>
      <w:pPr>
        <w:spacing w:after="0" w:line="160"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As of March 31, 2026, the Company had non-cancellable contractual agreements that were due beyond one year related to the Company’s lease obligations, see Note 9 - “Leases”.</w:t>
      </w:r>
    </w:p>
    <w:p>
      <w:pPr>
        <w:spacing w:after="0" w:line="68"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In December 2024, the Company entered into an agreement with a vendor for the purchase of equipment wherein the Company will make quarterly installment payments of $0.8 million during 2026. As of March 31, 2026 and December 31, 2025, $2.3 million and $3.2 million is recorded within accounts payable and other accrued expenses, respectively.</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 and contingencies</w:t>
      </w:r>
    </w:p>
    <w:p>
      <w:pPr>
        <w:spacing w:after="0" w:line="146"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From time to time in the ordinary course of business, the Company may become involved in lawsuits, or end customers, distributors, suppliers or other third parties may make claims against the Company. The Company records a provision when it is both probable that a liability has been incurred and the amount of the loss can be reasonably estimated. The Company is not currently subject to any pending actions or regulatory proceedings that either individually or in the aggregate are expected to have a material impact on its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4" w:lineRule="auto"/>
        <w:rPr>
          <w:sz w:val="20"/>
          <w:szCs w:val="20"/>
          <w:color w:val="auto"/>
        </w:rPr>
      </w:pPr>
      <w:r>
        <w:rPr>
          <w:rFonts w:ascii="Times New Roman" w:cs="Times New Roman" w:eastAsia="Times New Roman" w:hAnsi="Times New Roman"/>
          <w:sz w:val="18"/>
          <w:szCs w:val="18"/>
          <w:b w:val="1"/>
          <w:bCs w:val="1"/>
          <w:color w:val="auto"/>
        </w:rPr>
        <w:t>NAVITAS SEMICONDUCTOR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Investment</w:t>
      </w:r>
    </w:p>
    <w:p>
      <w:pPr>
        <w:spacing w:after="0" w:line="160" w:lineRule="exact"/>
        <w:rPr>
          <w:sz w:val="20"/>
          <w:szCs w:val="20"/>
          <w:color w:val="auto"/>
        </w:rPr>
      </w:pPr>
    </w:p>
    <w:p>
      <w:pPr>
        <w:jc w:val="both"/>
        <w:ind w:firstLine="486"/>
        <w:spacing w:after="0" w:line="299" w:lineRule="auto"/>
        <w:rPr>
          <w:sz w:val="20"/>
          <w:szCs w:val="20"/>
          <w:color w:val="auto"/>
        </w:rPr>
      </w:pPr>
      <w:r>
        <w:rPr>
          <w:rFonts w:ascii="Times New Roman" w:cs="Times New Roman" w:eastAsia="Times New Roman" w:hAnsi="Times New Roman"/>
          <w:sz w:val="18"/>
          <w:szCs w:val="18"/>
          <w:color w:val="auto"/>
        </w:rPr>
        <w:t>During 2022 and 2023, Navitas invested an aggregate $2.5 million in preferred interests of an entity under common control with the Company’s joint venture partner. The investment was accounted for as an equity investment under ASC 321 Investments - Equity Securities. In accordance with ASC 321, the Company elected to use the measurement alternative to measure such investments at cost, less any impairment, plus or minus changes resulting from observable price changes in orderly transactions for identical or similar investments of the same issuer, if any. In October 2024, the Company began accounting for this investment under the equity method in accordance with ASC 323. We recorded our share of losses for the three months ended March 31, 2025, resulting in a net loss of $0.3 million, which was recorded in “Equity method investment gain (loss)” on the Statements of Operations. Effective January 1, 2026, the Company determined this is no longer a related party and it no longer had significant influence over the investee due to the loss of board representation and, accordingly, discontinued the equity method of accounting. The investment is now accounted for as an equity investment under ASC 321 at cost, less any impairment, adjusted for observable price changes. The investment was $7.8 million as of March 31, 2026, and is included in Other Assets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60" w:lineRule="exact"/>
        <w:rPr>
          <w:sz w:val="20"/>
          <w:szCs w:val="20"/>
          <w:color w:val="auto"/>
        </w:rPr>
      </w:pPr>
    </w:p>
    <w:p>
      <w:pPr>
        <w:jc w:val="both"/>
        <w:ind w:firstLine="486"/>
        <w:spacing w:after="0" w:line="315"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to the “Company,” “we,” “us,” or “our” refer to the business of Navitas and its subsidiaries. Throughout this section, unless otherwise noted, “Navitas” refers to Navitas Semiconductor Corporation and its consolidated subsidiaries.</w:t>
      </w:r>
    </w:p>
    <w:p>
      <w:pPr>
        <w:spacing w:after="0" w:line="64" w:lineRule="exact"/>
        <w:rPr>
          <w:sz w:val="20"/>
          <w:szCs w:val="20"/>
          <w:color w:val="auto"/>
        </w:rPr>
      </w:pPr>
    </w:p>
    <w:p>
      <w:pPr>
        <w:jc w:val="both"/>
        <w:ind w:firstLine="486"/>
        <w:spacing w:after="0" w:line="292" w:lineRule="auto"/>
        <w:rPr>
          <w:sz w:val="20"/>
          <w:szCs w:val="20"/>
          <w:color w:val="auto"/>
        </w:rPr>
      </w:pPr>
      <w:r>
        <w:rPr>
          <w:rFonts w:ascii="Times New Roman" w:cs="Times New Roman" w:eastAsia="Times New Roman" w:hAnsi="Times New Roman"/>
          <w:sz w:val="18"/>
          <w:szCs w:val="18"/>
          <w:i w:val="1"/>
          <w:iCs w:val="1"/>
          <w:color w:val="auto"/>
        </w:rPr>
        <w:t>This quarterly report includes “forward-looking statements” within the meaning of Section 21E of the Securities Exchange Act of 1934, as amended. Forward-looking statements are attempts to predict or indicate future events or trends or similar statements that are not a reflection of historical fact. Forward-looking statements may be identified by the use of words such as “we expect” or “are expected to be,” “estimate,” “plan,” “project,” “forecast,” “intend,” “anticipate,” “believe,” “seek,” or other similar expressions. Forward-looking statements are made based on estimates and forecasts of financial and performance metrics, projections of market opportunity and market share and current indications of customer interest, all of which are based on various assumptions, whether or not identified in this press release. All such statements are based on current expectations of the management of the Company and are not predictions of actual future performance.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and expectations. Many actual events and circumstances that affect performance are beyond the control of the Company, and forward-looking statements are subject to a number of uncertainties.</w:t>
      </w:r>
    </w:p>
    <w:p>
      <w:pPr>
        <w:spacing w:after="0" w:line="78"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i w:val="1"/>
          <w:iCs w:val="1"/>
          <w:color w:val="auto"/>
        </w:rPr>
        <w:t>Our business is subject to certain risks that could materially and adversely affect our business, financial condition, results of operations, or the value of our securities. These and other risk factors are discussed in the Risk Factors section beginning on p. 13 of our annual report on Form 10-K for the year ended December 31, 2025, as updated in the Risk Factors section in this quarterly report on Form 10-Q, and in other documents we file. If any of these risks materialize or if our assumptions underlying forward-looking statements prove to be incorrect, actual results could differ materially from the results implied by these forward-looking statements.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ind w:firstLine="486"/>
        <w:spacing w:after="0" w:line="293" w:lineRule="auto"/>
        <w:rPr>
          <w:sz w:val="20"/>
          <w:szCs w:val="20"/>
          <w:color w:val="auto"/>
        </w:rPr>
      </w:pPr>
      <w:r>
        <w:rPr>
          <w:rFonts w:ascii="Times New Roman" w:cs="Times New Roman" w:eastAsia="Times New Roman" w:hAnsi="Times New Roman"/>
          <w:sz w:val="18"/>
          <w:szCs w:val="18"/>
          <w:color w:val="auto"/>
        </w:rPr>
        <w:t>Navitas Semiconductor Corporation designs, develops and markets next-generation power semiconductors, including gallium nitride (“GaN”) power integrated circuits (“ICs”), high-voltage silicon carbide (“SiC”) devices, associated high-speed silicon system controllers, and digital isolators used in power conversion and charging applications. We focus primarily on high-power markets, including AI data centers, energy and grid infrastructure, performance computing, and industrial electrification. Our products are designed to improve system efficiency, increase power density, enhance thermal performance, and reduce overall system size and cost compared to traditional silicon-based technologies. By leveraging the electrical properties of wide-bandgap (“WBG”) materials such as GaN and SiC, our solutions enable higher switching frequencies, higher voltage operation, and improved energy efficiency. These capabilities are increasingly important in applications such as hyperscale data centers, renewable energy systems, grid modernization infrastructure, and industrial automation.</w:t>
      </w:r>
    </w:p>
    <w:p>
      <w:pPr>
        <w:spacing w:after="0" w:line="84"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We operate as a fabless semiconductor design company and outsource wafer fabrication, assembly, and testing to qualified third-party manufacturing partners. This business model allows us to operate with relatively low capital expenditure requirements; however, our results depend on the capacity, cost structure, yield performance, and operational execution of our manufacturing partners. We maintain operations around the world, including the United States, Philippines, China, Taiwan, and South Korea, with principal executive offices in Torrance, California.</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Navitas 2.0 Restructuring Plan</w:t>
      </w:r>
    </w:p>
    <w:p>
      <w:pPr>
        <w:spacing w:after="0" w:line="133"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We continue to execute the Navitas 2.0 Restructuring Plan, which was initiated in the fourth quarter of 2025 to reposition the Company as a focused high-power semiconductor provider serving large, durable, higher-margin markets. The plan remains centered on portfolio and organizational realignment, technology roadmap execution, go-to-market optimization, and disciplined investment in strategic end markets.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tables and discussion below present our results for the three months ended March 31, 2026 and 2025 (in thousands):</w:t>
      </w:r>
    </w:p>
    <w:p>
      <w:pPr>
        <w:sectPr>
          <w:pgSz w:w="11900" w:h="16838" w:orient="portrait"/>
          <w:cols w:equalWidth="0" w:num="1">
            <w:col w:w="11240"/>
          </w:cols>
          <w:pgMar w:left="320" w:top="454" w:right="339" w:bottom="1440" w:gutter="0" w:footer="0" w:header="0"/>
        </w:sectPr>
      </w:pPr>
    </w:p>
    <w:p>
      <w:pPr>
        <w:spacing w:after="0" w:line="185" w:lineRule="exact"/>
        <w:rPr>
          <w:sz w:val="20"/>
          <w:szCs w:val="20"/>
          <w:color w:val="auto"/>
        </w:rPr>
      </w:pPr>
    </w:p>
    <w:p>
      <w:pPr>
        <w:jc w:val="center"/>
        <w:ind w:left="53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21590</wp:posOffset>
            </wp:positionV>
            <wp:extent cx="19202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39" w:lineRule="exact"/>
        <w:rPr>
          <w:sz w:val="20"/>
          <w:szCs w:val="20"/>
          <w:color w:val="auto"/>
        </w:rPr>
      </w:pPr>
    </w:p>
    <w:p>
      <w:pPr>
        <w:jc w:val="center"/>
        <w:ind w:left="5300"/>
        <w:spacing w:after="0"/>
        <w:rPr>
          <w:sz w:val="20"/>
          <w:szCs w:val="20"/>
          <w:color w:val="auto"/>
        </w:rPr>
      </w:pPr>
      <w:r>
        <w:rPr>
          <w:rFonts w:ascii="Times New Roman" w:cs="Times New Roman" w:eastAsia="Times New Roman" w:hAnsi="Times New Roman"/>
          <w:sz w:val="16"/>
          <w:szCs w:val="16"/>
          <w:b w:val="1"/>
          <w:bCs w:val="1"/>
          <w:color w:val="auto"/>
        </w:rPr>
        <w:t>2026</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wp:posOffset>
            </wp:positionH>
            <wp:positionV relativeFrom="paragraph">
              <wp:posOffset>21590</wp:posOffset>
            </wp:positionV>
            <wp:extent cx="19202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3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2025</w:t>
      </w:r>
    </w:p>
    <w:p>
      <w:pPr>
        <w:spacing w:after="0" w:line="28" w:lineRule="exact"/>
        <w:rPr>
          <w:sz w:val="20"/>
          <w:szCs w:val="20"/>
          <w:color w:val="auto"/>
        </w:rPr>
      </w:pPr>
    </w:p>
    <w:p>
      <w:pPr>
        <w:sectPr>
          <w:pgSz w:w="11900" w:h="16838" w:orient="portrait"/>
          <w:cols w:equalWidth="0" w:num="2">
            <w:col w:w="7880" w:space="720"/>
            <w:col w:w="2640"/>
          </w:cols>
          <w:pgMar w:left="320" w:top="454"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49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8,598</w:t>
            </w: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14,018</w:t>
            </w: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5"/>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 (exclusive of amortization of intangible assets</w:t>
            </w: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4"/>
        </w:trPr>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included below)</w:t>
            </w: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5,361</w:t>
            </w: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62.4</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8,711</w:t>
            </w: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62.1</w:t>
            </w:r>
          </w:p>
        </w:tc>
      </w:tr>
      <w:tr>
        <w:trPr>
          <w:trHeight w:val="27"/>
        </w:trPr>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14,567</w:t>
            </w: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169.4</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12,668</w:t>
            </w: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90.4</w:t>
            </w:r>
          </w:p>
        </w:tc>
      </w:tr>
      <w:tr>
        <w:trPr>
          <w:trHeight w:val="27"/>
        </w:trPr>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11,252</w:t>
            </w:r>
          </w:p>
        </w:tc>
        <w:tc>
          <w:tcPr>
            <w:tcW w:w="16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130.9</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11,740</w:t>
            </w:r>
          </w:p>
        </w:tc>
        <w:tc>
          <w:tcPr>
            <w:tcW w:w="16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83.7</w:t>
            </w:r>
          </w:p>
        </w:tc>
      </w:tr>
      <w:tr>
        <w:trPr>
          <w:trHeight w:val="243"/>
        </w:trPr>
        <w:tc>
          <w:tcPr>
            <w:tcW w:w="5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55.1</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33.8</w:t>
            </w:r>
          </w:p>
        </w:tc>
      </w:tr>
      <w:tr>
        <w:trPr>
          <w:trHeight w:val="27"/>
        </w:trPr>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0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expense</w:t>
            </w: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6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6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w:t>
            </w:r>
          </w:p>
        </w:tc>
      </w:tr>
      <w:tr>
        <w:trPr>
          <w:trHeight w:val="237"/>
        </w:trPr>
        <w:tc>
          <w:tcPr>
            <w:tcW w:w="50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31,003</w:t>
            </w: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360.6</w:t>
            </w:r>
          </w:p>
        </w:tc>
        <w:tc>
          <w:tcPr>
            <w:tcW w:w="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30,611</w:t>
            </w: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218.4</w:t>
            </w:r>
          </w:p>
        </w:tc>
      </w:tr>
      <w:tr>
        <w:trPr>
          <w:trHeight w:val="27"/>
        </w:trPr>
        <w:tc>
          <w:tcPr>
            <w:tcW w:w="4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r>
      <w:tr>
        <w:trPr>
          <w:trHeight w:val="289"/>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(27,766)</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(25,304)</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w:t>
      </w:r>
    </w:p>
    <w:p>
      <w:pPr>
        <w:spacing w:after="0" w:line="135"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We design, develop and manufacture GaN FETs, GaN ICs, SiC MOSFETs and modules, and Schottky diodes that deliver best-in-class performance, ruggedness, and quality. Our revenue represents the sale of semiconductors through specialized distributors to original equipment manufacturers (“OEMs”), their suppliers, and other end customers. We consider the domicile of our end customers, rather than the distributors we sell to directly, to be the basis of attributing revenues from external customers to individual countries. Revenues for the three months ended March 31, 2026 and 2025 (in thousands) were attributable to end customers in the following countries: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6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60" w:type="dxa"/>
            <w:vAlign w:val="bottom"/>
          </w:tcPr>
          <w:p>
            <w:pPr>
              <w:spacing w:after="0"/>
              <w:rPr>
                <w:sz w:val="18"/>
                <w:szCs w:val="18"/>
                <w:color w:val="auto"/>
              </w:rPr>
            </w:pPr>
          </w:p>
        </w:tc>
        <w:tc>
          <w:tcPr>
            <w:tcW w:w="2780" w:type="dxa"/>
            <w:vAlign w:val="bottom"/>
            <w:gridSpan w:val="4"/>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Country</w:t>
            </w: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gridSpan w:val="3"/>
          </w:tcPr>
          <w:p>
            <w:pPr>
              <w:jc w:val="right"/>
              <w:ind w:right="1270"/>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gridSpan w:val="3"/>
          </w:tcPr>
          <w:p>
            <w:pPr>
              <w:jc w:val="right"/>
              <w:ind w:right="1270"/>
              <w:spacing w:after="0"/>
              <w:rPr>
                <w:sz w:val="20"/>
                <w:szCs w:val="20"/>
                <w:color w:val="auto"/>
              </w:rPr>
            </w:pPr>
            <w:r>
              <w:rPr>
                <w:rFonts w:ascii="Times New Roman" w:cs="Times New Roman" w:eastAsia="Times New Roman" w:hAnsi="Times New Roman"/>
                <w:sz w:val="16"/>
                <w:szCs w:val="16"/>
                <w:b w:val="1"/>
                <w:bCs w:val="1"/>
                <w:color w:val="auto"/>
                <w:w w:val="93"/>
              </w:rPr>
              <w:t>2025</w:t>
            </w:r>
          </w:p>
        </w:tc>
      </w:tr>
      <w:tr>
        <w:trPr>
          <w:trHeight w:val="22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1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w:t>
            </w:r>
          </w:p>
        </w:tc>
        <w:tc>
          <w:tcPr>
            <w:tcW w:w="17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5,747</w:t>
            </w:r>
          </w:p>
        </w:tc>
        <w:tc>
          <w:tcPr>
            <w:tcW w:w="16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7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68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excluding China</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7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6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r>
      <w:tr>
        <w:trPr>
          <w:trHeight w:val="248"/>
        </w:trPr>
        <w:tc>
          <w:tcPr>
            <w:tcW w:w="49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8,598</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14,018</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firstLine="486"/>
        <w:spacing w:after="0" w:line="329" w:lineRule="auto"/>
        <w:rPr>
          <w:sz w:val="20"/>
          <w:szCs w:val="20"/>
          <w:color w:val="auto"/>
        </w:rPr>
      </w:pPr>
      <w:r>
        <w:rPr>
          <w:rFonts w:ascii="Times New Roman" w:cs="Times New Roman" w:eastAsia="Times New Roman" w:hAnsi="Times New Roman"/>
          <w:sz w:val="18"/>
          <w:szCs w:val="18"/>
          <w:color w:val="auto"/>
        </w:rPr>
        <w:t>The decline in sales of $5.4 million or 39% was primarily due to the decrease in sales of mobile in the Asia region, primarily China, and consumer markets.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Cost of Revenues</w:t>
      </w:r>
    </w:p>
    <w:p>
      <w:pPr>
        <w:spacing w:after="0" w:line="205" w:lineRule="exact"/>
        <w:rPr>
          <w:sz w:val="20"/>
          <w:szCs w:val="20"/>
          <w:color w:val="auto"/>
        </w:rPr>
      </w:pPr>
    </w:p>
    <w:tbl>
      <w:tblPr>
        <w:tblLayout w:type="fixed"/>
        <w:tblInd w:w="560" w:type="dxa"/>
        <w:tblCellMar>
          <w:top w:w="0" w:type="dxa"/>
          <w:left w:w="0" w:type="dxa"/>
          <w:bottom w:w="0" w:type="dxa"/>
          <w:right w:w="0" w:type="dxa"/>
        </w:tblCellMar>
      </w:tblPr>
      <w:tr>
        <w:trPr>
          <w:trHeight w:val="212"/>
        </w:trPr>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50"/>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50"/>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 (exclusive of amortization of intangible assets)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5,361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5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8,711</w:t>
            </w:r>
          </w:p>
        </w:tc>
        <w:tc>
          <w:tcPr>
            <w:tcW w:w="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43"/>
        </w:trPr>
        <w:tc>
          <w:tcPr>
            <w:tcW w:w="4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Percentage of revenue</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62.4 %</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62.1 %</w:t>
            </w:r>
          </w:p>
        </w:tc>
        <w:tc>
          <w:tcPr>
            <w:tcW w:w="80" w:type="dxa"/>
            <w:vAlign w:val="bottom"/>
          </w:tcPr>
          <w:p>
            <w:pPr>
              <w:spacing w:after="0"/>
              <w:rPr>
                <w:sz w:val="21"/>
                <w:szCs w:val="21"/>
                <w:color w:val="auto"/>
              </w:rPr>
            </w:pPr>
          </w:p>
        </w:tc>
        <w:tc>
          <w:tcPr>
            <w:tcW w:w="1840" w:type="dxa"/>
            <w:vAlign w:val="bottom"/>
          </w:tcPr>
          <w:p>
            <w:pPr>
              <w:spacing w:after="0"/>
              <w:rPr>
                <w:sz w:val="21"/>
                <w:szCs w:val="21"/>
                <w:color w:val="auto"/>
              </w:rPr>
            </w:pPr>
          </w:p>
        </w:tc>
      </w:tr>
    </w:tbl>
    <w:p>
      <w:pPr>
        <w:spacing w:after="0" w:line="225" w:lineRule="exact"/>
        <w:rPr>
          <w:sz w:val="20"/>
          <w:szCs w:val="20"/>
          <w:color w:val="auto"/>
        </w:rPr>
      </w:pPr>
    </w:p>
    <w:p>
      <w:pPr>
        <w:ind w:firstLine="486"/>
        <w:spacing w:after="0" w:line="313" w:lineRule="auto"/>
        <w:rPr>
          <w:sz w:val="20"/>
          <w:szCs w:val="20"/>
          <w:color w:val="auto"/>
        </w:rPr>
      </w:pPr>
      <w:r>
        <w:rPr>
          <w:rFonts w:ascii="Times New Roman" w:cs="Times New Roman" w:eastAsia="Times New Roman" w:hAnsi="Times New Roman"/>
          <w:sz w:val="18"/>
          <w:szCs w:val="18"/>
          <w:color w:val="auto"/>
        </w:rPr>
        <w:t>The decrease of $3.4 million or 38% was primarily driven by a decline in sales. The increase in percent of revenue was primarily due to higher stock-based compensation.</w:t>
      </w:r>
    </w:p>
    <w:p>
      <w:pPr>
        <w:sectPr>
          <w:pgSz w:w="11900" w:h="16838" w:orient="portrait"/>
          <w:cols w:equalWidth="0" w:num="1">
            <w:col w:w="11240"/>
          </w:cols>
          <w:pgMar w:left="320" w:top="45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Development Expense</w:t>
      </w:r>
    </w:p>
    <w:p>
      <w:pPr>
        <w:spacing w:after="0" w:line="191" w:lineRule="exact"/>
        <w:rPr>
          <w:sz w:val="20"/>
          <w:szCs w:val="20"/>
          <w:color w:val="auto"/>
        </w:rPr>
      </w:pPr>
    </w:p>
    <w:tbl>
      <w:tblPr>
        <w:tblLayout w:type="fixed"/>
        <w:tblInd w:w="560" w:type="dxa"/>
        <w:tblCellMar>
          <w:top w:w="0" w:type="dxa"/>
          <w:left w:w="0" w:type="dxa"/>
          <w:bottom w:w="0" w:type="dxa"/>
          <w:right w:w="0" w:type="dxa"/>
        </w:tblCellMar>
      </w:tblPr>
      <w:tr>
        <w:trPr>
          <w:trHeight w:val="212"/>
        </w:trPr>
        <w:tc>
          <w:tcPr>
            <w:tcW w:w="4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40" w:type="dxa"/>
            <w:vAlign w:val="bottom"/>
            <w:tcBorders>
              <w:bottom w:val="single" w:sz="8" w:color="auto"/>
            </w:tcBorders>
            <w:gridSpan w:val="4"/>
          </w:tcPr>
          <w:p>
            <w:pPr>
              <w:ind w:left="7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40" w:type="dxa"/>
            <w:vAlign w:val="bottom"/>
          </w:tcPr>
          <w:p>
            <w:pPr>
              <w:spacing w:after="0"/>
              <w:rPr>
                <w:sz w:val="18"/>
                <w:szCs w:val="18"/>
                <w:color w:val="auto"/>
              </w:rPr>
            </w:pPr>
          </w:p>
        </w:tc>
      </w:tr>
      <w:tr>
        <w:trPr>
          <w:trHeight w:val="249"/>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7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50"/>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14,567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12,668</w:t>
            </w:r>
          </w:p>
        </w:tc>
        <w:tc>
          <w:tcPr>
            <w:tcW w:w="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r>
      <w:tr>
        <w:trPr>
          <w:trHeight w:val="243"/>
        </w:trPr>
        <w:tc>
          <w:tcPr>
            <w:tcW w:w="4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Percentage of revenue</w:t>
            </w:r>
          </w:p>
        </w:tc>
        <w:tc>
          <w:tcPr>
            <w:tcW w:w="1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169.4 %</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90.4 %</w:t>
            </w:r>
          </w:p>
        </w:tc>
        <w:tc>
          <w:tcPr>
            <w:tcW w:w="80" w:type="dxa"/>
            <w:vAlign w:val="bottom"/>
          </w:tcPr>
          <w:p>
            <w:pPr>
              <w:spacing w:after="0"/>
              <w:rPr>
                <w:sz w:val="21"/>
                <w:szCs w:val="21"/>
                <w:color w:val="auto"/>
              </w:rPr>
            </w:pPr>
          </w:p>
        </w:tc>
        <w:tc>
          <w:tcPr>
            <w:tcW w:w="1840" w:type="dxa"/>
            <w:vAlign w:val="bottom"/>
          </w:tcPr>
          <w:p>
            <w:pPr>
              <w:spacing w:after="0"/>
              <w:rPr>
                <w:sz w:val="21"/>
                <w:szCs w:val="21"/>
                <w:color w:val="auto"/>
              </w:rPr>
            </w:pPr>
          </w:p>
        </w:tc>
      </w:tr>
    </w:tbl>
    <w:p>
      <w:pPr>
        <w:spacing w:after="0" w:line="211" w:lineRule="exact"/>
        <w:rPr>
          <w:sz w:val="20"/>
          <w:szCs w:val="20"/>
          <w:color w:val="auto"/>
        </w:rPr>
      </w:pPr>
    </w:p>
    <w:p>
      <w:pPr>
        <w:ind w:firstLine="486"/>
        <w:spacing w:after="0" w:line="329" w:lineRule="auto"/>
        <w:rPr>
          <w:sz w:val="20"/>
          <w:szCs w:val="20"/>
          <w:color w:val="auto"/>
        </w:rPr>
      </w:pPr>
      <w:r>
        <w:rPr>
          <w:rFonts w:ascii="Times New Roman" w:cs="Times New Roman" w:eastAsia="Times New Roman" w:hAnsi="Times New Roman"/>
          <w:sz w:val="18"/>
          <w:szCs w:val="18"/>
          <w:color w:val="auto"/>
        </w:rPr>
        <w:t>The increase of $1.9 million was primarily driven by an increase in stock-based compensation as well as research and development materials, partially offset by a decrease in headcount related cost as a result of the Company’s reductions in force.</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Selling, General and Administrative Expense</w:t>
      </w:r>
    </w:p>
    <w:p>
      <w:pPr>
        <w:spacing w:after="0" w:line="191"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4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4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20" w:type="dxa"/>
            <w:vAlign w:val="bottom"/>
          </w:tcPr>
          <w:p>
            <w:pPr>
              <w:spacing w:after="0"/>
              <w:rPr>
                <w:sz w:val="18"/>
                <w:szCs w:val="18"/>
                <w:color w:val="auto"/>
              </w:rPr>
            </w:pPr>
          </w:p>
        </w:tc>
      </w:tr>
      <w:tr>
        <w:trPr>
          <w:trHeight w:val="249"/>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7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50"/>
        </w:trPr>
        <w:tc>
          <w:tcPr>
            <w:tcW w:w="49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11,252</w:t>
            </w:r>
          </w:p>
        </w:tc>
        <w:tc>
          <w:tcPr>
            <w:tcW w:w="1160" w:type="dxa"/>
            <w:vAlign w:val="bottom"/>
            <w:tcBorders>
              <w:bottom w:val="single" w:sz="8" w:color="CCEEFF"/>
            </w:tcBorders>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11,740</w:t>
            </w:r>
          </w:p>
        </w:tc>
        <w:tc>
          <w:tcPr>
            <w:tcW w:w="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43"/>
        </w:trPr>
        <w:tc>
          <w:tcPr>
            <w:tcW w:w="4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Percentage of revenue</w:t>
            </w:r>
          </w:p>
        </w:tc>
        <w:tc>
          <w:tcPr>
            <w:tcW w:w="1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130.9 %</w:t>
            </w:r>
          </w:p>
        </w:tc>
        <w:tc>
          <w:tcPr>
            <w:tcW w:w="1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83.7 %</w:t>
            </w:r>
          </w:p>
        </w:tc>
        <w:tc>
          <w:tcPr>
            <w:tcW w:w="80" w:type="dxa"/>
            <w:vAlign w:val="bottom"/>
          </w:tcPr>
          <w:p>
            <w:pPr>
              <w:spacing w:after="0"/>
              <w:rPr>
                <w:sz w:val="21"/>
                <w:szCs w:val="21"/>
                <w:color w:val="auto"/>
              </w:rPr>
            </w:pPr>
          </w:p>
        </w:tc>
        <w:tc>
          <w:tcPr>
            <w:tcW w:w="1820" w:type="dxa"/>
            <w:vAlign w:val="bottom"/>
          </w:tcPr>
          <w:p>
            <w:pPr>
              <w:spacing w:after="0"/>
              <w:rPr>
                <w:sz w:val="21"/>
                <w:szCs w:val="21"/>
                <w:color w:val="auto"/>
              </w:rPr>
            </w:pPr>
          </w:p>
        </w:tc>
      </w:tr>
    </w:tbl>
    <w:p>
      <w:pPr>
        <w:spacing w:after="0" w:line="211" w:lineRule="exact"/>
        <w:rPr>
          <w:sz w:val="20"/>
          <w:szCs w:val="20"/>
          <w:color w:val="auto"/>
        </w:rPr>
      </w:pPr>
    </w:p>
    <w:p>
      <w:pPr>
        <w:ind w:right="20" w:firstLine="486"/>
        <w:spacing w:after="0" w:line="329" w:lineRule="auto"/>
        <w:rPr>
          <w:sz w:val="20"/>
          <w:szCs w:val="20"/>
          <w:color w:val="auto"/>
        </w:rPr>
      </w:pPr>
      <w:r>
        <w:rPr>
          <w:rFonts w:ascii="Times New Roman" w:cs="Times New Roman" w:eastAsia="Times New Roman" w:hAnsi="Times New Roman"/>
          <w:sz w:val="18"/>
          <w:szCs w:val="18"/>
          <w:color w:val="auto"/>
        </w:rPr>
        <w:t>The decrease of $0.5 million, or 4%, was primarily driven by a reduction in sales commissions and professional fees partially offset by an increase in stock-based compensation.</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Amortization of Intangible Assets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78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220" w:type="dxa"/>
            <w:vAlign w:val="bottom"/>
            <w:tcBorders>
              <w:bottom w:val="single" w:sz="8" w:color="auto"/>
            </w:tcBorders>
            <w:gridSpan w:val="2"/>
          </w:tcPr>
          <w:p>
            <w:pPr>
              <w:ind w:left="8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5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4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50"/>
        </w:trPr>
        <w:tc>
          <w:tcPr>
            <w:tcW w:w="560" w:type="dxa"/>
            <w:vAlign w:val="bottom"/>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20" w:type="dxa"/>
            <w:vAlign w:val="bottom"/>
            <w:tcBorders>
              <w:bottom w:val="single" w:sz="8" w:color="CCEEFF"/>
            </w:tcBorders>
            <w:gridSpan w:val="2"/>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4,734</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4,734</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7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Percentage of revenue</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55.1 %</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33.8 %</w:t>
            </w:r>
          </w:p>
        </w:tc>
        <w:tc>
          <w:tcPr>
            <w:tcW w:w="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45"/>
        </w:trPr>
        <w:tc>
          <w:tcPr>
            <w:tcW w:w="544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Amortization of intangible assets remained flat.</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75"/>
        </w:trPr>
        <w:tc>
          <w:tcPr>
            <w:tcW w:w="54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Expense</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9"/>
        </w:trPr>
        <w:tc>
          <w:tcPr>
            <w:tcW w:w="5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7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2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4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50"/>
        </w:trPr>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780" w:type="dxa"/>
            <w:vAlign w:val="bottom"/>
            <w:tcBorders>
              <w:top w:val="single" w:sz="8" w:color="auto"/>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Restructuring expense</w:t>
            </w:r>
          </w:p>
        </w:tc>
        <w:tc>
          <w:tcPr>
            <w:tcW w:w="1220" w:type="dxa"/>
            <w:vAlign w:val="bottom"/>
            <w:tcBorders>
              <w:top w:val="single" w:sz="8" w:color="auto"/>
              <w:bottom w:val="single" w:sz="8" w:color="CCEEFF"/>
            </w:tcBorders>
            <w:gridSpan w:val="2"/>
            <w:shd w:val="clear" w:color="auto" w:fill="CCEEFF"/>
          </w:tcPr>
          <w:p>
            <w:pPr>
              <w:jc w:val="right"/>
              <w:ind w:right="103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gridSpan w:val="2"/>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1,469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Pr>
          <w:p>
            <w:pPr>
              <w:spacing w:after="0"/>
              <w:rPr>
                <w:sz w:val="21"/>
                <w:szCs w:val="21"/>
                <w:color w:val="auto"/>
              </w:rPr>
            </w:pPr>
          </w:p>
        </w:tc>
      </w:tr>
      <w:tr>
        <w:trPr>
          <w:trHeight w:val="243"/>
        </w:trPr>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7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Percentage of revenue</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5.2 %</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decrease of $1.0 million was primarily due to timing of restructuring related plans.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Income (Expense), net</w:t>
      </w:r>
    </w:p>
    <w:p>
      <w:pPr>
        <w:spacing w:after="0" w:line="191"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4860" w:type="dxa"/>
            <w:vAlign w:val="bottom"/>
          </w:tcPr>
          <w:p>
            <w:pPr>
              <w:spacing w:after="0"/>
              <w:rPr>
                <w:sz w:val="18"/>
                <w:szCs w:val="18"/>
                <w:color w:val="auto"/>
              </w:rPr>
            </w:pPr>
          </w:p>
        </w:tc>
        <w:tc>
          <w:tcPr>
            <w:tcW w:w="302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80" w:type="dxa"/>
            <w:vAlign w:val="bottom"/>
          </w:tcPr>
          <w:p>
            <w:pPr>
              <w:spacing w:after="0"/>
              <w:rPr>
                <w:sz w:val="18"/>
                <w:szCs w:val="18"/>
                <w:color w:val="auto"/>
              </w:rPr>
            </w:pPr>
          </w:p>
        </w:tc>
      </w:tr>
      <w:tr>
        <w:trPr>
          <w:trHeight w:val="250"/>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7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Borders>
              <w:bottom w:val="single" w:sz="8" w:color="auto"/>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7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50"/>
        </w:trPr>
        <w:tc>
          <w:tcPr>
            <w:tcW w:w="4860" w:type="dxa"/>
            <w:vAlign w:val="bottom"/>
            <w:tcBorders>
              <w:bottom w:val="single" w:sz="8" w:color="CCEEFF"/>
            </w:tcBorders>
            <w:shd w:val="clear" w:color="auto" w:fill="CCEEFF"/>
          </w:tcPr>
          <w:p>
            <w:pPr>
              <w:jc w:val="center"/>
              <w:ind w:right="205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80" w:type="dxa"/>
            <w:vAlign w:val="bottom"/>
            <w:tcBorders>
              <w:bottom w:val="single" w:sz="8" w:color="CCEEFF"/>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(5,952)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8,837   —</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w:t>
            </w:r>
          </w:p>
        </w:tc>
      </w:tr>
      <w:tr>
        <w:trPr>
          <w:trHeight w:val="243"/>
        </w:trPr>
        <w:tc>
          <w:tcPr>
            <w:tcW w:w="4860" w:type="dxa"/>
            <w:vAlign w:val="bottom"/>
          </w:tcPr>
          <w:p>
            <w:pPr>
              <w:jc w:val="center"/>
              <w:ind w:right="2050"/>
              <w:spacing w:after="0"/>
              <w:rPr>
                <w:sz w:val="20"/>
                <w:szCs w:val="20"/>
                <w:color w:val="auto"/>
              </w:rPr>
            </w:pPr>
            <w:r>
              <w:rPr>
                <w:rFonts w:ascii="Times New Roman" w:cs="Times New Roman" w:eastAsia="Times New Roman" w:hAnsi="Times New Roman"/>
                <w:sz w:val="18"/>
                <w:szCs w:val="18"/>
                <w:color w:val="auto"/>
              </w:rPr>
              <w:t>Percentage of revenue</w:t>
            </w:r>
          </w:p>
        </w:tc>
        <w:tc>
          <w:tcPr>
            <w:tcW w:w="10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63.0 %</w:t>
            </w:r>
          </w:p>
        </w:tc>
        <w:tc>
          <w:tcPr>
            <w:tcW w:w="260" w:type="dxa"/>
            <w:vAlign w:val="bottom"/>
          </w:tcPr>
          <w:p>
            <w:pPr>
              <w:spacing w:after="0"/>
              <w:rPr>
                <w:sz w:val="21"/>
                <w:szCs w:val="21"/>
                <w:color w:val="auto"/>
              </w:rPr>
            </w:pPr>
          </w:p>
        </w:tc>
        <w:tc>
          <w:tcPr>
            <w:tcW w:w="1780" w:type="dxa"/>
            <w:vAlign w:val="bottom"/>
          </w:tcPr>
          <w:p>
            <w:pPr>
              <w:spacing w:after="0"/>
              <w:rPr>
                <w:sz w:val="21"/>
                <w:szCs w:val="21"/>
                <w:color w:val="auto"/>
              </w:rPr>
            </w:pPr>
          </w:p>
        </w:tc>
      </w:tr>
    </w:tbl>
    <w:p>
      <w:pPr>
        <w:spacing w:after="0" w:line="225" w:lineRule="exact"/>
        <w:rPr>
          <w:sz w:val="20"/>
          <w:szCs w:val="20"/>
          <w:color w:val="auto"/>
        </w:rPr>
      </w:pPr>
    </w:p>
    <w:p>
      <w:pPr>
        <w:ind w:firstLine="486"/>
        <w:spacing w:after="0" w:line="313" w:lineRule="auto"/>
        <w:rPr>
          <w:sz w:val="20"/>
          <w:szCs w:val="20"/>
          <w:color w:val="auto"/>
        </w:rPr>
      </w:pPr>
      <w:r>
        <w:rPr>
          <w:rFonts w:ascii="Times New Roman" w:cs="Times New Roman" w:eastAsia="Times New Roman" w:hAnsi="Times New Roman"/>
          <w:sz w:val="18"/>
          <w:szCs w:val="18"/>
          <w:color w:val="auto"/>
        </w:rPr>
        <w:t>The decrease in other income of approximately $14.8 million is primarily due to the change in fair value of our earnout liabilities of $16.0 million partially offset by an increase in interest and dividend income.</w:t>
      </w:r>
    </w:p>
    <w:p>
      <w:pPr>
        <w:sectPr>
          <w:pgSz w:w="11900" w:h="16838" w:orient="portrait"/>
          <w:cols w:equalWidth="0" w:num="1">
            <w:col w:w="11240"/>
          </w:cols>
          <w:pgMar w:left="320" w:top="4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 Provision</w:t>
      </w:r>
    </w:p>
    <w:p>
      <w:pPr>
        <w:spacing w:after="0" w:line="191" w:lineRule="exact"/>
        <w:rPr>
          <w:sz w:val="20"/>
          <w:szCs w:val="20"/>
          <w:color w:val="auto"/>
        </w:rPr>
      </w:pPr>
    </w:p>
    <w:tbl>
      <w:tblPr>
        <w:tblLayout w:type="fixed"/>
        <w:tblInd w:w="42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308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Pr>
          <w:p>
            <w:pPr>
              <w:spacing w:after="0"/>
              <w:rPr>
                <w:sz w:val="18"/>
                <w:szCs w:val="18"/>
                <w:color w:val="auto"/>
              </w:rPr>
            </w:pPr>
          </w:p>
        </w:tc>
      </w:tr>
      <w:tr>
        <w:trPr>
          <w:trHeight w:val="249"/>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20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b w:val="1"/>
                <w:bCs w:val="1"/>
                <w:color w:val="auto"/>
              </w:rPr>
              <w:t>2026</w:t>
            </w:r>
          </w:p>
        </w:tc>
        <w:tc>
          <w:tcPr>
            <w:tcW w:w="5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8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50"/>
        </w:trPr>
        <w:tc>
          <w:tcPr>
            <w:tcW w:w="4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provision</w:t>
            </w:r>
          </w:p>
        </w:tc>
        <w:tc>
          <w:tcPr>
            <w:tcW w:w="1200" w:type="dxa"/>
            <w:vAlign w:val="bottom"/>
            <w:tcBorders>
              <w:bottom w:val="single" w:sz="8" w:color="CCEEFF"/>
            </w:tcBorders>
            <w:shd w:val="clear" w:color="auto" w:fill="CCEEFF"/>
          </w:tcPr>
          <w:p>
            <w:pPr>
              <w:jc w:val="right"/>
              <w:ind w:right="9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82   —</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43"/>
        </w:trPr>
        <w:tc>
          <w:tcPr>
            <w:tcW w:w="4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Percentage of revenue</w:t>
            </w:r>
          </w:p>
        </w:tc>
        <w:tc>
          <w:tcPr>
            <w:tcW w:w="1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r>
    </w:tbl>
    <w:p>
      <w:pPr>
        <w:spacing w:after="0" w:line="200" w:lineRule="exact"/>
        <w:rPr>
          <w:sz w:val="20"/>
          <w:szCs w:val="20"/>
          <w:color w:val="auto"/>
        </w:rPr>
      </w:pPr>
    </w:p>
    <w:p>
      <w:pPr>
        <w:spacing w:after="0" w:line="254" w:lineRule="exact"/>
        <w:rPr>
          <w:sz w:val="20"/>
          <w:szCs w:val="20"/>
          <w:color w:val="auto"/>
        </w:rPr>
      </w:pPr>
    </w:p>
    <w:p>
      <w:pPr>
        <w:ind w:right="20" w:firstLine="486"/>
        <w:spacing w:after="0" w:line="329" w:lineRule="auto"/>
        <w:rPr>
          <w:sz w:val="20"/>
          <w:szCs w:val="20"/>
          <w:color w:val="auto"/>
        </w:rPr>
      </w:pPr>
      <w:r>
        <w:rPr>
          <w:rFonts w:ascii="Times New Roman" w:cs="Times New Roman" w:eastAsia="Times New Roman" w:hAnsi="Times New Roman"/>
          <w:sz w:val="18"/>
          <w:szCs w:val="18"/>
          <w:color w:val="auto"/>
        </w:rPr>
        <w:t>Income tax provision was flat primarily due to our large loss from operations. We expect our tax rate to remain close to zero in the near term due to full valuation allowances against deferred tax assets.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Equity method investment loss</w:t>
      </w:r>
    </w:p>
    <w:p>
      <w:pPr>
        <w:spacing w:after="0" w:line="164" w:lineRule="exact"/>
        <w:rPr>
          <w:sz w:val="20"/>
          <w:szCs w:val="20"/>
          <w:color w:val="auto"/>
        </w:rPr>
      </w:pPr>
    </w:p>
    <w:tbl>
      <w:tblPr>
        <w:tblLayout w:type="fixed"/>
        <w:tblInd w:w="42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302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Pr>
          <w:p>
            <w:pPr>
              <w:spacing w:after="0"/>
              <w:rPr>
                <w:sz w:val="18"/>
                <w:szCs w:val="18"/>
                <w:color w:val="auto"/>
              </w:rPr>
            </w:pPr>
          </w:p>
        </w:tc>
      </w:tr>
      <w:tr>
        <w:trPr>
          <w:trHeight w:val="249"/>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2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5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640" w:type="dxa"/>
            <w:vAlign w:val="bottom"/>
            <w:tcBorders>
              <w:bottom w:val="single" w:sz="8" w:color="auto"/>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8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50"/>
        </w:trPr>
        <w:tc>
          <w:tcPr>
            <w:tcW w:w="4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method investment loss</w:t>
            </w:r>
          </w:p>
        </w:tc>
        <w:tc>
          <w:tcPr>
            <w:tcW w:w="1200" w:type="dxa"/>
            <w:vAlign w:val="bottom"/>
            <w:tcBorders>
              <w:bottom w:val="single" w:sz="8" w:color="CCEEFF"/>
            </w:tcBorders>
            <w:shd w:val="clear" w:color="auto" w:fill="CCEEFF"/>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5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(280)  —</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43"/>
        </w:trPr>
        <w:tc>
          <w:tcPr>
            <w:tcW w:w="4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Percentage of revenue</w:t>
            </w:r>
          </w:p>
        </w:tc>
        <w:tc>
          <w:tcPr>
            <w:tcW w:w="1200" w:type="dxa"/>
            <w:vAlign w:val="bottom"/>
          </w:tcPr>
          <w:p>
            <w:pPr>
              <w:spacing w:after="0"/>
              <w:rPr>
                <w:sz w:val="21"/>
                <w:szCs w:val="21"/>
                <w:color w:val="auto"/>
              </w:rPr>
            </w:pPr>
          </w:p>
        </w:tc>
        <w:tc>
          <w:tcPr>
            <w:tcW w:w="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r>
    </w:tbl>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the first quarter of 2026, the Company discontinued the application of the equity method of accounting following the loss of significant influence.</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81" w:lineRule="exact"/>
        <w:rPr>
          <w:sz w:val="20"/>
          <w:szCs w:val="20"/>
          <w:color w:val="auto"/>
        </w:rPr>
      </w:pPr>
    </w:p>
    <w:p>
      <w:pPr>
        <w:ind w:right="20" w:firstLine="486"/>
        <w:spacing w:after="0" w:line="329" w:lineRule="auto"/>
        <w:rPr>
          <w:sz w:val="20"/>
          <w:szCs w:val="20"/>
          <w:color w:val="auto"/>
        </w:rPr>
      </w:pPr>
      <w:r>
        <w:rPr>
          <w:rFonts w:ascii="Times New Roman" w:cs="Times New Roman" w:eastAsia="Times New Roman" w:hAnsi="Times New Roman"/>
          <w:sz w:val="18"/>
          <w:szCs w:val="18"/>
          <w:color w:val="auto"/>
        </w:rPr>
        <w:t>Our primary use of cash is to fund operating expenses, working capital requirements, research and development, and capital expenditures. In addition, we use cash for strategic investments and acquisitions.</w:t>
      </w:r>
    </w:p>
    <w:p>
      <w:pPr>
        <w:spacing w:after="0" w:line="108" w:lineRule="exact"/>
        <w:rPr>
          <w:sz w:val="20"/>
          <w:szCs w:val="20"/>
          <w:color w:val="auto"/>
        </w:rPr>
      </w:pPr>
    </w:p>
    <w:p>
      <w:pPr>
        <w:ind w:firstLine="486"/>
        <w:spacing w:after="0" w:line="313" w:lineRule="auto"/>
        <w:rPr>
          <w:sz w:val="20"/>
          <w:szCs w:val="20"/>
          <w:color w:val="auto"/>
        </w:rPr>
      </w:pPr>
      <w:r>
        <w:rPr>
          <w:rFonts w:ascii="Times New Roman" w:cs="Times New Roman" w:eastAsia="Times New Roman" w:hAnsi="Times New Roman"/>
          <w:sz w:val="18"/>
          <w:szCs w:val="18"/>
          <w:color w:val="auto"/>
        </w:rPr>
        <w:t>We expect to continue to incur net operating losses and negative cash flows from operations and we expect our research and development expenses, general and administrative expenses, and capital expenditures will remain relatively flat.</w:t>
      </w:r>
    </w:p>
    <w:p>
      <w:pPr>
        <w:spacing w:after="0" w:line="122" w:lineRule="exact"/>
        <w:rPr>
          <w:sz w:val="20"/>
          <w:szCs w:val="20"/>
          <w:color w:val="auto"/>
        </w:rPr>
      </w:pPr>
    </w:p>
    <w:p>
      <w:pPr>
        <w:ind w:right="20" w:firstLine="486"/>
        <w:spacing w:after="0" w:line="313" w:lineRule="auto"/>
        <w:rPr>
          <w:sz w:val="20"/>
          <w:szCs w:val="20"/>
          <w:color w:val="auto"/>
        </w:rPr>
      </w:pPr>
      <w:r>
        <w:rPr>
          <w:rFonts w:ascii="Times New Roman" w:cs="Times New Roman" w:eastAsia="Times New Roman" w:hAnsi="Times New Roman"/>
          <w:sz w:val="18"/>
          <w:szCs w:val="18"/>
          <w:color w:val="auto"/>
        </w:rPr>
        <w:t>We currently expect to fund our cash requirements through the use of cash and cash equivalents on hand. We believe that our current levels of cash and cash equivalents are sufficient to finance our operations, working capital requirements, and capital expenditures for the foreseeable future.</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consolidated cash flows for the three months ended March 31, 2026 and 2025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0" w:type="dxa"/>
            <w:vAlign w:val="bottom"/>
            <w:gridSpan w:val="3"/>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236"/>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 Data:</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Pr>
          <w:p>
            <w:pPr>
              <w:spacing w:after="0"/>
              <w:rPr>
                <w:sz w:val="20"/>
                <w:szCs w:val="20"/>
                <w:color w:val="auto"/>
              </w:rPr>
            </w:pPr>
          </w:p>
        </w:tc>
      </w:tr>
      <w:tr>
        <w:trPr>
          <w:trHeight w:val="27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 w:type="dxa"/>
            <w:vAlign w:val="bottom"/>
          </w:tcPr>
          <w:p>
            <w:pPr>
              <w:spacing w:after="0"/>
              <w:rPr>
                <w:sz w:val="23"/>
                <w:szCs w:val="23"/>
                <w:color w:val="auto"/>
              </w:rPr>
            </w:pPr>
          </w:p>
        </w:tc>
        <w:tc>
          <w:tcPr>
            <w:tcW w:w="126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(16,362)</w:t>
            </w:r>
          </w:p>
        </w:tc>
        <w:tc>
          <w:tcPr>
            <w:tcW w:w="1300" w:type="dxa"/>
            <w:vAlign w:val="bottom"/>
            <w:gridSpan w:val="2"/>
          </w:tcPr>
          <w:p>
            <w:pPr>
              <w:jc w:val="right"/>
              <w:ind w:right="101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(13,533)</w:t>
            </w:r>
          </w:p>
        </w:tc>
        <w:tc>
          <w:tcPr>
            <w:tcW w:w="120" w:type="dxa"/>
            <w:vAlign w:val="bottom"/>
          </w:tcPr>
          <w:p>
            <w:pPr>
              <w:spacing w:after="0"/>
              <w:rPr>
                <w:sz w:val="23"/>
                <w:szCs w:val="23"/>
                <w:color w:val="auto"/>
              </w:rPr>
            </w:pPr>
          </w:p>
        </w:tc>
      </w:tr>
      <w:tr>
        <w:trPr>
          <w:trHeight w:val="27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(388)</w:t>
            </w:r>
          </w:p>
        </w:tc>
        <w:tc>
          <w:tcPr>
            <w:tcW w:w="1300" w:type="dxa"/>
            <w:vAlign w:val="bottom"/>
            <w:gridSpan w:val="2"/>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3"/>
                <w:szCs w:val="23"/>
                <w:color w:val="auto"/>
              </w:rPr>
            </w:pPr>
          </w:p>
        </w:tc>
      </w:tr>
      <w:tr>
        <w:trPr>
          <w:trHeight w:val="270"/>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tcBorders>
              <w:bottom w:val="single" w:sz="8" w:color="CCEEFF"/>
            </w:tcBorders>
          </w:tcPr>
          <w:p>
            <w:pPr>
              <w:spacing w:after="0"/>
              <w:rPr>
                <w:sz w:val="23"/>
                <w:szCs w:val="23"/>
                <w:color w:val="auto"/>
              </w:rPr>
            </w:pPr>
          </w:p>
        </w:tc>
        <w:tc>
          <w:tcPr>
            <w:tcW w:w="70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1,518</w:t>
            </w:r>
          </w:p>
        </w:tc>
        <w:tc>
          <w:tcPr>
            <w:tcW w:w="8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jc w:val="right"/>
              <w:ind w:right="101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20" w:type="dxa"/>
            <w:vAlign w:val="bottom"/>
          </w:tcPr>
          <w:p>
            <w:pPr>
              <w:spacing w:after="0"/>
              <w:rPr>
                <w:sz w:val="23"/>
                <w:szCs w:val="23"/>
                <w:color w:val="auto"/>
              </w:rPr>
            </w:pPr>
          </w:p>
        </w:tc>
      </w:tr>
      <w:tr>
        <w:trPr>
          <w:trHeight w:val="25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(15,232)</w:t>
            </w:r>
          </w:p>
        </w:tc>
        <w:tc>
          <w:tcPr>
            <w:tcW w:w="1300" w:type="dxa"/>
            <w:vAlign w:val="bottom"/>
            <w:gridSpan w:val="2"/>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(12,625)</w:t>
            </w:r>
          </w:p>
        </w:tc>
        <w:tc>
          <w:tcPr>
            <w:tcW w:w="120" w:type="dxa"/>
            <w:vAlign w:val="bottom"/>
          </w:tcPr>
          <w:p>
            <w:pPr>
              <w:spacing w:after="0"/>
              <w:rPr>
                <w:sz w:val="21"/>
                <w:szCs w:val="21"/>
                <w:color w:val="auto"/>
              </w:rPr>
            </w:pPr>
          </w:p>
        </w:tc>
      </w:tr>
      <w:tr>
        <w:trPr>
          <w:trHeight w:val="560"/>
        </w:trPr>
        <w:tc>
          <w:tcPr>
            <w:tcW w:w="52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0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8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5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223,370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238,602</w:t>
            </w:r>
          </w:p>
        </w:tc>
        <w:tc>
          <w:tcPr>
            <w:tcW w:w="4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(15,232)</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20" w:firstLine="486"/>
        <w:spacing w:after="0" w:line="329" w:lineRule="auto"/>
        <w:rPr>
          <w:sz w:val="20"/>
          <w:szCs w:val="20"/>
          <w:color w:val="auto"/>
        </w:rPr>
      </w:pPr>
      <w:r>
        <w:rPr>
          <w:rFonts w:ascii="Times New Roman" w:cs="Times New Roman" w:eastAsia="Times New Roman" w:hAnsi="Times New Roman"/>
          <w:sz w:val="18"/>
          <w:szCs w:val="18"/>
          <w:color w:val="auto"/>
        </w:rPr>
        <w:t>We derive liquidity primarily from cash on hand and equity financing activities. The changes in our cash flows for the three months ended March 31, 2026, compared to the same period in 2025, were primarily driven by the following:</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62"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2026 was $16.4 million compared to $13.5 million for the three months ended March 31, 2025. The increase was primarily driven by a higher net loss, including unfavorable change in the fair value of the earnout liability and working capital, partially offset by higher non-cash stock-based compensation.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62"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Net cash used in investing activities increased slightly during the three months ended March 31, 2026, compared to the same period in 2025, primarily due to additional capital expenditures for R&amp;D equipment.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48" w:lineRule="exact"/>
        <w:rPr>
          <w:sz w:val="20"/>
          <w:szCs w:val="20"/>
          <w:color w:val="auto"/>
        </w:rPr>
      </w:pPr>
    </w:p>
    <w:p>
      <w:pPr>
        <w:ind w:right="120" w:firstLine="486"/>
        <w:spacing w:after="0" w:line="329" w:lineRule="auto"/>
        <w:rPr>
          <w:sz w:val="20"/>
          <w:szCs w:val="20"/>
          <w:color w:val="auto"/>
        </w:rPr>
      </w:pPr>
      <w:r>
        <w:rPr>
          <w:rFonts w:ascii="Times New Roman" w:cs="Times New Roman" w:eastAsia="Times New Roman" w:hAnsi="Times New Roman"/>
          <w:sz w:val="18"/>
          <w:szCs w:val="18"/>
          <w:color w:val="auto"/>
        </w:rPr>
        <w:t>Net cash provided by financing activities increased $0.6 million primarily driven by higher proceeds from stock option exercises, partially offset by increased payments on finance lease obligations.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135"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In the ordinary course of business, we enter into contractual arrangements that may require future cash payments. As of March 31, 2026, our non-cancellable contractual arrangements consisted of lease obligations and an agreement for the purchase of equipment. Refer to Note 9 - “Leases” for further information on our minimum future payments related to lease obligations.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Commitments and Arrangements</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2026, we did not have any off-balance sheet arrangements as defined in Item 303(a)(4)(ii) of Regulation S-K.</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35"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preparation of our financial statements and related disclosures in accordance with U.S. GAAP requires our management to make judgments, assumptions and estimates that affect the amounts reported in our accompanying condensed consolidated financial statements and the accompanying notes included elsewhere in this quarterly report. Our management bases its estimates and judgments on historical experience, current economic and industry conditions and on various other factors that are believed to be reasonable under the circumstances. Actual results may differ from these estimates under different assumptions or conditions.</w:t>
      </w:r>
    </w:p>
    <w:p>
      <w:pPr>
        <w:spacing w:after="0" w:line="69"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The methods, estimates, and judgments that we use in applying our accounting policies have a significant impact on the results that we report in our condensed consolidated financial statements. Some of our accounting policies require us to make difficult and subjective judgments, often as a result of the need to make estimates regarding matters that are inherently uncertain.</w:t>
      </w:r>
    </w:p>
    <w:p>
      <w:pPr>
        <w:spacing w:after="0" w:line="75"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from the information in Item 7, “Management’s Discussion and Analysis of Financial Condition and Results of Operations”, included in our 2025 annual report on Form 10-K.</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Conditions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Adverse changes in the global economy may continue to negatively impact demand for our products. This includes shifts in vendor inventory levels and altered customer ordering behaviors, such as unexpected cancellations.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Risk</w:t>
      </w:r>
    </w:p>
    <w:p>
      <w:pPr>
        <w:spacing w:after="0" w:line="256"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We are exposed to price fluctuations for commodity raw materials used in our end products. Suppliers often pass these cost increases to us through price hikes or surcharges. While we primarily rely on purchase orders rather than long-term contracts, we actively mitigate this risk by securing firm pricing aligned with our planned production volumes.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and Interest Rate Risk</w:t>
      </w:r>
    </w:p>
    <w:p>
      <w:pPr>
        <w:spacing w:after="0" w:line="256"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We are exposed to market risks from fluctuations in foreign currency exchange rates and interest rates, which may adversely impact our financial position. We regularly assess these risks and utilize established policies to protect against potential adverse financial effects.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08"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Our management, with the supervision and involvement of our Chief Executive Officer and Chief Financial Officer, has evaluated the effectiveness of the design and operation of our disclosure controls and procedures (as defined in Rules 13a-15(e) and 15d-15(e) under the Securities Exchange Act of 1934, as amended (the "Exchange Act")) as of the end of the period covered by this report. Based upon this evaluation, our Chief Executive Officer and Chief Financial Officer have concluded that, as of March 31, 2026, our disclosure controls and procedures were effective.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2323"/>
        </w:rPr>
        <w:t>Changes in Internal Control Over Financial Reporting</w:t>
      </w:r>
    </w:p>
    <w:p>
      <w:pPr>
        <w:spacing w:after="0" w:line="162"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quarter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 involved in various disputes and litigation matters that arise in the ordinary course of business. We are currently not a party to any material legal proceedings. See Note 14 - “Commitments and Contingencies” – to our Condensed Consolidated Financial Statements included in Part I, Item 1 of this report.</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2"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There have been no material changes from the risk factors described under Item 1A of our annual report on Form 10-K for the fiscal year ended December 31, 2025.</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340" w:type="dxa"/>
            <w:vAlign w:val="bottom"/>
            <w:gridSpan w:val="7"/>
          </w:tcPr>
          <w:p>
            <w:pPr>
              <w:ind w:left="30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267"/>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23"/>
                <w:szCs w:val="23"/>
                <w:color w:val="auto"/>
              </w:rPr>
            </w:pPr>
          </w:p>
        </w:tc>
        <w:tc>
          <w:tcPr>
            <w:tcW w:w="8340" w:type="dxa"/>
            <w:vAlign w:val="bottom"/>
            <w:gridSpan w:val="7"/>
          </w:tcPr>
          <w:p>
            <w:pPr>
              <w:ind w:left="37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66"/>
        </w:trPr>
        <w:tc>
          <w:tcPr>
            <w:tcW w:w="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8320" w:type="dxa"/>
            <w:vAlign w:val="bottom"/>
            <w:tcBorders>
              <w:top w:val="single" w:sz="8" w:color="auto"/>
              <w:bottom w:val="single" w:sz="8" w:color="0000FF"/>
            </w:tcBorders>
            <w:gridSpan w:val="6"/>
          </w:tcPr>
          <w:p>
            <w:pPr>
              <w:spacing w:after="0"/>
              <w:rPr>
                <w:rFonts w:ascii="Times New Roman" w:cs="Times New Roman" w:eastAsia="Times New Roman" w:hAnsi="Times New Roman"/>
                <w:sz w:val="16"/>
                <w:szCs w:val="16"/>
                <w:color w:val="0000FF"/>
              </w:rPr>
            </w:pPr>
            <w:hyperlink r:id="rId46">
              <w:r>
                <w:rPr>
                  <w:rFonts w:ascii="Times New Roman" w:cs="Times New Roman" w:eastAsia="Times New Roman" w:hAnsi="Times New Roman"/>
                  <w:sz w:val="16"/>
                  <w:szCs w:val="16"/>
                  <w:color w:val="0000FF"/>
                </w:rPr>
                <w:t>Second Amended and Restated Certificate of Incorporation of Navitas Semiconductor Corporation (incorporated by reference</w:t>
              </w:r>
            </w:hyperlink>
          </w:p>
        </w:tc>
        <w:tc>
          <w:tcPr>
            <w:tcW w:w="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320" w:type="dxa"/>
            <w:vAlign w:val="bottom"/>
            <w:gridSpan w:val="6"/>
          </w:tcPr>
          <w:p>
            <w:pPr>
              <w:spacing w:after="0" w:line="142" w:lineRule="exact"/>
              <w:rPr>
                <w:rFonts w:ascii="Times New Roman" w:cs="Times New Roman" w:eastAsia="Times New Roman" w:hAnsi="Times New Roman"/>
                <w:sz w:val="16"/>
                <w:szCs w:val="16"/>
                <w:color w:val="0000FF"/>
              </w:rPr>
            </w:pPr>
            <w:hyperlink r:id="rId46">
              <w:r>
                <w:rPr>
                  <w:rFonts w:ascii="Times New Roman" w:cs="Times New Roman" w:eastAsia="Times New Roman" w:hAnsi="Times New Roman"/>
                  <w:sz w:val="16"/>
                  <w:szCs w:val="16"/>
                  <w:color w:val="0000FF"/>
                </w:rPr>
                <w:t>to Exhibit 3.1 of our current report on Form 8-K, filed with the SEC on October 25, 2021).</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340" w:type="dxa"/>
            <w:vAlign w:val="bottom"/>
            <w:gridSpan w:val="7"/>
          </w:tcPr>
          <w:p>
            <w:pPr>
              <w:spacing w:after="0"/>
              <w:rPr>
                <w:rFonts w:ascii="Times New Roman" w:cs="Times New Roman" w:eastAsia="Times New Roman" w:hAnsi="Times New Roman"/>
                <w:sz w:val="16"/>
                <w:szCs w:val="16"/>
                <w:color w:val="0000FF"/>
              </w:rPr>
            </w:pPr>
            <w:hyperlink r:id="rId47">
              <w:r>
                <w:rPr>
                  <w:rFonts w:ascii="Times New Roman" w:cs="Times New Roman" w:eastAsia="Times New Roman" w:hAnsi="Times New Roman"/>
                  <w:sz w:val="16"/>
                  <w:szCs w:val="16"/>
                  <w:color w:val="0000FF"/>
                </w:rPr>
                <w:t>Amended and Restated Bylaws of Navitas Semiconductor Corporation (incorporated by reference to Exhibit 3.1 of our current</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300" w:type="dxa"/>
            <w:vAlign w:val="bottom"/>
            <w:tcBorders>
              <w:top w:val="single" w:sz="8" w:color="0000FF"/>
            </w:tcBorders>
            <w:gridSpan w:val="5"/>
          </w:tcPr>
          <w:p>
            <w:pPr>
              <w:spacing w:after="0" w:line="142" w:lineRule="exact"/>
              <w:rPr>
                <w:rFonts w:ascii="Times New Roman" w:cs="Times New Roman" w:eastAsia="Times New Roman" w:hAnsi="Times New Roman"/>
                <w:sz w:val="16"/>
                <w:szCs w:val="16"/>
                <w:color w:val="0000FF"/>
              </w:rPr>
            </w:pPr>
            <w:hyperlink r:id="rId47">
              <w:r>
                <w:rPr>
                  <w:rFonts w:ascii="Times New Roman" w:cs="Times New Roman" w:eastAsia="Times New Roman" w:hAnsi="Times New Roman"/>
                  <w:sz w:val="16"/>
                  <w:szCs w:val="16"/>
                  <w:color w:val="0000FF"/>
                </w:rPr>
                <w:t>report on Form 8-K, filed with the SEC on April 10, 2025)</w:t>
              </w:r>
              <w:r>
                <w:rPr>
                  <w:rFonts w:ascii="Times New Roman" w:cs="Times New Roman" w:eastAsia="Times New Roman" w:hAnsi="Times New Roman"/>
                  <w:sz w:val="16"/>
                  <w:szCs w:val="16"/>
                  <w:color w:val="000000"/>
                </w:rPr>
                <w:t>.</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0" w:type="dxa"/>
            <w:vAlign w:val="bottom"/>
            <w:shd w:val="clear" w:color="auto" w:fill="0000FF"/>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340" w:type="dxa"/>
            <w:vAlign w:val="bottom"/>
            <w:gridSpan w:val="7"/>
          </w:tcPr>
          <w:p>
            <w:pPr>
              <w:spacing w:after="0"/>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Offer Letter, dated March 11, 2026, between Navitas Semiconductor USA, Inc. and Tonya Stevens (incorporated</w:t>
              </w:r>
            </w:hyperlink>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80" w:type="dxa"/>
            <w:vAlign w:val="bottom"/>
            <w:tcBorders>
              <w:top w:val="single" w:sz="8" w:color="0000FF"/>
            </w:tcBorders>
            <w:gridSpan w:val="4"/>
          </w:tcPr>
          <w:p>
            <w:pPr>
              <w:spacing w:after="0" w:line="156"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by reference to Exhibit 10.1 of our current report on Form 8-K, filed with the SEC on March 11, 2026).</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ectPr>
          <w:pgSz w:w="11900" w:h="16838" w:orient="portrait"/>
          <w:cols w:equalWidth="0" w:num="1">
            <w:col w:w="10139"/>
          </w:cols>
          <w:pgMar w:left="320" w:top="454" w:right="1440"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101.CAL*</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101.DEF*</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101.LAB*</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101.PRE*</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u w:val="single" w:color="auto"/>
          <w:color w:val="0000FF"/>
        </w:rPr>
        <w:t>Certification of the Chief Executive Officer pursuant to Rule 13a-14(a) of the Exchange Act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Certification of the Chief Financial Officer pursuant to Rule 13a-14(a) of the Exchange Act</w:t>
      </w:r>
    </w:p>
    <w:p>
      <w:pPr>
        <w:spacing w:after="0" w:line="154" w:lineRule="exact"/>
        <w:rPr>
          <w:sz w:val="20"/>
          <w:szCs w:val="20"/>
          <w:color w:val="auto"/>
        </w:rPr>
      </w:pPr>
    </w:p>
    <w:p>
      <w:pPr>
        <w:ind w:right="819"/>
        <w:spacing w:after="0" w:line="245" w:lineRule="auto"/>
        <w:rPr>
          <w:sz w:val="20"/>
          <w:szCs w:val="20"/>
          <w:color w:val="auto"/>
        </w:rPr>
      </w:pPr>
      <w:r>
        <w:rPr>
          <w:rFonts w:ascii="Times New Roman" w:cs="Times New Roman" w:eastAsia="Times New Roman" w:hAnsi="Times New Roman"/>
          <w:sz w:val="16"/>
          <w:szCs w:val="16"/>
          <w:u w:val="single" w:color="auto"/>
          <w:color w:val="0000FF"/>
        </w:rPr>
        <w:t>Certification of the Chief Executive Officer and the Chief Financial Officer pursuant to Rule 13a-14(b) of the Exchange Act and 18 U.S.C. § 1350</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 Exhibit 101)</w:t>
      </w:r>
    </w:p>
    <w:p>
      <w:pPr>
        <w:spacing w:after="0" w:line="77" w:lineRule="exact"/>
        <w:rPr>
          <w:sz w:val="20"/>
          <w:szCs w:val="20"/>
          <w:color w:val="auto"/>
        </w:rPr>
      </w:pPr>
    </w:p>
    <w:p>
      <w:pPr>
        <w:sectPr>
          <w:pgSz w:w="11900" w:h="16838" w:orient="portrait"/>
          <w:cols w:equalWidth="0" w:num="2">
            <w:col w:w="640" w:space="380"/>
            <w:col w:w="9119"/>
          </w:cols>
          <w:pgMar w:left="320" w:top="454" w:right="1440"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color w:val="auto"/>
        </w:rPr>
        <w:t>* Filed herewith</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74"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NAVITAS SEMICONDUCTOR</w:t>
      </w:r>
    </w:p>
    <w:p>
      <w:pPr>
        <w:ind w:left="4480"/>
        <w:spacing w:after="0"/>
        <w:rPr>
          <w:sz w:val="20"/>
          <w:szCs w:val="20"/>
          <w:color w:val="auto"/>
        </w:rPr>
      </w:pPr>
      <w:r>
        <w:rPr>
          <w:rFonts w:ascii="Times New Roman" w:cs="Times New Roman" w:eastAsia="Times New Roman" w:hAnsi="Times New Roman"/>
          <w:sz w:val="18"/>
          <w:szCs w:val="18"/>
          <w:color w:val="auto"/>
        </w:rPr>
        <w:t>CORPORATION</w:t>
      </w:r>
    </w:p>
    <w:p>
      <w:pPr>
        <w:spacing w:after="0" w:line="232" w:lineRule="exact"/>
        <w:rPr>
          <w:sz w:val="20"/>
          <w:szCs w:val="20"/>
          <w:color w:val="auto"/>
        </w:rPr>
      </w:pPr>
    </w:p>
    <w:p>
      <w:pPr>
        <w:ind w:left="4480"/>
        <w:spacing w:after="0"/>
        <w:tabs>
          <w:tab w:leader="none" w:pos="50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 Allexandre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17145</wp:posOffset>
            </wp:positionV>
            <wp:extent cx="18345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1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Chris Allexandre</w:t>
      </w:r>
    </w:p>
    <w:p>
      <w:pPr>
        <w:spacing w:after="0" w:line="2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42" w:lineRule="exact"/>
        <w:rPr>
          <w:sz w:val="20"/>
          <w:szCs w:val="20"/>
          <w:color w:val="auto"/>
        </w:rPr>
      </w:pPr>
    </w:p>
    <w:p>
      <w:pPr>
        <w:jc w:val="center"/>
        <w:ind w:right="340"/>
        <w:spacing w:after="0"/>
        <w:tabs>
          <w:tab w:leader="none" w:pos="120" w:val="left"/>
        </w:tabs>
        <w:rPr>
          <w:sz w:val="20"/>
          <w:szCs w:val="20"/>
          <w:color w:val="auto"/>
        </w:rPr>
      </w:pPr>
      <w:r>
        <w:rPr>
          <w:rFonts w:ascii="Times New Roman" w:cs="Times New Roman" w:eastAsia="Times New Roman" w:hAnsi="Times New Roman"/>
          <w:sz w:val="18"/>
          <w:szCs w:val="18"/>
          <w:color w:val="auto"/>
        </w:rPr>
        <w:t>Date:</w:t>
        <w:tab/>
        <w:t>May 5, 2026</w:t>
      </w:r>
    </w:p>
    <w:p>
      <w:pPr>
        <w:spacing w:after="0" w:line="200" w:lineRule="exact"/>
        <w:rPr>
          <w:sz w:val="20"/>
          <w:szCs w:val="20"/>
          <w:color w:val="auto"/>
        </w:rPr>
      </w:pPr>
    </w:p>
    <w:p>
      <w:pPr>
        <w:spacing w:after="0" w:line="39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NAVITAS SEMICONDUCTOR</w:t>
      </w:r>
    </w:p>
    <w:p>
      <w:pPr>
        <w:ind w:left="4400"/>
        <w:spacing w:after="0"/>
        <w:rPr>
          <w:sz w:val="20"/>
          <w:szCs w:val="20"/>
          <w:color w:val="auto"/>
        </w:rPr>
      </w:pPr>
      <w:r>
        <w:rPr>
          <w:rFonts w:ascii="Times New Roman" w:cs="Times New Roman" w:eastAsia="Times New Roman" w:hAnsi="Times New Roman"/>
          <w:sz w:val="18"/>
          <w:szCs w:val="18"/>
          <w:color w:val="auto"/>
        </w:rPr>
        <w:t>CORPORATION</w:t>
      </w:r>
    </w:p>
    <w:p>
      <w:pPr>
        <w:spacing w:after="0" w:line="232" w:lineRule="exact"/>
        <w:rPr>
          <w:sz w:val="20"/>
          <w:szCs w:val="20"/>
          <w:color w:val="auto"/>
        </w:rPr>
      </w:pPr>
    </w:p>
    <w:p>
      <w:pPr>
        <w:ind w:left="4400"/>
        <w:spacing w:after="0"/>
        <w:tabs>
          <w:tab w:leader="none" w:pos="49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Tonya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17145</wp:posOffset>
            </wp:positionV>
            <wp:extent cx="18605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1860550" cy="8890"/>
                    </a:xfrm>
                    <a:prstGeom prst="rect">
                      <a:avLst/>
                    </a:prstGeom>
                    <a:noFill/>
                  </pic:spPr>
                </pic:pic>
              </a:graphicData>
            </a:graphic>
          </wp:anchor>
        </w:drawing>
      </w:r>
    </w:p>
    <w:p>
      <w:pPr>
        <w:spacing w:after="0" w:line="1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Tonya Stevens</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and accounting</w:t>
      </w:r>
    </w:p>
    <w:p>
      <w:pPr>
        <w:ind w:left="4960"/>
        <w:spacing w:after="0"/>
        <w:rPr>
          <w:sz w:val="20"/>
          <w:szCs w:val="20"/>
          <w:color w:val="auto"/>
        </w:rPr>
      </w:pPr>
      <w:r>
        <w:rPr>
          <w:rFonts w:ascii="Times New Roman" w:cs="Times New Roman" w:eastAsia="Times New Roman" w:hAnsi="Times New Roman"/>
          <w:sz w:val="18"/>
          <w:szCs w:val="18"/>
          <w:color w:val="auto"/>
        </w:rPr>
        <w:t>officer)</w:t>
      </w:r>
    </w:p>
    <w:p>
      <w:pPr>
        <w:spacing w:after="0" w:line="273" w:lineRule="exact"/>
        <w:rPr>
          <w:sz w:val="20"/>
          <w:szCs w:val="20"/>
          <w:color w:val="auto"/>
        </w:rPr>
      </w:pPr>
    </w:p>
    <w:p>
      <w:pPr>
        <w:ind w:left="4400"/>
        <w:spacing w:after="0"/>
        <w:tabs>
          <w:tab w:leader="none" w:pos="49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May 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760"/>
          </w:cols>
          <w:pgMar w:left="320" w:top="454" w:right="81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 Allexandre, certify that:</w:t>
      </w:r>
    </w:p>
    <w:p>
      <w:pPr>
        <w:spacing w:after="0" w:line="158"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March 31, 2026, of Navitas Semiconductor Corporation;</w:t>
      </w:r>
    </w:p>
    <w:p>
      <w:pPr>
        <w:spacing w:after="0" w:line="157" w:lineRule="exact"/>
        <w:rPr>
          <w:rFonts w:ascii="Times New Roman" w:cs="Times New Roman" w:eastAsia="Times New Roman" w:hAnsi="Times New Roman"/>
          <w:sz w:val="18"/>
          <w:szCs w:val="18"/>
          <w:color w:val="auto"/>
        </w:rPr>
      </w:pPr>
    </w:p>
    <w:p>
      <w:pPr>
        <w:jc w:val="both"/>
        <w:ind w:left="340" w:hanging="332"/>
        <w:spacing w:after="0" w:line="226" w:lineRule="auto"/>
        <w:tabs>
          <w:tab w:leader="none" w:pos="39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Times New Roman" w:cs="Times New Roman" w:eastAsia="Times New Roman" w:hAnsi="Times New Roman"/>
          <w:sz w:val="18"/>
          <w:szCs w:val="18"/>
          <w:color w:val="auto"/>
        </w:rPr>
      </w:pPr>
    </w:p>
    <w:p>
      <w:pPr>
        <w:ind w:left="340" w:hanging="332"/>
        <w:spacing w:after="0" w:line="237" w:lineRule="auto"/>
        <w:tabs>
          <w:tab w:leader="none" w:pos="39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Times New Roman" w:cs="Times New Roman" w:eastAsia="Times New Roman" w:hAnsi="Times New Roman"/>
          <w:sz w:val="18"/>
          <w:szCs w:val="18"/>
          <w:color w:val="auto"/>
        </w:rPr>
      </w:pPr>
    </w:p>
    <w:p>
      <w:pPr>
        <w:jc w:val="both"/>
        <w:ind w:left="340" w:hanging="332"/>
        <w:spacing w:after="0" w:line="231" w:lineRule="auto"/>
        <w:tabs>
          <w:tab w:leader="none" w:pos="43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8"/>
          <w:szCs w:val="18"/>
          <w:color w:val="auto"/>
        </w:rPr>
      </w:pPr>
    </w:p>
    <w:p>
      <w:pPr>
        <w:jc w:val="both"/>
        <w:ind w:left="740" w:hanging="408"/>
        <w:spacing w:after="0" w:line="231" w:lineRule="auto"/>
        <w:tabs>
          <w:tab w:leader="none" w:pos="81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31" w:lineRule="exact"/>
        <w:rPr>
          <w:rFonts w:ascii="Times New Roman" w:cs="Times New Roman" w:eastAsia="Times New Roman" w:hAnsi="Times New Roman"/>
          <w:sz w:val="18"/>
          <w:szCs w:val="18"/>
          <w:color w:val="auto"/>
        </w:rPr>
      </w:pPr>
    </w:p>
    <w:p>
      <w:pPr>
        <w:jc w:val="both"/>
        <w:ind w:left="740" w:hanging="408"/>
        <w:spacing w:after="0" w:line="226" w:lineRule="auto"/>
        <w:tabs>
          <w:tab w:leader="none" w:pos="84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30" w:lineRule="exact"/>
        <w:rPr>
          <w:rFonts w:ascii="Times New Roman" w:cs="Times New Roman" w:eastAsia="Times New Roman" w:hAnsi="Times New Roman"/>
          <w:sz w:val="18"/>
          <w:szCs w:val="18"/>
          <w:color w:val="auto"/>
        </w:rPr>
      </w:pPr>
    </w:p>
    <w:p>
      <w:pPr>
        <w:ind w:left="740" w:hanging="408"/>
        <w:spacing w:after="0" w:line="237" w:lineRule="auto"/>
        <w:tabs>
          <w:tab w:leader="none" w:pos="8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Times New Roman" w:cs="Times New Roman" w:eastAsia="Times New Roman" w:hAnsi="Times New Roman"/>
          <w:sz w:val="18"/>
          <w:szCs w:val="18"/>
          <w:color w:val="auto"/>
        </w:rPr>
      </w:pPr>
    </w:p>
    <w:p>
      <w:pPr>
        <w:jc w:val="both"/>
        <w:ind w:left="740" w:hanging="408"/>
        <w:spacing w:after="0" w:line="231" w:lineRule="auto"/>
        <w:tabs>
          <w:tab w:leader="none" w:pos="77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Times New Roman" w:cs="Times New Roman" w:eastAsia="Times New Roman" w:hAnsi="Times New Roman"/>
          <w:sz w:val="18"/>
          <w:szCs w:val="18"/>
          <w:color w:val="auto"/>
        </w:rPr>
      </w:pPr>
    </w:p>
    <w:p>
      <w:pPr>
        <w:ind w:left="340" w:hanging="332"/>
        <w:spacing w:after="0" w:line="250"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740" w:hanging="408"/>
        <w:spacing w:after="0" w:line="237" w:lineRule="auto"/>
        <w:tabs>
          <w:tab w:leader="none" w:pos="74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Times New Roman" w:cs="Times New Roman" w:eastAsia="Times New Roman" w:hAnsi="Times New Roman"/>
          <w:sz w:val="18"/>
          <w:szCs w:val="18"/>
          <w:color w:val="auto"/>
        </w:rPr>
      </w:pPr>
    </w:p>
    <w:p>
      <w:pPr>
        <w:ind w:left="740" w:hanging="408"/>
        <w:spacing w:after="0" w:line="237" w:lineRule="auto"/>
        <w:tabs>
          <w:tab w:leader="none" w:pos="743"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Chris Allexandre</w:t>
            </w:r>
          </w:p>
        </w:tc>
      </w:tr>
      <w:tr>
        <w:trPr>
          <w:trHeight w:val="151"/>
        </w:trPr>
        <w:tc>
          <w:tcPr>
            <w:tcW w:w="5460" w:type="dxa"/>
            <w:vAlign w:val="bottom"/>
          </w:tcPr>
          <w:p>
            <w:pPr>
              <w:spacing w:after="0"/>
              <w:rPr>
                <w:sz w:val="13"/>
                <w:szCs w:val="13"/>
                <w:color w:val="auto"/>
              </w:rPr>
            </w:pPr>
          </w:p>
        </w:tc>
        <w:tc>
          <w:tcPr>
            <w:tcW w:w="144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7"/>
                <w:szCs w:val="17"/>
                <w:color w:val="auto"/>
              </w:rPr>
              <w:t>Chris Allexandre</w:t>
            </w:r>
          </w:p>
        </w:tc>
        <w:tc>
          <w:tcPr>
            <w:tcW w:w="1300" w:type="dxa"/>
            <w:vAlign w:val="bottom"/>
          </w:tcPr>
          <w:p>
            <w:pPr>
              <w:spacing w:after="0"/>
              <w:rPr>
                <w:sz w:val="13"/>
                <w:szCs w:val="13"/>
                <w:color w:val="auto"/>
              </w:rPr>
            </w:pPr>
          </w:p>
        </w:tc>
      </w:tr>
      <w:tr>
        <w:trPr>
          <w:trHeight w:val="180"/>
        </w:trPr>
        <w:tc>
          <w:tcPr>
            <w:tcW w:w="5460" w:type="dxa"/>
            <w:vAlign w:val="bottom"/>
          </w:tcPr>
          <w:p>
            <w:pPr>
              <w:spacing w:after="0"/>
              <w:rPr>
                <w:sz w:val="15"/>
                <w:szCs w:val="15"/>
                <w:color w:val="auto"/>
              </w:rPr>
            </w:pPr>
          </w:p>
        </w:tc>
        <w:tc>
          <w:tcPr>
            <w:tcW w:w="27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w w:val="98"/>
              </w:rPr>
              <w:t>President and Chief Executive Officer</w:t>
            </w:r>
          </w:p>
        </w:tc>
      </w:tr>
      <w:tr>
        <w:trPr>
          <w:trHeight w:val="234"/>
        </w:trPr>
        <w:tc>
          <w:tcPr>
            <w:tcW w:w="546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04"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Tonya Stevens, certify that:</w:t>
      </w:r>
    </w:p>
    <w:p>
      <w:pPr>
        <w:spacing w:after="0" w:line="158"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March 31, 2026, of Navitas Semiconductor Corporation;</w:t>
      </w:r>
    </w:p>
    <w:p>
      <w:pPr>
        <w:spacing w:after="0" w:line="157" w:lineRule="exact"/>
        <w:rPr>
          <w:rFonts w:ascii="Times New Roman" w:cs="Times New Roman" w:eastAsia="Times New Roman" w:hAnsi="Times New Roman"/>
          <w:sz w:val="18"/>
          <w:szCs w:val="18"/>
          <w:color w:val="auto"/>
        </w:rPr>
      </w:pPr>
    </w:p>
    <w:p>
      <w:pPr>
        <w:jc w:val="both"/>
        <w:ind w:left="340" w:hanging="332"/>
        <w:spacing w:after="0" w:line="226" w:lineRule="auto"/>
        <w:tabs>
          <w:tab w:leader="none" w:pos="39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Times New Roman" w:cs="Times New Roman" w:eastAsia="Times New Roman" w:hAnsi="Times New Roman"/>
          <w:sz w:val="18"/>
          <w:szCs w:val="18"/>
          <w:color w:val="auto"/>
        </w:rPr>
      </w:pPr>
    </w:p>
    <w:p>
      <w:pPr>
        <w:ind w:left="340" w:hanging="332"/>
        <w:spacing w:after="0" w:line="237" w:lineRule="auto"/>
        <w:tabs>
          <w:tab w:leader="none" w:pos="39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Times New Roman" w:cs="Times New Roman" w:eastAsia="Times New Roman" w:hAnsi="Times New Roman"/>
          <w:sz w:val="18"/>
          <w:szCs w:val="18"/>
          <w:color w:val="auto"/>
        </w:rPr>
      </w:pPr>
    </w:p>
    <w:p>
      <w:pPr>
        <w:jc w:val="both"/>
        <w:ind w:left="340" w:hanging="332"/>
        <w:spacing w:after="0" w:line="231" w:lineRule="auto"/>
        <w:tabs>
          <w:tab w:leader="none" w:pos="43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8"/>
          <w:szCs w:val="18"/>
          <w:color w:val="auto"/>
        </w:rPr>
      </w:pPr>
    </w:p>
    <w:p>
      <w:pPr>
        <w:jc w:val="both"/>
        <w:ind w:left="740" w:hanging="408"/>
        <w:spacing w:after="0" w:line="231" w:lineRule="auto"/>
        <w:tabs>
          <w:tab w:leader="none" w:pos="76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31" w:lineRule="exact"/>
        <w:rPr>
          <w:rFonts w:ascii="Times New Roman" w:cs="Times New Roman" w:eastAsia="Times New Roman" w:hAnsi="Times New Roman"/>
          <w:sz w:val="18"/>
          <w:szCs w:val="18"/>
          <w:color w:val="auto"/>
        </w:rPr>
      </w:pPr>
    </w:p>
    <w:p>
      <w:pPr>
        <w:jc w:val="both"/>
        <w:ind w:left="740" w:hanging="408"/>
        <w:spacing w:after="0" w:line="226" w:lineRule="auto"/>
        <w:tabs>
          <w:tab w:leader="none" w:pos="84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30" w:lineRule="exact"/>
        <w:rPr>
          <w:rFonts w:ascii="Times New Roman" w:cs="Times New Roman" w:eastAsia="Times New Roman" w:hAnsi="Times New Roman"/>
          <w:sz w:val="18"/>
          <w:szCs w:val="18"/>
          <w:color w:val="auto"/>
        </w:rPr>
      </w:pPr>
    </w:p>
    <w:p>
      <w:pPr>
        <w:ind w:left="740" w:hanging="408"/>
        <w:spacing w:after="0" w:line="237" w:lineRule="auto"/>
        <w:tabs>
          <w:tab w:leader="none" w:pos="8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Times New Roman" w:cs="Times New Roman" w:eastAsia="Times New Roman" w:hAnsi="Times New Roman"/>
          <w:sz w:val="18"/>
          <w:szCs w:val="18"/>
          <w:color w:val="auto"/>
        </w:rPr>
      </w:pPr>
    </w:p>
    <w:p>
      <w:pPr>
        <w:jc w:val="both"/>
        <w:ind w:left="740" w:hanging="408"/>
        <w:spacing w:after="0" w:line="231" w:lineRule="auto"/>
        <w:tabs>
          <w:tab w:leader="none" w:pos="77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Times New Roman" w:cs="Times New Roman" w:eastAsia="Times New Roman" w:hAnsi="Times New Roman"/>
          <w:sz w:val="18"/>
          <w:szCs w:val="18"/>
          <w:color w:val="auto"/>
        </w:rPr>
      </w:pPr>
    </w:p>
    <w:p>
      <w:pPr>
        <w:ind w:left="340" w:hanging="332"/>
        <w:spacing w:after="0" w:line="250"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740" w:hanging="408"/>
        <w:spacing w:after="0" w:line="237" w:lineRule="auto"/>
        <w:tabs>
          <w:tab w:leader="none" w:pos="74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Times New Roman" w:cs="Times New Roman" w:eastAsia="Times New Roman" w:hAnsi="Times New Roman"/>
          <w:sz w:val="18"/>
          <w:szCs w:val="18"/>
          <w:color w:val="auto"/>
        </w:rPr>
      </w:pPr>
    </w:p>
    <w:p>
      <w:pPr>
        <w:ind w:left="740" w:hanging="408"/>
        <w:spacing w:after="0" w:line="237" w:lineRule="auto"/>
        <w:tabs>
          <w:tab w:leader="none" w:pos="74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3" w:lineRule="exact"/>
        <w:rPr>
          <w:sz w:val="20"/>
          <w:szCs w:val="20"/>
          <w:color w:val="auto"/>
        </w:rPr>
      </w:pPr>
    </w:p>
    <w:p>
      <w:pPr>
        <w:ind w:left="20"/>
        <w:spacing w:after="0"/>
        <w:tabs>
          <w:tab w:leader="none" w:pos="4140" w:val="left"/>
        </w:tabs>
        <w:rPr>
          <w:sz w:val="20"/>
          <w:szCs w:val="20"/>
          <w:color w:val="auto"/>
        </w:rPr>
      </w:pPr>
      <w:r>
        <w:rPr>
          <w:rFonts w:ascii="Times New Roman" w:cs="Times New Roman" w:eastAsia="Times New Roman" w:hAnsi="Times New Roman"/>
          <w:sz w:val="18"/>
          <w:szCs w:val="18"/>
          <w:color w:val="auto"/>
        </w:rPr>
        <w:t>Date: May 5, 2026</w:t>
      </w:r>
      <w:r>
        <w:rPr>
          <w:sz w:val="20"/>
          <w:szCs w:val="20"/>
          <w:color w:val="auto"/>
        </w:rPr>
        <w:tab/>
      </w:r>
      <w:r>
        <w:rPr>
          <w:rFonts w:ascii="Times New Roman" w:cs="Times New Roman" w:eastAsia="Times New Roman" w:hAnsi="Times New Roman"/>
          <w:sz w:val="17"/>
          <w:szCs w:val="17"/>
          <w:u w:val="single" w:color="auto"/>
          <w:color w:val="auto"/>
        </w:rPr>
        <w:t>/s/ Tonya Stevens</w:t>
      </w:r>
    </w:p>
    <w:p>
      <w:pPr>
        <w:ind w:left="4160"/>
        <w:spacing w:after="0" w:line="205" w:lineRule="auto"/>
        <w:rPr>
          <w:sz w:val="20"/>
          <w:szCs w:val="20"/>
          <w:color w:val="auto"/>
        </w:rPr>
      </w:pPr>
      <w:r>
        <w:rPr>
          <w:rFonts w:ascii="Times New Roman" w:cs="Times New Roman" w:eastAsia="Times New Roman" w:hAnsi="Times New Roman"/>
          <w:sz w:val="18"/>
          <w:szCs w:val="18"/>
          <w:color w:val="auto"/>
        </w:rPr>
        <w:t>Tonya Stevens</w:t>
      </w:r>
    </w:p>
    <w:p>
      <w:pPr>
        <w:ind w:left="4160"/>
        <w:spacing w:after="0" w:line="204" w:lineRule="auto"/>
        <w:rPr>
          <w:sz w:val="20"/>
          <w:szCs w:val="20"/>
          <w:color w:val="auto"/>
        </w:rPr>
      </w:pPr>
      <w:r>
        <w:rPr>
          <w:rFonts w:ascii="Times New Roman" w:cs="Times New Roman" w:eastAsia="Times New Roman" w:hAnsi="Times New Roman"/>
          <w:sz w:val="18"/>
          <w:szCs w:val="18"/>
          <w:color w:val="auto"/>
        </w:rPr>
        <w:t>Chief Financial Officer</w:t>
      </w:r>
    </w:p>
    <w:p>
      <w:pPr>
        <w:ind w:left="41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04"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undersigned hereby certifies, for the purposes of section 1350 of chapter 63 of title 18 of the United States Code, as adopted pursuant to Section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906 of the Sarbanes-Oxley Act of 2002, in the undersigned’s capacity as an officer of Navitas Semiconductor Corporation (“Navitas”), that, to his or her knowledge, Navitas’ quarterly report on Form 10-Q for the period ended March 31, 2026, fully complies with the requirements of Section 13(a) of the Securities Exchange Act of 1934 and that the information contained in such report fairly presents, in all material respects, the financial condition and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results of operations of Navitas. This written statement is being furnished to the Securities and Exchange Commission as an exhibit to that Form 10-Q. A signed original of this statement, which may be electronic, has been provided to Navitas and will be retained by Navitas and furnished to the Securities and Exchange Commission or its staff upon request.</w:t>
      </w:r>
    </w:p>
    <w:p>
      <w:pPr>
        <w:spacing w:after="0" w:line="200" w:lineRule="exact"/>
        <w:rPr>
          <w:sz w:val="20"/>
          <w:szCs w:val="20"/>
          <w:color w:val="auto"/>
        </w:rPr>
      </w:pP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3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Chris Allexandre</w:t>
            </w:r>
          </w:p>
        </w:tc>
      </w:tr>
      <w:tr>
        <w:trPr>
          <w:trHeight w:val="151"/>
        </w:trPr>
        <w:tc>
          <w:tcPr>
            <w:tcW w:w="4720" w:type="dxa"/>
            <w:vAlign w:val="bottom"/>
          </w:tcPr>
          <w:p>
            <w:pPr>
              <w:spacing w:after="0"/>
              <w:rPr>
                <w:sz w:val="13"/>
                <w:szCs w:val="13"/>
                <w:color w:val="auto"/>
              </w:rPr>
            </w:pPr>
          </w:p>
        </w:tc>
        <w:tc>
          <w:tcPr>
            <w:tcW w:w="1440" w:type="dxa"/>
            <w:vAlign w:val="bottom"/>
            <w:tcBorders>
              <w:top w:val="single" w:sz="8" w:color="auto"/>
            </w:tcBorders>
            <w:gridSpan w:val="2"/>
          </w:tcPr>
          <w:p>
            <w:pPr>
              <w:spacing w:after="0" w:line="150" w:lineRule="exact"/>
              <w:rPr>
                <w:sz w:val="20"/>
                <w:szCs w:val="20"/>
                <w:color w:val="auto"/>
              </w:rPr>
            </w:pPr>
            <w:r>
              <w:rPr>
                <w:rFonts w:ascii="Times New Roman" w:cs="Times New Roman" w:eastAsia="Times New Roman" w:hAnsi="Times New Roman"/>
                <w:sz w:val="17"/>
                <w:szCs w:val="17"/>
                <w:color w:val="auto"/>
              </w:rPr>
              <w:t>Chris Allexandre</w:t>
            </w:r>
          </w:p>
        </w:tc>
        <w:tc>
          <w:tcPr>
            <w:tcW w:w="1660" w:type="dxa"/>
            <w:vAlign w:val="bottom"/>
          </w:tcPr>
          <w:p>
            <w:pPr>
              <w:spacing w:after="0"/>
              <w:rPr>
                <w:sz w:val="13"/>
                <w:szCs w:val="13"/>
                <w:color w:val="auto"/>
              </w:rPr>
            </w:pPr>
          </w:p>
        </w:tc>
      </w:tr>
      <w:tr>
        <w:trPr>
          <w:trHeight w:val="180"/>
        </w:trPr>
        <w:tc>
          <w:tcPr>
            <w:tcW w:w="4720" w:type="dxa"/>
            <w:vAlign w:val="bottom"/>
          </w:tcPr>
          <w:p>
            <w:pPr>
              <w:spacing w:after="0"/>
              <w:rPr>
                <w:sz w:val="15"/>
                <w:szCs w:val="15"/>
                <w:color w:val="auto"/>
              </w:rPr>
            </w:pPr>
          </w:p>
        </w:tc>
        <w:tc>
          <w:tcPr>
            <w:tcW w:w="310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4720" w:type="dxa"/>
            <w:vAlign w:val="bottom"/>
          </w:tcPr>
          <w:p>
            <w:pPr>
              <w:spacing w:after="0"/>
              <w:rPr>
                <w:sz w:val="20"/>
                <w:szCs w:val="20"/>
                <w:color w:val="auto"/>
              </w:rPr>
            </w:pPr>
          </w:p>
        </w:tc>
        <w:tc>
          <w:tcPr>
            <w:tcW w:w="3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3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Tonya Stevens</w:t>
            </w:r>
          </w:p>
        </w:tc>
      </w:tr>
      <w:tr>
        <w:trPr>
          <w:trHeight w:val="151"/>
        </w:trPr>
        <w:tc>
          <w:tcPr>
            <w:tcW w:w="4720" w:type="dxa"/>
            <w:vAlign w:val="bottom"/>
          </w:tcPr>
          <w:p>
            <w:pPr>
              <w:spacing w:after="0"/>
              <w:rPr>
                <w:sz w:val="13"/>
                <w:szCs w:val="13"/>
                <w:color w:val="auto"/>
              </w:rPr>
            </w:pPr>
          </w:p>
        </w:tc>
        <w:tc>
          <w:tcPr>
            <w:tcW w:w="126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7"/>
                <w:szCs w:val="17"/>
                <w:color w:val="auto"/>
              </w:rPr>
              <w:t>Tonya Stevens</w:t>
            </w:r>
          </w:p>
        </w:tc>
        <w:tc>
          <w:tcPr>
            <w:tcW w:w="1840" w:type="dxa"/>
            <w:vAlign w:val="bottom"/>
            <w:gridSpan w:val="2"/>
          </w:tcPr>
          <w:p>
            <w:pPr>
              <w:spacing w:after="0"/>
              <w:rPr>
                <w:sz w:val="13"/>
                <w:szCs w:val="13"/>
                <w:color w:val="auto"/>
              </w:rPr>
            </w:pPr>
          </w:p>
        </w:tc>
      </w:tr>
      <w:tr>
        <w:trPr>
          <w:trHeight w:val="180"/>
        </w:trPr>
        <w:tc>
          <w:tcPr>
            <w:tcW w:w="4720" w:type="dxa"/>
            <w:vAlign w:val="bottom"/>
          </w:tcPr>
          <w:p>
            <w:pPr>
              <w:spacing w:after="0"/>
              <w:rPr>
                <w:sz w:val="15"/>
                <w:szCs w:val="15"/>
                <w:color w:val="auto"/>
              </w:rPr>
            </w:pPr>
          </w:p>
        </w:tc>
        <w:tc>
          <w:tcPr>
            <w:tcW w:w="310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720" w:type="dxa"/>
            <w:vAlign w:val="bottom"/>
          </w:tcPr>
          <w:p>
            <w:pPr>
              <w:spacing w:after="0"/>
              <w:rPr>
                <w:sz w:val="20"/>
                <w:szCs w:val="20"/>
                <w:color w:val="auto"/>
              </w:rPr>
            </w:pPr>
          </w:p>
        </w:tc>
        <w:tc>
          <w:tcPr>
            <w:tcW w:w="31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1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¹"/>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46" Type="http://schemas.openxmlformats.org/officeDocument/2006/relationships/hyperlink" Target="https://www.sec.gov/Archives/edgar/data/1821769/000119312521306726/d225525dex31.htm" TargetMode="External"/><Relationship Id="rId47" Type="http://schemas.openxmlformats.org/officeDocument/2006/relationships/hyperlink" Target="https://www.sec.gov/Archives/edgar/data/1821769/000182176925000049/a20250408-arbylawsasamende.htm" TargetMode="External"/><Relationship Id="rId48" Type="http://schemas.openxmlformats.org/officeDocument/2006/relationships/hyperlink" Target="https://www.sec.gov/Archives/edgar/data/1821769/000110465926026385/tm268482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2026-05-05T15:23:26Z</dcterms:created>
  <dcterms:modified xsi:type="dcterms:W3CDTF">2026-05-05T15:23:26Z</dcterms:modified>
</cp:coreProperties>
</file>