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6228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2280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14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Saluja Dipender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01" w:lineRule="auto"/>
        <w:rPr>
          <w:sz w:val="20"/>
          <w:szCs w:val="20"/>
          <w:color w:val="auto"/>
        </w:rPr>
      </w:pPr>
      <w:r>
        <w:rPr>
          <w:rFonts w:ascii="Arial" w:cs="Arial" w:eastAsia="Arial" w:hAnsi="Arial"/>
          <w:sz w:val="16"/>
          <w:szCs w:val="16"/>
          <w:color w:val="0000FF"/>
        </w:rPr>
        <w:t>C/O NAVITAS SEMICONDUCTOR 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Navitas Semiconductor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NVTS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02/27/2023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220" w:space="595"/>
            <w:col w:w="3265"/>
          </w:cols>
          <w:pgMar w:left="460" w:top="225" w:right="439" w:bottom="1143"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7"/>
                <w:szCs w:val="17"/>
                <w:color w:val="0000FF"/>
              </w:rPr>
              <w:t>3520 CHALLENGER STREET</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20" w:type="dxa"/>
            <w:vAlign w:val="bottom"/>
            <w:tcBorders>
              <w:top w:val="single" w:sz="8" w:color="2C2C2C"/>
            </w:tcBorders>
            <w:gridSpan w:val="5"/>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tcBorders>
              <w:top w:val="single" w:sz="8" w:color="2C2C2C"/>
            </w:tcBorders>
            <w:gridSpan w:val="5"/>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3"/>
          </w:tcPr>
          <w:p>
            <w:pPr>
              <w:ind w:left="380"/>
              <w:spacing w:after="0"/>
              <w:rPr>
                <w:sz w:val="20"/>
                <w:szCs w:val="20"/>
                <w:color w:val="auto"/>
              </w:rPr>
            </w:pPr>
            <w:r>
              <w:rPr>
                <w:rFonts w:ascii="Arial" w:cs="Arial" w:eastAsia="Arial" w:hAnsi="Arial"/>
                <w:sz w:val="13"/>
                <w:szCs w:val="13"/>
                <w:color w:val="auto"/>
              </w:rPr>
              <w:t>Line)</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4"/>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line="187" w:lineRule="exact"/>
              <w:rPr>
                <w:sz w:val="20"/>
                <w:szCs w:val="20"/>
                <w:color w:val="auto"/>
              </w:rPr>
            </w:pPr>
            <w:r>
              <w:rPr>
                <w:rFonts w:ascii="Arial" w:cs="Arial" w:eastAsia="Arial" w:hAnsi="Arial"/>
                <w:sz w:val="17"/>
                <w:szCs w:val="17"/>
                <w:color w:val="0000FF"/>
              </w:rPr>
              <w:t>TORRANCE</w:t>
            </w:r>
          </w:p>
        </w:tc>
        <w:tc>
          <w:tcPr>
            <w:tcW w:w="1260" w:type="dxa"/>
            <w:vAlign w:val="bottom"/>
          </w:tcPr>
          <w:p>
            <w:pPr>
              <w:ind w:left="140"/>
              <w:spacing w:after="0" w:line="187" w:lineRule="exact"/>
              <w:rPr>
                <w:sz w:val="20"/>
                <w:szCs w:val="20"/>
                <w:color w:val="auto"/>
              </w:rPr>
            </w:pPr>
            <w:r>
              <w:rPr>
                <w:rFonts w:ascii="Arial" w:cs="Arial" w:eastAsia="Arial" w:hAnsi="Arial"/>
                <w:sz w:val="17"/>
                <w:szCs w:val="17"/>
                <w:color w:val="0000FF"/>
              </w:rPr>
              <w:t>CA</w:t>
            </w:r>
          </w:p>
        </w:tc>
        <w:tc>
          <w:tcPr>
            <w:tcW w:w="1300" w:type="dxa"/>
            <w:vAlign w:val="bottom"/>
          </w:tcPr>
          <w:p>
            <w:pPr>
              <w:ind w:left="100"/>
              <w:spacing w:after="0" w:line="187" w:lineRule="exact"/>
              <w:rPr>
                <w:sz w:val="20"/>
                <w:szCs w:val="20"/>
                <w:color w:val="auto"/>
              </w:rPr>
            </w:pPr>
            <w:r>
              <w:rPr>
                <w:rFonts w:ascii="Arial" w:cs="Arial" w:eastAsia="Arial" w:hAnsi="Arial"/>
                <w:sz w:val="17"/>
                <w:szCs w:val="17"/>
                <w:color w:val="0000FF"/>
              </w:rPr>
              <w:t>90503-1640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ind w:left="3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260" w:type="dxa"/>
            <w:vAlign w:val="bottom"/>
            <w:tcBorders>
              <w:bottom w:val="single" w:sz="8" w:color="9A9A9A"/>
            </w:tcBorders>
          </w:tcPr>
          <w:p>
            <w:pPr>
              <w:spacing w:after="0"/>
              <w:rPr>
                <w:sz w:val="3"/>
                <w:szCs w:val="3"/>
                <w:color w:val="auto"/>
              </w:rPr>
            </w:pPr>
          </w:p>
        </w:tc>
        <w:tc>
          <w:tcPr>
            <w:tcW w:w="13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140"/>
              <w:spacing w:after="0"/>
              <w:rPr>
                <w:sz w:val="20"/>
                <w:szCs w:val="20"/>
                <w:color w:val="auto"/>
              </w:rPr>
            </w:pPr>
            <w:r>
              <w:rPr>
                <w:rFonts w:ascii="Arial" w:cs="Arial" w:eastAsia="Arial" w:hAnsi="Arial"/>
                <w:sz w:val="13"/>
                <w:szCs w:val="13"/>
                <w:color w:val="auto"/>
              </w:rPr>
              <w:t>(State)</w:t>
            </w:r>
          </w:p>
        </w:tc>
        <w:tc>
          <w:tcPr>
            <w:tcW w:w="1640" w:type="dxa"/>
            <w:vAlign w:val="bottom"/>
            <w:gridSpan w:val="3"/>
          </w:tcPr>
          <w:p>
            <w:pPr>
              <w:ind w:left="10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5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100" w:type="dxa"/>
            <w:vAlign w:val="bottom"/>
            <w:tcBorders>
              <w:bottom w:val="single" w:sz="8" w:color="2C2C2C"/>
            </w:tcBorders>
            <w:gridSpan w:val="7"/>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788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9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4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40" w:type="dxa"/>
            <w:vAlign w:val="bottom"/>
            <w:gridSpan w:val="3"/>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4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4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ind w:left="700"/>
              <w:spacing w:after="0"/>
              <w:rPr>
                <w:sz w:val="20"/>
                <w:szCs w:val="20"/>
                <w:color w:val="auto"/>
              </w:rPr>
            </w:pPr>
            <w:r>
              <w:rPr>
                <w:rFonts w:ascii="Arial" w:cs="Arial" w:eastAsia="Arial" w:hAnsi="Arial"/>
                <w:sz w:val="17"/>
                <w:szCs w:val="17"/>
                <w:color w:val="0000FF"/>
              </w:rPr>
              <w:t>02/27/2023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7"/>
              </w:rPr>
              <w:t>21,705</w:t>
            </w:r>
            <w:r>
              <w:rPr>
                <w:rFonts w:ascii="Arial" w:cs="Arial" w:eastAsia="Arial" w:hAnsi="Arial"/>
                <w:sz w:val="22"/>
                <w:szCs w:val="22"/>
                <w:color w:val="008000"/>
                <w:w w:val="97"/>
                <w:vertAlign w:val="superscript"/>
              </w:rPr>
              <w:t>(1)</w:t>
            </w:r>
          </w:p>
        </w:tc>
        <w:tc>
          <w:tcPr>
            <w:tcW w:w="5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ind w:right="7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32,168</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gridSpan w:val="2"/>
          </w:tcPr>
          <w:p>
            <w:pPr>
              <w:ind w:left="60"/>
              <w:spacing w:after="0"/>
              <w:rPr>
                <w:sz w:val="20"/>
                <w:szCs w:val="20"/>
                <w:color w:val="auto"/>
              </w:rPr>
            </w:pPr>
            <w:r>
              <w:rPr>
                <w:rFonts w:ascii="Arial" w:cs="Arial" w:eastAsia="Arial" w:hAnsi="Arial"/>
                <w:sz w:val="17"/>
                <w:szCs w:val="17"/>
                <w:color w:val="0000FF"/>
              </w:rPr>
              <w:t>Capricorn-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7"/>
                <w:szCs w:val="17"/>
                <w:color w:val="0000FF"/>
              </w:rPr>
              <w:t>Libra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2"/>
              </w:rPr>
              <w:t>6,379,718</w:t>
            </w:r>
          </w:p>
        </w:tc>
        <w:tc>
          <w:tcPr>
            <w:tcW w:w="920" w:type="dxa"/>
            <w:vAlign w:val="bottom"/>
          </w:tcPr>
          <w:p>
            <w:pPr>
              <w:ind w:left="440"/>
              <w:spacing w:after="0"/>
              <w:rPr>
                <w:sz w:val="20"/>
                <w:szCs w:val="20"/>
                <w:color w:val="auto"/>
              </w:rPr>
            </w:pPr>
            <w:r>
              <w:rPr>
                <w:rFonts w:ascii="Arial" w:cs="Arial" w:eastAsia="Arial" w:hAnsi="Arial"/>
                <w:sz w:val="17"/>
                <w:szCs w:val="17"/>
                <w:color w:val="0000FF"/>
              </w:rPr>
              <w:t>I</w:t>
            </w:r>
          </w:p>
        </w:tc>
        <w:tc>
          <w:tcPr>
            <w:tcW w:w="980" w:type="dxa"/>
            <w:vAlign w:val="bottom"/>
            <w:gridSpan w:val="2"/>
          </w:tcPr>
          <w:p>
            <w:pPr>
              <w:ind w:left="6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7"/>
                <w:szCs w:val="17"/>
                <w:color w:val="0000FF"/>
              </w:rPr>
              <w:t>Group,</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line="275"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1"/>
                <w:szCs w:val="11"/>
                <w:color w:val="008000"/>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gridSpan w:val="2"/>
          </w:tcPr>
          <w:p>
            <w:pPr>
              <w:ind w:left="60"/>
              <w:spacing w:after="0"/>
              <w:rPr>
                <w:sz w:val="20"/>
                <w:szCs w:val="20"/>
                <w:color w:val="auto"/>
              </w:rPr>
            </w:pPr>
            <w:r>
              <w:rPr>
                <w:rFonts w:ascii="Arial" w:cs="Arial" w:eastAsia="Arial" w:hAnsi="Arial"/>
                <w:sz w:val="17"/>
                <w:szCs w:val="17"/>
                <w:color w:val="0000FF"/>
              </w:rPr>
              <w:t>Technology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3,237,161</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980" w:type="dxa"/>
            <w:vAlign w:val="bottom"/>
            <w:gridSpan w:val="2"/>
          </w:tcPr>
          <w:p>
            <w:pPr>
              <w:ind w:left="60"/>
              <w:spacing w:after="0"/>
              <w:rPr>
                <w:sz w:val="20"/>
                <w:szCs w:val="20"/>
                <w:color w:val="auto"/>
              </w:rPr>
            </w:pPr>
            <w:r>
              <w:rPr>
                <w:rFonts w:ascii="Arial" w:cs="Arial" w:eastAsia="Arial" w:hAnsi="Arial"/>
                <w:sz w:val="17"/>
                <w:szCs w:val="17"/>
                <w:color w:val="0000FF"/>
              </w:rPr>
              <w:t>Impact</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7"/>
                <w:szCs w:val="17"/>
                <w:color w:val="0000FF"/>
              </w:rPr>
              <w:t>Fund, L.P.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ind w:left="60"/>
              <w:spacing w:after="0"/>
              <w:rPr>
                <w:sz w:val="20"/>
                <w:szCs w:val="20"/>
                <w:color w:val="auto"/>
              </w:rPr>
            </w:pPr>
            <w:r>
              <w:rPr>
                <w:rFonts w:ascii="Arial" w:cs="Arial" w:eastAsia="Arial" w:hAnsi="Arial"/>
                <w:sz w:val="11"/>
                <w:szCs w:val="11"/>
                <w:color w:val="008000"/>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2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shares underlying restricted stock units ("RSUs") granted under the issuer's non-employee director compensation program and the Navitas Semiconductor Corporation 2021 Equity Incentive Plan (the "Plan"). Each RSU represents the reporting person's right to receive one share of Class A Common Stock of the issuer following the vesting date in accordance with the Plan. All RSUs vest on November 10, 2023, the one-year anniversary of the issuer's 2022 annual stockholders' meeting, subject to the reporting person's continued service as of the vesting date.</w:t>
      </w:r>
    </w:p>
    <w:p>
      <w:pPr>
        <w:spacing w:after="0" w:line="8" w:lineRule="exact"/>
        <w:rPr>
          <w:rFonts w:ascii="Arial" w:cs="Arial" w:eastAsia="Arial" w:hAnsi="Arial"/>
          <w:sz w:val="12"/>
          <w:szCs w:val="12"/>
          <w:color w:val="008000"/>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are held by Capricorn-Libra Investment Group, LP, of which the reporting person is managing director. The reporting person disclaims beneficial ownership of the reported shares except to the extent of his pecuniary interest therein.</w:t>
      </w:r>
    </w:p>
    <w:p>
      <w:pPr>
        <w:spacing w:after="0" w:line="15" w:lineRule="exact"/>
        <w:rPr>
          <w:rFonts w:ascii="Arial" w:cs="Arial" w:eastAsia="Arial" w:hAnsi="Arial"/>
          <w:sz w:val="13"/>
          <w:szCs w:val="13"/>
          <w:color w:val="008000"/>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are held by Technology Impact Fund, L.P., of which the reporting person is managing director. The reporting person disclaims beneficial ownership of the reported shares except to the extent of his pecuniary interest therein.</w:t>
      </w:r>
    </w:p>
    <w:p>
      <w:pPr>
        <w:sectPr>
          <w:pgSz w:w="11900" w:h="16838" w:orient="portrait"/>
          <w:cols w:equalWidth="0" w:num="1">
            <w:col w:w="11000"/>
          </w:cols>
          <w:pgMar w:left="460" w:top="225" w:right="439" w:bottom="1143" w:gutter="0" w:footer="0" w:header="0"/>
          <w:type w:val="continuous"/>
        </w:sectPr>
      </w:pP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Paul D. Delva,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4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5"/>
          <w:szCs w:val="15"/>
          <w:color w:val="0000FF"/>
        </w:rPr>
        <w:t>03/01/2023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220"/>
          </w:cols>
          <w:pgMar w:left="460" w:top="225" w:right="439" w:bottom="1143"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14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34268" TargetMode="External"/><Relationship Id="rId13" Type="http://schemas.openxmlformats.org/officeDocument/2006/relationships/hyperlink" Target="http://www.sec.gov/cgi-bin/browse-edgar?action=getcompany&amp;CIK=0001821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2023-03-01T20:12:51Z</dcterms:created>
  <dcterms:modified xsi:type="dcterms:W3CDTF">2023-03-01T20:12:51Z</dcterms:modified>
</cp:coreProperties>
</file>