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0"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1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64052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6405245"/>
                    </a:xfrm>
                    <a:prstGeom prst="rect">
                      <a:avLst/>
                    </a:prstGeom>
                    <a:noFill/>
                  </pic:spPr>
                </pic:pic>
              </a:graphicData>
            </a:graphic>
          </wp:anchor>
        </w:drawing>
      </w:r>
    </w:p>
    <w:p>
      <w:pPr>
        <w:spacing w:after="0" w:line="1285" w:lineRule="exact"/>
        <w:rPr>
          <w:sz w:val="24"/>
          <w:szCs w:val="24"/>
          <w:color w:val="auto"/>
        </w:rPr>
      </w:pPr>
    </w:p>
    <w:p>
      <w:pPr>
        <w:sectPr>
          <w:pgSz w:w="11900" w:h="16879" w:orient="portrait"/>
          <w:cols w:equalWidth="0" w:num="2">
            <w:col w:w="2320" w:space="160"/>
            <w:col w:w="860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Wunderlich Gary Kent JR</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40 S. MAIN STREET, #2550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Navitas Semiconductor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NVTS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6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05/18/2026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4"/>
          <w:szCs w:val="24"/>
          <w:color w:val="auto"/>
        </w:rPr>
      </w:pPr>
    </w:p>
    <w:p>
      <w:pPr>
        <w:sectPr>
          <w:pgSz w:w="11900" w:h="16879" w:orient="portrait"/>
          <w:cols w:equalWidth="0" w:num="3">
            <w:col w:w="3200" w:space="720"/>
            <w:col w:w="3220" w:space="595"/>
            <w:col w:w="3345"/>
          </w:cols>
          <w:pgMar w:left="460" w:top="219" w:right="359" w:bottom="0"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7"/>
                <w:szCs w:val="17"/>
                <w:color w:val="0000FF"/>
              </w:rPr>
              <w:t>MEMPHIS</w:t>
            </w:r>
          </w:p>
        </w:tc>
        <w:tc>
          <w:tcPr>
            <w:tcW w:w="104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TN</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38103</w:t>
            </w:r>
          </w:p>
        </w:tc>
      </w:tr>
      <w:tr>
        <w:trPr>
          <w:trHeight w:val="155"/>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79" w:orient="portrait"/>
          <w:cols w:equalWidth="0" w:num="2">
            <w:col w:w="3760" w:space="160"/>
            <w:col w:w="716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00" w:type="dxa"/>
            <w:vAlign w:val="bottom"/>
            <w:gridSpan w:val="2"/>
          </w:tcPr>
          <w:p>
            <w:pPr>
              <w:ind w:left="4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00" w:type="dxa"/>
            <w:vAlign w:val="bottom"/>
            <w:gridSpan w:val="2"/>
          </w:tcPr>
          <w:p>
            <w:pPr>
              <w:ind w:left="42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80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Live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Oak</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00" w:type="dxa"/>
            <w:vAlign w:val="bottom"/>
            <w:gridSpan w:val="2"/>
            <w:vMerge w:val="restart"/>
          </w:tcPr>
          <w:p>
            <w:pPr>
              <w:ind w:left="520"/>
              <w:spacing w:after="0"/>
              <w:rPr>
                <w:sz w:val="20"/>
                <w:szCs w:val="20"/>
                <w:color w:val="auto"/>
              </w:rPr>
            </w:pPr>
            <w:r>
              <w:rPr>
                <w:rFonts w:ascii="Times New Roman" w:cs="Times New Roman" w:eastAsia="Times New Roman" w:hAnsi="Times New Roman"/>
                <w:sz w:val="17"/>
                <w:szCs w:val="17"/>
                <w:color w:val="0000FF"/>
              </w:rPr>
              <w:t>05/18/2026</w:t>
            </w: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vMerge w:val="restart"/>
          </w:tcPr>
          <w:p>
            <w:pPr>
              <w:ind w:left="80"/>
              <w:spacing w:after="0"/>
              <w:rPr>
                <w:sz w:val="20"/>
                <w:szCs w:val="20"/>
                <w:color w:val="auto"/>
              </w:rPr>
            </w:pPr>
            <w:r>
              <w:rPr>
                <w:rFonts w:ascii="Times New Roman" w:cs="Times New Roman" w:eastAsia="Times New Roman" w:hAnsi="Times New Roman"/>
                <w:sz w:val="26"/>
                <w:szCs w:val="26"/>
                <w:color w:val="0000FF"/>
                <w:vertAlign w:val="subscript"/>
              </w:rPr>
              <w:t>J</w:t>
            </w:r>
            <w:r>
              <w:rPr>
                <w:rFonts w:ascii="Times New Roman" w:cs="Times New Roman" w:eastAsia="Times New Roman" w:hAnsi="Times New Roman"/>
                <w:sz w:val="11"/>
                <w:szCs w:val="11"/>
                <w:color w:val="008000"/>
              </w:rPr>
              <w:t>(1)</w:t>
            </w: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1,147,225</w:t>
            </w:r>
          </w:p>
        </w:tc>
        <w:tc>
          <w:tcPr>
            <w:tcW w:w="44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vMerge w:val="restart"/>
          </w:tcPr>
          <w:p>
            <w:pPr>
              <w:jc w:val="center"/>
              <w:ind w:left="295"/>
              <w:spacing w:after="0"/>
              <w:rPr>
                <w:sz w:val="20"/>
                <w:szCs w:val="20"/>
                <w:color w:val="auto"/>
              </w:rPr>
            </w:pPr>
            <w:r>
              <w:rPr>
                <w:rFonts w:ascii="Times New Roman" w:cs="Times New Roman" w:eastAsia="Times New Roman" w:hAnsi="Times New Roman"/>
                <w:sz w:val="11"/>
                <w:szCs w:val="11"/>
                <w:color w:val="008000"/>
              </w:rPr>
              <w:t>(1)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2,410,225</w:t>
            </w:r>
          </w:p>
        </w:tc>
        <w:tc>
          <w:tcPr>
            <w:tcW w:w="920" w:type="dxa"/>
            <w:vAlign w:val="bottom"/>
            <w:vMerge w:val="restart"/>
          </w:tcPr>
          <w:p>
            <w:pPr>
              <w:jc w:val="center"/>
              <w:ind w:right="54"/>
              <w:spacing w:after="0"/>
              <w:rPr>
                <w:sz w:val="20"/>
                <w:szCs w:val="20"/>
                <w:color w:val="auto"/>
              </w:rPr>
            </w:pPr>
            <w:r>
              <w:rPr>
                <w:rFonts w:ascii="Times New Roman" w:cs="Times New Roman" w:eastAsia="Times New Roman" w:hAnsi="Times New Roman"/>
                <w:sz w:val="16"/>
                <w:szCs w:val="16"/>
                <w:color w:val="0000FF"/>
                <w:w w:val="74"/>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Sponsor</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640" w:type="dxa"/>
            <w:vAlign w:val="bottom"/>
            <w:gridSpan w:val="3"/>
            <w:vMerge w:val="continue"/>
          </w:tcPr>
          <w:p>
            <w:pPr>
              <w:spacing w:after="0"/>
              <w:rPr>
                <w:sz w:val="11"/>
                <w:szCs w:val="11"/>
                <w:color w:val="auto"/>
              </w:rPr>
            </w:pPr>
          </w:p>
        </w:tc>
        <w:tc>
          <w:tcPr>
            <w:tcW w:w="1500" w:type="dxa"/>
            <w:vAlign w:val="bottom"/>
            <w:gridSpan w:val="2"/>
            <w:vMerge w:val="continue"/>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800" w:type="dxa"/>
            <w:vAlign w:val="bottom"/>
            <w:vMerge w:val="continue"/>
          </w:tcPr>
          <w:p>
            <w:pPr>
              <w:spacing w:after="0"/>
              <w:rPr>
                <w:sz w:val="11"/>
                <w:szCs w:val="11"/>
                <w:color w:val="auto"/>
              </w:rPr>
            </w:pPr>
          </w:p>
        </w:tc>
        <w:tc>
          <w:tcPr>
            <w:tcW w:w="440" w:type="dxa"/>
            <w:vAlign w:val="bottom"/>
            <w:vMerge w:val="continue"/>
          </w:tcPr>
          <w:p>
            <w:pPr>
              <w:spacing w:after="0"/>
              <w:rPr>
                <w:sz w:val="11"/>
                <w:szCs w:val="11"/>
                <w:color w:val="auto"/>
              </w:rPr>
            </w:pPr>
          </w:p>
        </w:tc>
        <w:tc>
          <w:tcPr>
            <w:tcW w:w="5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Partners</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Pr>
          <w:p>
            <w:pPr>
              <w:spacing w:after="0"/>
              <w:rPr>
                <w:sz w:val="6"/>
                <w:szCs w:val="6"/>
                <w:color w:val="auto"/>
              </w:rPr>
            </w:pPr>
          </w:p>
        </w:tc>
        <w:tc>
          <w:tcPr>
            <w:tcW w:w="780" w:type="dxa"/>
            <w:vAlign w:val="bottom"/>
          </w:tcPr>
          <w:p>
            <w:pPr>
              <w:spacing w:after="0"/>
              <w:rPr>
                <w:sz w:val="6"/>
                <w:szCs w:val="6"/>
                <w:color w:val="auto"/>
              </w:rPr>
            </w:pPr>
          </w:p>
        </w:tc>
        <w:tc>
          <w:tcPr>
            <w:tcW w:w="800" w:type="dxa"/>
            <w:vAlign w:val="bottom"/>
          </w:tcPr>
          <w:p>
            <w:pPr>
              <w:spacing w:after="0"/>
              <w:rPr>
                <w:sz w:val="6"/>
                <w:szCs w:val="6"/>
                <w:color w:val="auto"/>
              </w:rPr>
            </w:pPr>
          </w:p>
        </w:tc>
        <w:tc>
          <w:tcPr>
            <w:tcW w:w="44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440" w:type="dxa"/>
            <w:vAlign w:val="bottom"/>
          </w:tcPr>
          <w:p>
            <w:pPr>
              <w:spacing w:after="0"/>
              <w:rPr>
                <w:sz w:val="6"/>
                <w:szCs w:val="6"/>
                <w:color w:val="auto"/>
              </w:rPr>
            </w:pPr>
          </w:p>
        </w:tc>
        <w:tc>
          <w:tcPr>
            <w:tcW w:w="760" w:type="dxa"/>
            <w:vAlign w:val="bottom"/>
          </w:tcPr>
          <w:p>
            <w:pPr>
              <w:spacing w:after="0"/>
              <w:rPr>
                <w:sz w:val="6"/>
                <w:szCs w:val="6"/>
                <w:color w:val="auto"/>
              </w:rPr>
            </w:pPr>
          </w:p>
        </w:tc>
        <w:tc>
          <w:tcPr>
            <w:tcW w:w="920" w:type="dxa"/>
            <w:vAlign w:val="bottom"/>
          </w:tcPr>
          <w:p>
            <w:pPr>
              <w:spacing w:after="0"/>
              <w:rPr>
                <w:sz w:val="6"/>
                <w:szCs w:val="6"/>
                <w:color w:val="auto"/>
              </w:rPr>
            </w:pPr>
          </w:p>
        </w:tc>
        <w:tc>
          <w:tcPr>
            <w:tcW w:w="8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II,</w:t>
            </w: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LLC</w:t>
            </w:r>
            <w:r>
              <w:rPr>
                <w:rFonts w:ascii="Times New Roman" w:cs="Times New Roman" w:eastAsia="Times New Roman" w:hAnsi="Times New Roman"/>
                <w:sz w:val="22"/>
                <w:szCs w:val="22"/>
                <w:color w:val="008000"/>
                <w:vertAlign w:val="superscript"/>
              </w:rPr>
              <w:t>(2)</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Live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Oak</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00" w:type="dxa"/>
            <w:vAlign w:val="bottom"/>
            <w:gridSpan w:val="2"/>
            <w:vMerge w:val="restart"/>
          </w:tcPr>
          <w:p>
            <w:pPr>
              <w:ind w:left="520"/>
              <w:spacing w:after="0"/>
              <w:rPr>
                <w:sz w:val="20"/>
                <w:szCs w:val="20"/>
                <w:color w:val="auto"/>
              </w:rPr>
            </w:pPr>
            <w:r>
              <w:rPr>
                <w:rFonts w:ascii="Times New Roman" w:cs="Times New Roman" w:eastAsia="Times New Roman" w:hAnsi="Times New Roman"/>
                <w:sz w:val="17"/>
                <w:szCs w:val="17"/>
                <w:color w:val="0000FF"/>
              </w:rPr>
              <w:t>05/28/2026</w:t>
            </w: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S</w:t>
            </w: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35,165</w:t>
            </w:r>
          </w:p>
        </w:tc>
        <w:tc>
          <w:tcPr>
            <w:tcW w:w="44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gridSpan w:val="3"/>
            <w:vMerge w:val="restart"/>
          </w:tcPr>
          <w:p>
            <w:pPr>
              <w:jc w:val="center"/>
              <w:ind w:left="15"/>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28.14</w:t>
            </w:r>
            <w:r>
              <w:rPr>
                <w:rFonts w:ascii="Times New Roman" w:cs="Times New Roman" w:eastAsia="Times New Roman" w:hAnsi="Times New Roman"/>
                <w:sz w:val="22"/>
                <w:szCs w:val="22"/>
                <w:color w:val="008000"/>
                <w:w w:val="95"/>
                <w:vertAlign w:val="superscript"/>
              </w:rPr>
              <w:t>(3)</w:t>
            </w: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2,375,060</w:t>
            </w:r>
          </w:p>
        </w:tc>
        <w:tc>
          <w:tcPr>
            <w:tcW w:w="920" w:type="dxa"/>
            <w:vAlign w:val="bottom"/>
            <w:vMerge w:val="restart"/>
          </w:tcPr>
          <w:p>
            <w:pPr>
              <w:jc w:val="center"/>
              <w:ind w:right="54"/>
              <w:spacing w:after="0"/>
              <w:rPr>
                <w:sz w:val="20"/>
                <w:szCs w:val="20"/>
                <w:color w:val="auto"/>
              </w:rPr>
            </w:pPr>
            <w:r>
              <w:rPr>
                <w:rFonts w:ascii="Times New Roman" w:cs="Times New Roman" w:eastAsia="Times New Roman" w:hAnsi="Times New Roman"/>
                <w:sz w:val="16"/>
                <w:szCs w:val="16"/>
                <w:color w:val="0000FF"/>
                <w:w w:val="74"/>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Sponsor</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3"/>
            <w:vMerge w:val="continue"/>
          </w:tcPr>
          <w:p>
            <w:pPr>
              <w:spacing w:after="0"/>
              <w:rPr>
                <w:sz w:val="15"/>
                <w:szCs w:val="15"/>
                <w:color w:val="auto"/>
              </w:rPr>
            </w:pPr>
          </w:p>
        </w:tc>
        <w:tc>
          <w:tcPr>
            <w:tcW w:w="1500" w:type="dxa"/>
            <w:vAlign w:val="bottom"/>
            <w:gridSpan w:val="2"/>
            <w:vMerge w:val="continue"/>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820" w:type="dxa"/>
            <w:vAlign w:val="bottom"/>
            <w:gridSpan w:val="3"/>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Partners</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II,</w:t>
            </w: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LLC</w:t>
            </w:r>
            <w:r>
              <w:rPr>
                <w:rFonts w:ascii="Times New Roman" w:cs="Times New Roman" w:eastAsia="Times New Roman" w:hAnsi="Times New Roman"/>
                <w:sz w:val="22"/>
                <w:szCs w:val="22"/>
                <w:color w:val="008000"/>
                <w:vertAlign w:val="superscript"/>
              </w:rPr>
              <w:t>(2)</w:t>
            </w: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top w:val="single" w:sz="8" w:color="2C2C2C"/>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00" w:type="dxa"/>
            <w:vAlign w:val="bottom"/>
            <w:tcBorders>
              <w:top w:val="single" w:sz="8" w:color="2C2C2C"/>
              <w:bottom w:val="single" w:sz="8" w:color="2C2C2C"/>
            </w:tcBorders>
            <w:gridSpan w:val="2"/>
          </w:tcPr>
          <w:p>
            <w:pPr>
              <w:ind w:left="520"/>
              <w:spacing w:after="0"/>
              <w:rPr>
                <w:sz w:val="20"/>
                <w:szCs w:val="20"/>
                <w:color w:val="auto"/>
              </w:rPr>
            </w:pPr>
            <w:r>
              <w:rPr>
                <w:rFonts w:ascii="Times New Roman" w:cs="Times New Roman" w:eastAsia="Times New Roman" w:hAnsi="Times New Roman"/>
                <w:sz w:val="17"/>
                <w:szCs w:val="17"/>
                <w:color w:val="0000FF"/>
              </w:rPr>
              <w:t>05/28/2026</w:t>
            </w:r>
          </w:p>
        </w:tc>
        <w:tc>
          <w:tcPr>
            <w:tcW w:w="440" w:type="dxa"/>
            <w:vAlign w:val="bottom"/>
            <w:tcBorders>
              <w:top w:val="single" w:sz="8" w:color="2C2C2C"/>
              <w:bottom w:val="single" w:sz="8" w:color="2C2C2C"/>
            </w:tcBorders>
          </w:tcPr>
          <w:p>
            <w:pPr>
              <w:spacing w:after="0"/>
              <w:rPr>
                <w:sz w:val="24"/>
                <w:szCs w:val="24"/>
                <w:color w:val="auto"/>
              </w:rPr>
            </w:pPr>
          </w:p>
        </w:tc>
        <w:tc>
          <w:tcPr>
            <w:tcW w:w="640" w:type="dxa"/>
            <w:vAlign w:val="bottom"/>
            <w:tcBorders>
              <w:top w:val="single" w:sz="8" w:color="2C2C2C"/>
              <w:bottom w:val="single" w:sz="8" w:color="2C2C2C"/>
            </w:tcBorders>
          </w:tcPr>
          <w:p>
            <w:pPr>
              <w:spacing w:after="0"/>
              <w:rPr>
                <w:sz w:val="24"/>
                <w:szCs w:val="24"/>
                <w:color w:val="auto"/>
              </w:rPr>
            </w:pPr>
          </w:p>
        </w:tc>
        <w:tc>
          <w:tcPr>
            <w:tcW w:w="60" w:type="dxa"/>
            <w:vAlign w:val="bottom"/>
            <w:tcBorders>
              <w:top w:val="single" w:sz="8" w:color="2C2C2C"/>
              <w:bottom w:val="single" w:sz="8" w:color="2C2C2C"/>
            </w:tcBorders>
          </w:tcPr>
          <w:p>
            <w:pPr>
              <w:spacing w:after="0"/>
              <w:rPr>
                <w:sz w:val="24"/>
                <w:szCs w:val="24"/>
                <w:color w:val="auto"/>
              </w:rPr>
            </w:pPr>
          </w:p>
        </w:tc>
        <w:tc>
          <w:tcPr>
            <w:tcW w:w="780" w:type="dxa"/>
            <w:vAlign w:val="bottom"/>
            <w:tcBorders>
              <w:top w:val="single" w:sz="8" w:color="2C2C2C"/>
              <w:bottom w:val="single" w:sz="8" w:color="2C2C2C"/>
            </w:tcBorders>
          </w:tcPr>
          <w:p>
            <w:pPr>
              <w:ind w:left="140"/>
              <w:spacing w:after="0"/>
              <w:rPr>
                <w:sz w:val="20"/>
                <w:szCs w:val="20"/>
                <w:color w:val="auto"/>
              </w:rPr>
            </w:pPr>
            <w:r>
              <w:rPr>
                <w:rFonts w:ascii="Times New Roman" w:cs="Times New Roman" w:eastAsia="Times New Roman" w:hAnsi="Times New Roman"/>
                <w:sz w:val="13"/>
                <w:szCs w:val="13"/>
                <w:color w:val="0000FF"/>
              </w:rPr>
              <w:t>S</w:t>
            </w:r>
          </w:p>
        </w:tc>
        <w:tc>
          <w:tcPr>
            <w:tcW w:w="800" w:type="dxa"/>
            <w:vAlign w:val="bottom"/>
            <w:tcBorders>
              <w:top w:val="single" w:sz="8" w:color="2C2C2C"/>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73,000</w:t>
            </w:r>
          </w:p>
        </w:tc>
        <w:tc>
          <w:tcPr>
            <w:tcW w:w="440" w:type="dxa"/>
            <w:vAlign w:val="bottom"/>
            <w:tcBorders>
              <w:top w:val="single" w:sz="8" w:color="2C2C2C"/>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top w:val="single" w:sz="8" w:color="2C2C2C"/>
              <w:bottom w:val="single" w:sz="8" w:color="2C2C2C"/>
            </w:tcBorders>
            <w:gridSpan w:val="3"/>
          </w:tcPr>
          <w:p>
            <w:pPr>
              <w:jc w:val="center"/>
              <w:ind w:left="15"/>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28.11</w:t>
            </w:r>
            <w:r>
              <w:rPr>
                <w:rFonts w:ascii="Times New Roman" w:cs="Times New Roman" w:eastAsia="Times New Roman" w:hAnsi="Times New Roman"/>
                <w:sz w:val="22"/>
                <w:szCs w:val="22"/>
                <w:color w:val="008000"/>
                <w:w w:val="95"/>
                <w:vertAlign w:val="superscript"/>
              </w:rPr>
              <w:t>(4)</w:t>
            </w:r>
          </w:p>
        </w:tc>
        <w:tc>
          <w:tcPr>
            <w:tcW w:w="1200" w:type="dxa"/>
            <w:vAlign w:val="bottom"/>
            <w:tcBorders>
              <w:top w:val="single" w:sz="8" w:color="2C2C2C"/>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13,964</w:t>
            </w:r>
          </w:p>
        </w:tc>
        <w:tc>
          <w:tcPr>
            <w:tcW w:w="920" w:type="dxa"/>
            <w:vAlign w:val="bottom"/>
            <w:tcBorders>
              <w:top w:val="single" w:sz="8" w:color="2C2C2C"/>
              <w:bottom w:val="single" w:sz="8" w:color="2C2C2C"/>
            </w:tcBorders>
          </w:tcPr>
          <w:p>
            <w:pPr>
              <w:jc w:val="center"/>
              <w:ind w:right="54"/>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top w:val="single" w:sz="8" w:color="2C2C2C"/>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80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w w:val="98"/>
              </w:rPr>
              <w:t>Exercisable</w:t>
            </w:r>
          </w:p>
        </w:tc>
        <w:tc>
          <w:tcPr>
            <w:tcW w:w="80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00" w:firstLine="7"/>
        <w:spacing w:after="0" w:line="244"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May 18, 2026, Navitas Semiconductor Corporation (the "Company") entered into a Settlement, Release and Amendment Agreement, between the Company and Live Oak Sponsor Partners II, LLC ("Live Oak Sponsor"), pursuant to which the Company agreed to effectuate the transfer of an aggregate of 1,147,225 shares of the Company's common stock to Live Oak Sponsor in satisfaction of the Company's obligations under the Sponsor Letter Agreement Re: Business Combination, dated May 6, 2021 (as amended to date), between the Company and Live Oak Sponsor which, among other things, sets forth certain agreements between the Company and Live Oak Sponsor with respect to the vesting, forfeiture and transfer of earnout shares issuable in connection with the Company's business combination based on the achievement of certain price thresholds.</w:t>
      </w:r>
    </w:p>
    <w:p>
      <w:pPr>
        <w:spacing w:after="0" w:line="26"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is a managing member of Live Oak Sponsor. The Reporting Person disclaims beneficial ownership of the reported securities except to the extent of his pecuniary interest therein.</w:t>
      </w:r>
    </w:p>
    <w:p>
      <w:pPr>
        <w:spacing w:after="0" w:line="50" w:lineRule="exact"/>
        <w:rPr>
          <w:rFonts w:ascii="Times New Roman" w:cs="Times New Roman" w:eastAsia="Times New Roman" w:hAnsi="Times New Roman"/>
          <w:sz w:val="13"/>
          <w:szCs w:val="13"/>
          <w:color w:val="008000"/>
        </w:rPr>
      </w:pPr>
    </w:p>
    <w:p>
      <w:pPr>
        <w:jc w:val="both"/>
        <w:ind w:left="40" w:right="1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securities were sold in multiple transactions ranging from $28.10 to $28.18, inclusive. The Reporting Person undertakes to provide to the Company, any security holder of the Company, or the staff of the Securities and Exchange Commission, upon request, full information regarding the number of shares sold at each separate price within the ranges set forth in the preceding sentence.</w:t>
      </w:r>
    </w:p>
    <w:p>
      <w:pPr>
        <w:spacing w:after="0" w:line="20" w:lineRule="exact"/>
        <w:rPr>
          <w:rFonts w:ascii="Times New Roman" w:cs="Times New Roman" w:eastAsia="Times New Roman" w:hAnsi="Times New Roman"/>
          <w:sz w:val="13"/>
          <w:szCs w:val="13"/>
          <w:color w:val="008000"/>
        </w:rPr>
      </w:pPr>
    </w:p>
    <w:p>
      <w:pPr>
        <w:jc w:val="both"/>
        <w:ind w:left="40" w:right="1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securities were sold in multiple transactions ranging from $28.10 to $28.17, inclusive. The Reporting Person undertakes to provide to the Company, any security holder of the Company, or the staff of the Securities and Exchange Commission, upon request, full information regarding the number of shares sold at each separate price within the ranges set forth in the preceding sentence.</w:t>
      </w:r>
    </w:p>
    <w:p>
      <w:pPr>
        <w:spacing w:after="0" w:line="37" w:lineRule="exact"/>
        <w:rPr>
          <w:sz w:val="24"/>
          <w:szCs w:val="24"/>
          <w:color w:val="auto"/>
        </w:rPr>
      </w:pPr>
    </w:p>
    <w:tbl>
      <w:tblPr>
        <w:tblLayout w:type="fixed"/>
        <w:tblInd w:w="40" w:type="dxa"/>
        <w:tblCellMar>
          <w:top w:w="0" w:type="dxa"/>
          <w:left w:w="0" w:type="dxa"/>
          <w:bottom w:w="0" w:type="dxa"/>
          <w:right w:w="0" w:type="dxa"/>
        </w:tblCellMar>
      </w:tblPr>
      <w:tr>
        <w:trPr>
          <w:trHeight w:val="195"/>
        </w:trPr>
        <w:tc>
          <w:tcPr>
            <w:tcW w:w="6540" w:type="dxa"/>
            <w:vAlign w:val="bottom"/>
          </w:tcPr>
          <w:p>
            <w:pPr>
              <w:spacing w:after="0"/>
              <w:rPr>
                <w:sz w:val="16"/>
                <w:szCs w:val="16"/>
                <w:color w:val="auto"/>
              </w:rPr>
            </w:pPr>
          </w:p>
        </w:tc>
        <w:tc>
          <w:tcPr>
            <w:tcW w:w="1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Gary K. Wunderlich, Jr.</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05/29/2026</w:t>
            </w:r>
          </w:p>
        </w:tc>
      </w:tr>
      <w:tr>
        <w:trPr>
          <w:trHeight w:val="235"/>
        </w:trPr>
        <w:tc>
          <w:tcPr>
            <w:tcW w:w="6540" w:type="dxa"/>
            <w:vAlign w:val="bottom"/>
          </w:tcPr>
          <w:p>
            <w:pPr>
              <w:spacing w:after="0"/>
              <w:rPr>
                <w:sz w:val="20"/>
                <w:szCs w:val="20"/>
                <w:color w:val="auto"/>
              </w:rPr>
            </w:pPr>
          </w:p>
        </w:tc>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r>
        <w:trPr>
          <w:trHeight w:val="200"/>
        </w:trPr>
        <w:tc>
          <w:tcPr>
            <w:tcW w:w="8620" w:type="dxa"/>
            <w:vAlign w:val="bottom"/>
            <w:gridSpan w:val="3"/>
          </w:tcPr>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0"/>
        </w:trPr>
        <w:tc>
          <w:tcPr>
            <w:tcW w:w="8620" w:type="dxa"/>
            <w:vAlign w:val="bottom"/>
            <w:gridSpan w:val="3"/>
          </w:tcPr>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0"/>
        </w:trPr>
        <w:tc>
          <w:tcPr>
            <w:tcW w:w="8620" w:type="dxa"/>
            <w:vAlign w:val="bottom"/>
            <w:gridSpan w:val="3"/>
          </w:tcPr>
          <w:p>
            <w:pPr>
              <w:spacing w:after="0"/>
              <w:rPr>
                <w:sz w:val="20"/>
                <w:szCs w:val="20"/>
                <w:color w:val="auto"/>
              </w:rPr>
            </w:pPr>
            <w:r>
              <w:rPr>
                <w:rFonts w:ascii="Arial" w:cs="Arial" w:eastAsia="Arial" w:hAnsi="Arial"/>
                <w:sz w:val="13"/>
                <w:szCs w:val="13"/>
                <w:color w:val="auto"/>
              </w:rPr>
              <w:t xml:space="preserve">** 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w:t>
            </w: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0"/>
        </w:trPr>
        <w:tc>
          <w:tcPr>
            <w:tcW w:w="8620" w:type="dxa"/>
            <w:vAlign w:val="bottom"/>
            <w:gridSpan w:val="3"/>
          </w:tcPr>
          <w:p>
            <w:pPr>
              <w:spacing w:after="0"/>
              <w:rPr>
                <w:sz w:val="20"/>
                <w:szCs w:val="20"/>
                <w:color w:val="auto"/>
              </w:rPr>
            </w:pPr>
            <w:r>
              <w:rPr>
                <w:rFonts w:ascii="Arial" w:cs="Arial" w:eastAsia="Arial" w:hAnsi="Arial"/>
                <w:sz w:val="13"/>
                <w:szCs w:val="13"/>
                <w:color w:val="auto"/>
              </w:rPr>
              <w:t xml:space="preserve">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r>
    </w:tbl>
    <w:p>
      <w:pPr>
        <w:sectPr>
          <w:pgSz w:w="11900" w:h="16879" w:orient="portrait"/>
          <w:cols w:equalWidth="0" w:num="1">
            <w:col w:w="11080"/>
          </w:cols>
          <w:pgMar w:left="460" w:top="219"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25"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09974" TargetMode="External"/><Relationship Id="rId14" Type="http://schemas.openxmlformats.org/officeDocument/2006/relationships/hyperlink" Target="http://www.sec.gov/cgi-bin/browse-edgar?action=getcompany&amp;CIK=000182176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2026-05-29T16:51:22Z</dcterms:created>
  <dcterms:modified xsi:type="dcterms:W3CDTF">2026-05-29T16:51:22Z</dcterms:modified>
</cp:coreProperties>
</file>