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58" w:lineRule="exact"/>
        <w:rPr>
          <w:sz w:val="24"/>
          <w:szCs w:val="24"/>
          <w:color w:val="auto"/>
        </w:rPr>
      </w:pPr>
    </w:p>
    <w:p>
      <w:pPr>
        <w:jc w:val="center"/>
        <w:ind w:left="3580" w:right="240" w:hanging="3554"/>
        <w:spacing w:after="0" w:line="390" w:lineRule="auto"/>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 For the fiscal year ended December 31, 2022</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12" w:lineRule="exact"/>
        <w:rPr>
          <w:sz w:val="24"/>
          <w:szCs w:val="24"/>
          <w:color w:val="auto"/>
        </w:rPr>
      </w:pPr>
    </w:p>
    <w:p>
      <w:pPr>
        <w:ind w:left="460" w:right="280" w:hanging="434"/>
        <w:spacing w:after="0" w:line="238"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001-39755</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Navitas Semiconductor Corporation</w:t>
      </w:r>
    </w:p>
    <w:p>
      <w:pPr>
        <w:sectPr>
          <w:pgSz w:w="11900" w:h="16838" w:orient="portrait"/>
          <w:cols w:equalWidth="0" w:num="1">
            <w:col w:w="11240"/>
          </w:cols>
          <w:pgMar w:left="320" w:top="243" w:right="339" w:bottom="1440" w:gutter="0" w:footer="0" w:header="0"/>
        </w:sectPr>
      </w:pPr>
    </w:p>
    <w:p>
      <w:pPr>
        <w:spacing w:after="0" w:line="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2"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6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149"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3520 Challenger Street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85-2560226</w:t>
      </w:r>
    </w:p>
    <w:p>
      <w:pPr>
        <w:spacing w:after="0" w:line="2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471" w:lineRule="exact"/>
        <w:rPr>
          <w:sz w:val="24"/>
          <w:szCs w:val="24"/>
          <w:color w:val="auto"/>
        </w:rPr>
      </w:pPr>
    </w:p>
    <w:p>
      <w:pPr>
        <w:sectPr>
          <w:pgSz w:w="11900" w:h="16838" w:orient="portrait"/>
          <w:cols w:equalWidth="0" w:num="2">
            <w:col w:w="7480" w:space="260"/>
            <w:col w:w="3500"/>
          </w:cols>
          <w:pgMar w:left="320" w:top="243" w:right="339" w:bottom="1440" w:gutter="0" w:footer="0" w:header="0"/>
          <w:type w:val="continuous"/>
        </w:sectPr>
      </w:pPr>
    </w:p>
    <w:tbl>
      <w:tblPr>
        <w:tblLayout w:type="fixed"/>
        <w:tblInd w:w="10" w:type="dxa"/>
        <w:tblCellMar>
          <w:top w:w="0" w:type="dxa"/>
          <w:left w:w="0" w:type="dxa"/>
          <w:bottom w:w="0" w:type="dxa"/>
          <w:right w:w="0" w:type="dxa"/>
        </w:tblCellMar>
      </w:tblPr>
      <w:tr>
        <w:trPr>
          <w:trHeight w:val="238"/>
        </w:trPr>
        <w:tc>
          <w:tcPr>
            <w:tcW w:w="442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Torrance, California</w:t>
            </w:r>
          </w:p>
        </w:tc>
        <w:tc>
          <w:tcPr>
            <w:tcW w:w="2080" w:type="dxa"/>
            <w:vAlign w:val="bottom"/>
          </w:tcPr>
          <w:p>
            <w:pPr>
              <w:spacing w:after="0"/>
              <w:rPr>
                <w:sz w:val="20"/>
                <w:szCs w:val="20"/>
                <w:color w:val="auto"/>
              </w:rPr>
            </w:pPr>
          </w:p>
        </w:tc>
        <w:tc>
          <w:tcPr>
            <w:tcW w:w="4740" w:type="dxa"/>
            <w:vAlign w:val="bottom"/>
          </w:tcPr>
          <w:p>
            <w:pPr>
              <w:jc w:val="right"/>
              <w:ind w:right="2310"/>
              <w:spacing w:after="0"/>
              <w:rPr>
                <w:sz w:val="20"/>
                <w:szCs w:val="20"/>
                <w:color w:val="auto"/>
              </w:rPr>
            </w:pPr>
            <w:r>
              <w:rPr>
                <w:rFonts w:ascii="Times New Roman" w:cs="Times New Roman" w:eastAsia="Times New Roman" w:hAnsi="Times New Roman"/>
                <w:sz w:val="18"/>
                <w:szCs w:val="18"/>
                <w:b w:val="1"/>
                <w:bCs w:val="1"/>
                <w:color w:val="auto"/>
              </w:rPr>
              <w:t>90503-1640</w:t>
            </w:r>
          </w:p>
        </w:tc>
        <w:tc>
          <w:tcPr>
            <w:tcW w:w="0" w:type="dxa"/>
            <w:vAlign w:val="bottom"/>
          </w:tcPr>
          <w:p>
            <w:pPr>
              <w:spacing w:after="0"/>
              <w:rPr>
                <w:sz w:val="1"/>
                <w:szCs w:val="1"/>
                <w:color w:val="auto"/>
              </w:rPr>
            </w:pPr>
          </w:p>
        </w:tc>
      </w:tr>
      <w:tr>
        <w:trPr>
          <w:trHeight w:val="338"/>
        </w:trPr>
        <w:tc>
          <w:tcPr>
            <w:tcW w:w="442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80" w:type="dxa"/>
            <w:vAlign w:val="bottom"/>
          </w:tcPr>
          <w:p>
            <w:pPr>
              <w:spacing w:after="0"/>
              <w:rPr>
                <w:sz w:val="24"/>
                <w:szCs w:val="24"/>
                <w:color w:val="auto"/>
              </w:rPr>
            </w:pPr>
          </w:p>
        </w:tc>
        <w:tc>
          <w:tcPr>
            <w:tcW w:w="47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540"/>
        </w:trPr>
        <w:tc>
          <w:tcPr>
            <w:tcW w:w="4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(844) 654-2642</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50"/>
        </w:trPr>
        <w:tc>
          <w:tcPr>
            <w:tcW w:w="4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400" w:type="dxa"/>
            <w:vAlign w:val="bottom"/>
          </w:tcPr>
          <w:p>
            <w:pPr>
              <w:spacing w:after="0"/>
              <w:rPr>
                <w:sz w:val="21"/>
                <w:szCs w:val="21"/>
                <w:color w:val="auto"/>
              </w:rPr>
            </w:pPr>
          </w:p>
        </w:tc>
        <w:tc>
          <w:tcPr>
            <w:tcW w:w="2080" w:type="dxa"/>
            <w:vAlign w:val="bottom"/>
            <w:tcBorders>
              <w:right w:val="single" w:sz="8" w:color="auto"/>
            </w:tcBorders>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 LLC</w:t>
            </w:r>
          </w:p>
        </w:tc>
        <w:tc>
          <w:tcPr>
            <w:tcW w:w="0" w:type="dxa"/>
            <w:vAlign w:val="bottom"/>
          </w:tcPr>
          <w:p>
            <w:pPr>
              <w:spacing w:after="0"/>
              <w:rPr>
                <w:sz w:val="1"/>
                <w:szCs w:val="1"/>
                <w:color w:val="auto"/>
              </w:rPr>
            </w:pPr>
          </w:p>
        </w:tc>
      </w:tr>
      <w:tr>
        <w:trPr>
          <w:trHeight w:val="122"/>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 value $0.0001 per share</w:t>
            </w:r>
          </w:p>
        </w:tc>
        <w:tc>
          <w:tcPr>
            <w:tcW w:w="400" w:type="dxa"/>
            <w:vAlign w:val="bottom"/>
          </w:tcPr>
          <w:p>
            <w:pPr>
              <w:spacing w:after="0"/>
              <w:rPr>
                <w:sz w:val="10"/>
                <w:szCs w:val="10"/>
                <w:color w:val="auto"/>
              </w:rPr>
            </w:pPr>
          </w:p>
        </w:tc>
        <w:tc>
          <w:tcPr>
            <w:tcW w:w="2080" w:type="dxa"/>
            <w:vAlign w:val="bottom"/>
            <w:tcBorders>
              <w:right w:val="single" w:sz="8" w:color="auto"/>
            </w:tcBorders>
            <w:vMerge w:val="continue"/>
          </w:tcPr>
          <w:p>
            <w:pPr>
              <w:spacing w:after="0"/>
              <w:rPr>
                <w:sz w:val="10"/>
                <w:szCs w:val="10"/>
                <w:color w:val="auto"/>
              </w:rPr>
            </w:pPr>
          </w:p>
        </w:tc>
        <w:tc>
          <w:tcPr>
            <w:tcW w:w="4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20" w:type="dxa"/>
            <w:vAlign w:val="bottom"/>
            <w:tcBorders>
              <w:left w:val="single" w:sz="8" w:color="auto"/>
              <w:right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47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3" w:lineRule="exact"/>
        <w:rPr>
          <w:sz w:val="20"/>
          <w:szCs w:val="20"/>
          <w:color w:val="auto"/>
        </w:rPr>
      </w:pPr>
    </w:p>
    <w:p>
      <w:pPr>
        <w:ind w:right="2460"/>
        <w:spacing w:after="0" w:line="28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0"/>
          <w:szCs w:val="20"/>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43"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322"/>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126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7"/>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20" w:type="dxa"/>
            <w:vAlign w:val="bottom"/>
            <w:vMerge w:val="restart"/>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60" w:type="dxa"/>
            <w:vAlign w:val="bottom"/>
            <w:vMerge w:val="restart"/>
          </w:tcPr>
          <w:p>
            <w:pPr>
              <w:ind w:left="106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2620" w:type="dxa"/>
            <w:vAlign w:val="bottom"/>
            <w:vMerge w:val="continue"/>
          </w:tcPr>
          <w:p>
            <w:pPr>
              <w:spacing w:after="0"/>
              <w:rPr>
                <w:sz w:val="11"/>
                <w:szCs w:val="11"/>
                <w:color w:val="auto"/>
              </w:rPr>
            </w:pPr>
          </w:p>
        </w:tc>
        <w:tc>
          <w:tcPr>
            <w:tcW w:w="48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60" w:type="dxa"/>
            <w:vAlign w:val="bottom"/>
          </w:tcPr>
          <w:p>
            <w:pPr>
              <w:ind w:left="106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160"/>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its internal control over financial reporting under Section 404(b) of the Sarbanes-Oxley Act (15 U.S.C.</w:t>
      </w:r>
    </w:p>
    <w:p>
      <w:pPr>
        <w:spacing w:after="0" w:line="2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rPr>
        <w:t>☐</w:t>
      </w:r>
    </w:p>
    <w:p>
      <w:pPr>
        <w:spacing w:after="0" w:line="19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(then named Live Oak Acquisition Corp.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as of June 30, 2022, the last business day of the registrant’s most recently completed second fiscal quarter, was $352,276,365.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160,891,870 shares of Class A Common Stock and 0 shares of Class B Common Stock were outstanding at March 28, 2023.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proxy statement for the 2023 annual meeting of stockholders are incorporated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Explanatory Note About Our Name and Related Terminology</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Cautionary Statement About Forward-Looking Statements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0000FF"/>
        </w:rPr>
        <w:t>Summary of Risk Factors</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0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Business</w:t>
            </w:r>
          </w:p>
        </w:tc>
        <w:tc>
          <w:tcPr>
            <w:tcW w:w="0" w:type="dxa"/>
            <w:vAlign w:val="bottom"/>
          </w:tcPr>
          <w:p>
            <w:pPr>
              <w:spacing w:after="0"/>
              <w:rPr>
                <w:sz w:val="1"/>
                <w:szCs w:val="1"/>
                <w:color w:val="auto"/>
              </w:rPr>
            </w:pPr>
          </w:p>
        </w:tc>
      </w:tr>
      <w:tr>
        <w:trPr>
          <w:trHeight w:val="29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Item 1A.</w:t>
            </w:r>
          </w:p>
        </w:tc>
        <w:tc>
          <w:tcPr>
            <w:tcW w:w="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399"/>
        </w:trPr>
        <w:tc>
          <w:tcPr>
            <w:tcW w:w="6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500" w:type="dxa"/>
            <w:vAlign w:val="bottom"/>
          </w:tcPr>
          <w:p>
            <w:pPr>
              <w:spacing w:after="0"/>
              <w:rPr>
                <w:sz w:val="24"/>
                <w:szCs w:val="24"/>
                <w:color w:val="auto"/>
              </w:rPr>
            </w:pPr>
          </w:p>
        </w:tc>
        <w:tc>
          <w:tcPr>
            <w:tcW w:w="8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56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[Reserved]</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7A.</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9A.</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9B.</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9C.</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0" w:type="dxa"/>
            <w:vAlign w:val="bottom"/>
          </w:tcPr>
          <w:p>
            <w:pPr>
              <w:spacing w:after="0"/>
              <w:rPr>
                <w:sz w:val="1"/>
                <w:szCs w:val="1"/>
                <w:color w:val="auto"/>
              </w:rPr>
            </w:pPr>
          </w:p>
        </w:tc>
      </w:tr>
      <w:tr>
        <w:trPr>
          <w:trHeight w:val="56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10.</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11.</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12.</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c>
          <w:tcPr>
            <w:tcW w:w="0" w:type="dxa"/>
            <w:vAlign w:val="bottom"/>
          </w:tcPr>
          <w:p>
            <w:pPr>
              <w:spacing w:after="0"/>
              <w:rPr>
                <w:sz w:val="1"/>
                <w:szCs w:val="1"/>
                <w:color w:val="auto"/>
              </w:rPr>
            </w:pPr>
          </w:p>
        </w:tc>
      </w:tr>
      <w:tr>
        <w:trPr>
          <w:trHeight w:val="4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13.</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14.</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0" w:type="dxa"/>
            <w:vAlign w:val="bottom"/>
          </w:tcPr>
          <w:p>
            <w:pPr>
              <w:spacing w:after="0"/>
              <w:rPr>
                <w:sz w:val="1"/>
                <w:szCs w:val="1"/>
                <w:color w:val="auto"/>
              </w:rPr>
            </w:pPr>
          </w:p>
        </w:tc>
      </w:tr>
      <w:tr>
        <w:trPr>
          <w:trHeight w:val="567"/>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15.</w:t>
            </w: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24765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4</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4</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5</w:t>
      </w: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8</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8</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15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53</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53</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53</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53</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54</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54</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54</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54</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64</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F-1</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65</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67</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68</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3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69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70</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0000FF"/>
        </w:rPr>
        <w:t>73</w:t>
      </w:r>
    </w:p>
    <w:p>
      <w:pPr>
        <w:spacing w:after="0" w:line="200" w:lineRule="exact"/>
        <w:rPr>
          <w:sz w:val="20"/>
          <w:szCs w:val="20"/>
          <w:color w:val="auto"/>
        </w:rPr>
      </w:pPr>
    </w:p>
    <w:p>
      <w:pPr>
        <w:sectPr>
          <w:pgSz w:w="11900" w:h="16838" w:orient="portrait"/>
          <w:cols w:equalWidth="0" w:num="2">
            <w:col w:w="9760" w:space="720"/>
            <w:col w:w="340"/>
          </w:cols>
          <w:pgMar w:left="320" w:top="135" w:right="75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5" w:right="759" w:bottom="97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 ABOUT OUR NAME AND RELATED TERMINOLOGY</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October 19, 2021, as part of a series of related transactions (which we refer to as the “Business Combination”), the registrant (f/k/a Live Oak Acquisition Corp. II) acquired all of the equity interests of Navitas Semiconductor Limited, an Irish private company domesticated in Delaware as Navitas Semiconductor Ireland, LLC (collectively, “Legacy Navitas”) and changed the name of the registrant to Navitas Semiconductor Corporation. As a result, Legacy Navitas became a wholly owned subsidiary of Navitas Semiconductor Corporation effective October 19, 2021. For more information about the Business Combination, see Note 1 to the consolidated financial statements in Part II, Item 8 of this annual report.</w:t>
      </w:r>
    </w:p>
    <w:p>
      <w:pPr>
        <w:spacing w:after="0" w:line="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References in this annual report to “Navitas,” the “Company,” “we,” “our” and “us” refer to Legacy Navitas and its predecessors and consolidated subsidiaries before the Business Combination, or to Navitas Semiconductor Corporation and its consolidated subsidiaries after the Business Combination, as the context suggests.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1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annual report contains forward-looking statements. All statements other than statements of historical facts contained in this annual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risks and uncertainties that could cause actual results to differ materially from those in the forward-looking statements, including risks and uncertainties relating to:</w:t>
      </w:r>
    </w:p>
    <w:p>
      <w:pPr>
        <w:spacing w:after="0" w:line="8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financial and business performance;</w:t>
      </w:r>
    </w:p>
    <w:p>
      <w:pPr>
        <w:spacing w:after="0" w:line="26"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realize benefits from the acquisition of GeneSiC Semiconductor Inc. on August 15, 2022, as discussed elsewhere in this report including in Part II, Item 1A (Risk Factors);</w:t>
      </w:r>
    </w:p>
    <w:p>
      <w:pPr>
        <w:spacing w:after="0" w:line="17"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realize the benefits of the Business Combination, which may be affected by, among other things, competition and our ability to grow and manage growth profitably;</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product development timeline and expected start of production;</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scale in a cost-effective manner;</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developments relating to our competitors and industry;</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impact of health epidemics, including the Covid-19 pandemic, on our business and the actions we may take in response thereto;</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obtain and maintain intellectual property protection, and not infringe on the rights of the intellectual property rights others;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status as an emerging growth company (as defined by U.S. federal law);</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future capital requirements and sources and uses of cash;</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ability to obtain funding for our operations;</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our business, expansion plans and opportunities;</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outcome of any known and unknown litigation and regulatory proceedings;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risks and uncertainties described in this annual report, including under the section titled “Risk Factors.”</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annual report may not prove to be accurate.</w:t>
      </w:r>
    </w:p>
    <w:p>
      <w:pPr>
        <w:spacing w:after="0" w:line="22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in this annual report, whether as a result of any new information, future events, changed circumstances or otherwise. You should read this annual report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this annual report, as well as elsewhere in this annual report. Additional risks, beyond those summarized below or discussed elsewhere in this annual report, may apply to our activities or operations as currently conducted or as we may conduct them in the future or in the markets in which we operate or may in the future operate.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the foregoing, we are exposed to a variety of risks, including risks associated with the following: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94" w:lineRule="exact"/>
        <w:rPr>
          <w:sz w:val="20"/>
          <w:szCs w:val="20"/>
          <w:color w:val="auto"/>
        </w:rPr>
      </w:pPr>
    </w:p>
    <w:p>
      <w:pPr>
        <w:ind w:left="660" w:hanging="328"/>
        <w:spacing w:after="0" w:line="297"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success and future revenue depend on our ability to achieve design wins and to convince our current and prospective end customers to design our products into their product offerings.</w:t>
      </w:r>
    </w:p>
    <w:p>
      <w:pPr>
        <w:spacing w:after="0" w:line="14" w:lineRule="exact"/>
        <w:rPr>
          <w:rFonts w:ascii="Times New Roman" w:cs="Times New Roman" w:eastAsia="Times New Roman" w:hAnsi="Times New Roman"/>
          <w:sz w:val="18"/>
          <w:szCs w:val="18"/>
          <w:i w:val="1"/>
          <w:iCs w:val="1"/>
          <w:color w:val="auto"/>
        </w:rPr>
      </w:pPr>
    </w:p>
    <w:p>
      <w:pPr>
        <w:jc w:val="both"/>
        <w:ind w:left="660" w:hanging="328"/>
        <w:spacing w:after="0" w:line="27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been successful in introducing our leading-edge GaN power IC technology in mobile charging applications, such as wall chargers and adapters for mobile phones and laptop computers, and on motor drives for home appliances,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spacing w:after="0" w:line="20"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August 2022 acquisition of GeneSiC Semiconductor Inc. (“GeneSiC”) was our first significant acquisition. We are devoting, and expect to continue to devote, significant time and attention to integrating GeneSiC with our existing operations teams. Given our relatively small size and relative inexperience with acquisitions, we expect to face challenges which present a number of risks to achieving the anticipated benefits of the acquisition. Our revenue, expenses, results of operations and financial condition could be materially adversely affected as a result.</w:t>
      </w:r>
    </w:p>
    <w:p>
      <w:pPr>
        <w:spacing w:after="0" w:line="29"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w:t>
      </w:r>
    </w:p>
    <w:p>
      <w:pPr>
        <w:spacing w:after="0" w:line="28"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single third-party wafer fabrication supplier and facility for the fabrication of semiconductor wafers for GaN ICs and a separate third-party wafer fabrication supplier and facility for the fabrication of semiconductor wafers SiC MOSFETs, and on a limited number of suppliers of other materials, and the failure of any of these facilities or suppliers, or of additional suppliers, to continue to produce wafers or other materials on a timely basis could harm our business and our financial results.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spacing w:after="0" w:line="8"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spacing w:after="0" w:line="14"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28" w:lineRule="exact"/>
        <w:rPr>
          <w:rFonts w:ascii="Times New Roman" w:cs="Times New Roman" w:eastAsia="Times New Roman" w:hAnsi="Times New Roman"/>
          <w:sz w:val="18"/>
          <w:szCs w:val="18"/>
          <w:color w:val="auto"/>
        </w:rPr>
      </w:pPr>
    </w:p>
    <w:p>
      <w:pPr>
        <w:ind w:left="660" w:hanging="328"/>
        <w:spacing w:after="0" w:line="29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spacing w:after="0" w:line="8" w:lineRule="exact"/>
        <w:rPr>
          <w:rFonts w:ascii="Times New Roman" w:cs="Times New Roman" w:eastAsia="Times New Roman" w:hAnsi="Times New Roman"/>
          <w:sz w:val="18"/>
          <w:szCs w:val="18"/>
          <w:i w:val="1"/>
          <w:iCs w:val="1"/>
          <w:color w:val="auto"/>
        </w:rPr>
      </w:pPr>
    </w:p>
    <w:p>
      <w:pPr>
        <w:ind w:left="660" w:hanging="328"/>
        <w:spacing w:after="0" w:line="31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mergers, acquisitions, investments and joint ventures, which could divert our management’s attention or otherwise disrupt our operations and adversely affect our 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Tax-Related Risks</w:t>
      </w:r>
    </w:p>
    <w:p>
      <w:pPr>
        <w:spacing w:after="0" w:line="81" w:lineRule="exact"/>
        <w:rPr>
          <w:sz w:val="20"/>
          <w:szCs w:val="20"/>
          <w:color w:val="auto"/>
        </w:rPr>
      </w:pPr>
    </w:p>
    <w:p>
      <w:pPr>
        <w:ind w:left="660" w:hanging="328"/>
        <w:spacing w:after="0" w:line="30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jc w:val="both"/>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spacing w:after="0" w:line="16" w:lineRule="exact"/>
        <w:rPr>
          <w:rFonts w:ascii="Times New Roman" w:cs="Times New Roman" w:eastAsia="Times New Roman" w:hAnsi="Times New Roman"/>
          <w:sz w:val="18"/>
          <w:szCs w:val="18"/>
          <w:color w:val="auto"/>
        </w:rPr>
      </w:pPr>
    </w:p>
    <w:p>
      <w:pPr>
        <w:ind w:left="660" w:hanging="328"/>
        <w:spacing w:after="0" w:line="30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to the purchase price of the assets that were transferred pursuant to the restructuring of Legacy Navitas in 2020 could adversely impact our tax position.</w:t>
      </w:r>
    </w:p>
    <w:p>
      <w:pPr>
        <w:jc w:val="both"/>
        <w:ind w:left="660" w:hanging="328"/>
        <w:spacing w:after="0" w:line="28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8" w:lineRule="exact"/>
        <w:rPr>
          <w:rFonts w:ascii="Times New Roman" w:cs="Times New Roman" w:eastAsia="Times New Roman" w:hAnsi="Times New Roman"/>
          <w:sz w:val="18"/>
          <w:szCs w:val="18"/>
          <w:color w:val="auto"/>
        </w:rPr>
      </w:pPr>
    </w:p>
    <w:p>
      <w:pPr>
        <w:ind w:left="660" w:right="20" w:hanging="328"/>
        <w:spacing w:after="0" w:line="29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carryforwards and other tax attributes may be limited in connection with the Business Combination or other ownership changes.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94" w:lineRule="exact"/>
        <w:rPr>
          <w:sz w:val="20"/>
          <w:szCs w:val="20"/>
          <w:color w:val="auto"/>
        </w:rPr>
      </w:pPr>
    </w:p>
    <w:p>
      <w:pPr>
        <w:ind w:left="660" w:hanging="328"/>
        <w:spacing w:after="0" w:line="29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rights. If we fail to adequately enforce or defend our intellectual property rights, our business may be harmed.</w:t>
      </w:r>
    </w:p>
    <w:p>
      <w:pPr>
        <w:spacing w:after="0" w:line="14" w:lineRule="exact"/>
        <w:rPr>
          <w:rFonts w:ascii="Times New Roman" w:cs="Times New Roman" w:eastAsia="Times New Roman" w:hAnsi="Times New Roman"/>
          <w:sz w:val="18"/>
          <w:szCs w:val="18"/>
          <w:color w:val="auto"/>
        </w:rPr>
      </w:pPr>
    </w:p>
    <w:p>
      <w:pPr>
        <w:ind w:left="660" w:hanging="328"/>
        <w:spacing w:after="0" w:line="29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patents and the legal protection afforded by any additional patents may not adequately cover the full scope of our business or permit us to gain or keep competitive advantage.</w:t>
      </w:r>
    </w:p>
    <w:p>
      <w:pPr>
        <w:ind w:left="660" w:right="20" w:hanging="328"/>
        <w:spacing w:after="0" w:line="31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infringe or misappropriate, or are accused of infringing or misappropriating, the intellectual property rights of third parties, we may incur substantial costs or be prevented from being able to commercialize new products.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9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and introduce new products in a timely manner is dependent upon third-party IP, including third party and “open source” software.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94" w:lineRule="exact"/>
        <w:rPr>
          <w:sz w:val="20"/>
          <w:szCs w:val="20"/>
          <w:color w:val="auto"/>
        </w:rPr>
      </w:pPr>
    </w:p>
    <w:p>
      <w:pPr>
        <w:ind w:left="660" w:hanging="328"/>
        <w:spacing w:after="0" w:line="31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among existing executive officers, directors and their affiliates, including the investment funds they represent, may prevent new investors from influencing significant corporate decisions.</w:t>
      </w:r>
    </w:p>
    <w:p>
      <w:pPr>
        <w:ind w:left="660" w:right="20" w:hanging="328"/>
        <w:spacing w:after="0" w:line="29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analysts do not publish research or reports about our business or if they downgrade our stock or our sector, our stock price and trading volume could decline.</w:t>
      </w:r>
    </w:p>
    <w:p>
      <w:pPr>
        <w:spacing w:after="0" w:line="14"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capital stock in connection with financings, acquisitions, investments, our stock incentive plans or otherwise by us could dilute the ownership and voting power of our stockholders.</w:t>
      </w:r>
    </w:p>
    <w:p>
      <w:pPr>
        <w:jc w:val="both"/>
        <w:ind w:left="660" w:hanging="328"/>
        <w:spacing w:after="0" w:line="289"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 substantial number of additional shares under our employee equity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fast chargers for mobile phones and laptops, consumer electronics, data centers, solar inverters and electric vehicles, among numerous other applications.</w:t>
      </w:r>
    </w:p>
    <w:p>
      <w:pPr>
        <w:spacing w:after="0" w:line="7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On August 15, 2022, we completed the acquisition of GeneSic Semiconductor Inc. (“GeneSiC”), a silicon carbide (“SiC”) pioneer with deep expertise in SiC power device design and process. Our acquisition of GeneSiC expands our reach into the electric vehicle and solar technology markets. Specifically, the acquisition marks a further expansion for us into the realm of high-power applications for wide bandgap technology, including electric vehicles (EVs), solar photovoltaics (PVs), and data centers.</w:t>
      </w:r>
    </w:p>
    <w:p>
      <w:pPr>
        <w:spacing w:after="0" w:line="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products provide superior efficiency, performance, size, cost and sustainability relative to existing silicon technology. Our solutions offer faster charging, higher power density and greater energy savings compared to silicon-based power systems with the same output power. By unlocking this speed and efficiency, we believe Navitas is leading a revolution in high-frequency, high-efficiency, high-density, and sustainable power electronics to "Electrify Our World"™ for a cleaner tomorrow.</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4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Most electronic devices that connect to a wall socket require a power supply to convert energy provided by utilities at 100-240V alternating current (AC) into lower voltage direct current (DC) required by most electronic devices. Power supplies can be located inside the devices they are powering, as is the case with many consumer electronics and home appliances, or outside of the device, as is typically the case with devices like mobile phone chargers or laptop computers, typically referred to as wall chargers or power adapters.</w:t>
      </w:r>
    </w:p>
    <w:p>
      <w:pPr>
        <w:spacing w:after="0" w:line="65"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In other applications such as electric vehicles, power may be converted from a high-voltage (e.g. 400V) DC battery to a lower voltage (e.g. 12V) or in the case of solar inverters, from low-voltage DC to high-voltage AC.</w:t>
      </w:r>
    </w:p>
    <w:p>
      <w:pPr>
        <w:spacing w:after="0" w:line="4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electronic devices today, most of these charging and power supply functions are carried out using silicon (Si) power MOSFETs (Metal Oxide Silicon Field Effect Transistors) or IGBTs (Insulated Gate Bipolar Transistors), along with related analog peripheral semiconductors. As the electronic content and functionality of systems have increased over time, existing silicon-based solutions have struggled to achieve high energy efficiency and fast charging, and they require large heat sinks or other thermal management methods, and large or complex form factors.</w:t>
      </w:r>
    </w:p>
    <w:p>
      <w:pPr>
        <w:spacing w:after="0" w:line="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Two newer "wide band-gap" ("WBG") materials have entered the power electronics market--gallium nitride (GaN) and silicon carbide (SiC). In general terms, devices rated around 700V address applications requiring output power of approximately 20W to 20kW, such as smartphone chargers or data center power supplies. Silicon Carbide (SiC) solutions are generally designed for higher power applications (up to MW) and higher device voltages (up to 6,500V).</w:t>
      </w:r>
    </w:p>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At the highest level, GaN is a combination of gallium and nitrogen, which forms a powerful bond with materially stronger electric fields and greater electron mobility compared to silicon. With a GaN power IC, increased power system switching speeds and energy efficiency can be achieved, which translate into notable benefits for power electronics such as smaller size, lighter weight, higher density, faster charging, energy savings and ultimately a lower system cost. These are significant gains relative to existing Si-based power solutions. A transistor is at the heart of a power supply, and a discrete (that is, non-integrated) GaN transistor requires a specialized silicon driver and multiple other components to drive and protect that GaN transistor. This additional circuitry has limited the adoption of GaN over the last decade due to cost,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complexity, size, and vulnerability to system transients. Navitas has solved this problem with the GaN power IC. The Company is the first to integrate all the drive and protection components along with the GaN transistor in a single GaN chip. This provides several form-factor improvements and energy savings compared to silicon solutions. The GaN IC solution also provides several benefits compared to GaN discrete solutions, including a smaller footprint, fewer components, energy savings, and lower cost.</w:t>
      </w:r>
    </w:p>
    <w:p>
      <w:pPr>
        <w:spacing w:after="0" w:line="6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Based on third-party and our internal estimates, the GaN device market in 2020 was about $20 million of total sales, and is estimated to more than double every year through 2026 to $2.1 billion (117% CAGR), while the total power semiconductor market is expected to grow at a more modest 6% CAGR during the same time. This growth represents an opportunity for GaN and for Navitas, as we believe we are a clear leader in the GaN space.</w:t>
      </w:r>
    </w:p>
    <w:p>
      <w:pPr>
        <w:spacing w:after="0" w:line="7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Combining GaN and SiC, the total potential market opportunity is estimated to be over $22 billion per year, split $7 billion for GaN, $9.3 billion for SiC, and with $6.1 billion overlapping GaN/SiC market. By the end of 2027, Yole estimates that 30% of the legacy power silicon market will have been taken by GaN and SiC.</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Converting power efficiently has emerged as a critical challenge as the electrification of our planet continues amid pursuit of a reduced carbon footprint. Electric vehicles, renewable energy, large-scale data processing and other applications all demand power and charging infrastructures with greater speed and efficiency than status-quo silicon technology. Navitas’ integrated circuits solve complex and demanding challenges that are inherent in power conversion by unlocking both speed and efficiency. Since our founding in 2014, we have successfully harnessed the fundamentally superior material properties of GaN to enable cost savings and enhanced power conversion through product integration, reducing the amount of space needed to support multiple requirements while dramatically increasing charging speeds.With ten times stronger electrical fields and twice the electron mobility compared to silicon, GaN is ideally suited for disrupting power switching applications, but challenges around manufacturing quality and reliability make commercialization difficult. By developing a fully qualified manufacturing process with over one billion device hours tested, Navitas has overcome these key hurdles to successfully and reliably integrate the critical drive, control and protection circuits into a single chip, enabling mainstream GaN adoption and unlocking the full potential of GaN in speed, efficiency, simplicity and cost. Navitas estimates show that GaN-based power systems can provide 20x faster switching, up to 3x higher power density, 3x faster charging, up to 40% energy savings and are 3x smaller and lighter compared to silicon-based power systems.Navitas’ best-in-class ICs allow end customers to implement GaN technology with a simple, dependable solution to realize groundbreaking power density and efficiency. We are developing a differentiated GaN power IC platform utilizing decades of power semiconductor technical expertise, robust applications knowledge and strong end customer relationships. We believe our competitive strengths and robust IP portfolio of over 145 issued and pending patents have enabled us to establish a leading market position in GaN power semiconductors.</w:t>
      </w:r>
    </w:p>
    <w:p>
      <w:pPr>
        <w:spacing w:after="0" w:line="96"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In August 2022, Navitas acquired GeneSiC Semiconductor, adding a broad range of SiC MOSFETs and diodes to the Navitas portfolio. GeneSiC proprietary trench-assisted planar-grade MOSFET technology combines the best of planar SiC (ease of manufacturing, robustness) with the best of trench SiC (low resistance, smaller die sizes). Navitas SiC MOSFETs have lower resistance than competitors at higher temperatures, and in head-to-head bench evaluation, 25°C cooler, for 3x longer device life expectancy.</w:t>
      </w:r>
    </w:p>
    <w:p>
      <w:pPr>
        <w:spacing w:after="0" w:line="8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Navitas is led by a team of tenured power semiconductor industry experts with a combined 300+ years of experience in semiconductor materials, devices, applications, systems and marketing and over $4B/year in power semiconductor revenue generated in their careers.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Navitas’ Market Opportunities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believe GaN and SiC are positioned to displace silicon-based power semiconductors in broad markets ranging from mobile/consumer to home appliance/industrial, data center, solar/storage, and EV. These markets are driven by major, long-term secular trends including explosive growth in data traffic, increasing electricity cost, and the transition from fossil fuel-based to sustainable energy sources and uses as we “Electrify Our World”™ to help address climate change. Industry analyst Yole estimates that by the end of 2028, GaN and SiC will have replaced 30% of the legacy silicon market.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60" w:hanging="328"/>
        <w:spacing w:after="0" w:line="26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Mobile/Consumer. </w:t>
      </w:r>
      <w:r>
        <w:rPr>
          <w:rFonts w:ascii="Times New Roman" w:cs="Times New Roman" w:eastAsia="Times New Roman" w:hAnsi="Times New Roman"/>
          <w:sz w:val="18"/>
          <w:szCs w:val="18"/>
          <w:color w:val="auto"/>
        </w:rPr>
        <w:t>With short design-in times, and a strong ‘portability’ value proposition, our initial focus and technology beachhead for GaN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the mobile fast and ultra-fast charging market for smartphones, tablets and laptops. GaN Power ICs generally can provide up to 3x more</w:t>
      </w:r>
    </w:p>
    <w:p>
      <w:pPr>
        <w:spacing w:after="0" w:line="1" w:lineRule="exact"/>
        <w:rPr>
          <w:rFonts w:ascii="Arial" w:cs="Arial" w:eastAsia="Arial" w:hAnsi="Arial"/>
          <w:sz w:val="22"/>
          <w:szCs w:val="22"/>
          <w:color w:val="auto"/>
        </w:rPr>
      </w:pPr>
    </w:p>
    <w:p>
      <w:pPr>
        <w:jc w:val="both"/>
        <w:ind w:left="660"/>
        <w:spacing w:after="0" w:line="306" w:lineRule="auto"/>
        <w:rPr>
          <w:rFonts w:ascii="Arial" w:cs="Arial" w:eastAsia="Arial" w:hAnsi="Arial"/>
          <w:sz w:val="22"/>
          <w:szCs w:val="22"/>
          <w:color w:val="auto"/>
        </w:rPr>
      </w:pPr>
      <w:r>
        <w:rPr>
          <w:rFonts w:ascii="Times New Roman" w:cs="Times New Roman" w:eastAsia="Times New Roman" w:hAnsi="Times New Roman"/>
          <w:sz w:val="17"/>
          <w:szCs w:val="17"/>
          <w:color w:val="auto"/>
        </w:rPr>
        <w:t>power and up to 3x faster charging, with half the size and weight of silicon chargers with the same output power. With the introduction of USB-PD ‘Type-C’ universal connectors and charging protocols, and as smartphone screen size, batteries and functions have increased, demand for high-</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power ‘ultra-fast’ chargers has been established. For example, GaN-based 240 W chargers supplied with today's flagship smartphones can enable 0-100% charging in less than 10 minutes. As over 2.5 billion chargers are shipped every year, each estimated to include approximately $1 of GaN</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content, the mobile charger market represents a multi-billion-dollar opportunity based on estimates from IDC PC tracker, USB-C research, Yole research and Navitas estimates. As of March 2023, all of the top-10 mobile OEMs are in production or development with Navitas. Non-mobile</w:t>
      </w:r>
    </w:p>
    <w:p>
      <w:pPr>
        <w:spacing w:after="0" w:line="1" w:lineRule="exact"/>
        <w:rPr>
          <w:rFonts w:ascii="Arial" w:cs="Arial" w:eastAsia="Arial" w:hAnsi="Arial"/>
          <w:sz w:val="22"/>
          <w:szCs w:val="22"/>
          <w:color w:val="auto"/>
        </w:rPr>
      </w:pPr>
    </w:p>
    <w:p>
      <w:pPr>
        <w:jc w:val="both"/>
        <w:ind w:left="660"/>
        <w:spacing w:after="0" w:line="294" w:lineRule="auto"/>
        <w:rPr>
          <w:rFonts w:ascii="Arial" w:cs="Arial" w:eastAsia="Arial" w:hAnsi="Arial"/>
          <w:sz w:val="22"/>
          <w:szCs w:val="22"/>
          <w:color w:val="auto"/>
        </w:rPr>
      </w:pPr>
      <w:r>
        <w:rPr>
          <w:rFonts w:ascii="Times New Roman" w:cs="Times New Roman" w:eastAsia="Times New Roman" w:hAnsi="Times New Roman"/>
          <w:sz w:val="18"/>
          <w:szCs w:val="18"/>
          <w:color w:val="auto"/>
        </w:rPr>
        <w:t>(non-battery) applications like ultra-thin TVs, high-powered gaming systems, desktop all-in-one PCs, or various smart home internet connected devices aggregate to around 600 million systems shipped per year (2022), and typically use about $3 of GaN content per system, adding another $2 billion per year opportunity, based on estimates from Gartner, Pulsenews, WitsView, Statista and Navitas.</w:t>
      </w:r>
    </w:p>
    <w:p>
      <w:pPr>
        <w:spacing w:after="0" w:line="31" w:lineRule="exact"/>
        <w:rPr>
          <w:rFonts w:ascii="Arial" w:cs="Arial" w:eastAsia="Arial" w:hAnsi="Arial"/>
          <w:sz w:val="22"/>
          <w:szCs w:val="22"/>
          <w:color w:val="auto"/>
        </w:rPr>
      </w:pPr>
    </w:p>
    <w:p>
      <w:pPr>
        <w:jc w:val="both"/>
        <w:ind w:left="660" w:hanging="328"/>
        <w:spacing w:after="0" w:line="273"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Data Center </w:t>
      </w:r>
      <w:r>
        <w:rPr>
          <w:rFonts w:ascii="Times New Roman" w:cs="Times New Roman" w:eastAsia="Times New Roman" w:hAnsi="Times New Roman"/>
          <w:sz w:val="18"/>
          <w:szCs w:val="18"/>
          <w:color w:val="auto"/>
        </w:rPr>
        <w:t>Within the enterprise end-market, we primarily focus on solving power problems of data centers. Nearly 50% of the total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a data center is related to power, which includes cost of power supplies as well as the cost of electricity for data processing, cooling, lighting and other power needs. For the data processing component alone, by our estimates (2021), a silicon-based data center today is about 75%</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efficient, implying 25% of the energy used by a data center is wasted as heat. A GaN-based data center can improve efficiency to about 84% total efficiency, representing benefits in reduced cost of electricity and the cost of cooling. Based on our analysis, approximately $1.9 billion in</w:t>
      </w:r>
    </w:p>
    <w:p>
      <w:pPr>
        <w:spacing w:after="0" w:line="1" w:lineRule="exact"/>
        <w:rPr>
          <w:rFonts w:ascii="Arial" w:cs="Arial" w:eastAsia="Arial" w:hAnsi="Arial"/>
          <w:sz w:val="22"/>
          <w:szCs w:val="22"/>
          <w:color w:val="auto"/>
        </w:rPr>
      </w:pPr>
    </w:p>
    <w:p>
      <w:pPr>
        <w:jc w:val="both"/>
        <w:ind w:left="660"/>
        <w:spacing w:after="0" w:line="291" w:lineRule="auto"/>
        <w:rPr>
          <w:rFonts w:ascii="Arial" w:cs="Arial" w:eastAsia="Arial" w:hAnsi="Arial"/>
          <w:sz w:val="22"/>
          <w:szCs w:val="22"/>
          <w:color w:val="auto"/>
        </w:rPr>
      </w:pPr>
      <w:r>
        <w:rPr>
          <w:rFonts w:ascii="Times New Roman" w:cs="Times New Roman" w:eastAsia="Times New Roman" w:hAnsi="Times New Roman"/>
          <w:sz w:val="18"/>
          <w:szCs w:val="18"/>
          <w:color w:val="auto"/>
        </w:rPr>
        <w:t>electricity could be saved each year if all data centers moved to GaN. Navitas’ data center power platform designs are half the size of legacy silicon solutions, meet or exceed European Union efficiency requirements and, based on customer feedback, have an overall bill of materials cost lower than legacy silicon. In aggregate, we estimate that data centers represent about a $1 billion opportunity for GaN ICs based on IDC Worldwide Quarterly Server Tracker and Navitas analysis.</w:t>
      </w:r>
    </w:p>
    <w:p>
      <w:pPr>
        <w:spacing w:after="0" w:line="31" w:lineRule="exact"/>
        <w:rPr>
          <w:rFonts w:ascii="Arial" w:cs="Arial" w:eastAsia="Arial" w:hAnsi="Arial"/>
          <w:sz w:val="22"/>
          <w:szCs w:val="22"/>
          <w:color w:val="auto"/>
        </w:rPr>
      </w:pPr>
    </w:p>
    <w:p>
      <w:pPr>
        <w:jc w:val="both"/>
        <w:ind w:left="660" w:hanging="328"/>
        <w:spacing w:after="0" w:line="26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Solar/Storage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residential solar, we believe GaN is well positioned to replace silicon in per-panel micro-inverters (350 – 500 W).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feedback, we estimate system cost reductions of approximately 25% compared to legacy silicon solutions, in addition to efficiency-</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driven energy savings over time. We estimate this translates into about a 10% improvement to the return on investment in solar systems. Overall, we estimate the GaN IC opportunity for solar applications to be over $1 billion per year based on Markets and Markets Micro-Inverter Market</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report and Navitas analysis. Higher-power, higher-voltage commercial ‘string’ inverters have adopted SiC to replace legacy silicon IGBTs, with significant savings in weight and size. To help balance solar supply and electrical demand, and for users to become more grid-independent, the</w:t>
      </w:r>
    </w:p>
    <w:p>
      <w:pPr>
        <w:spacing w:after="0" w:line="1"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Times New Roman" w:cs="Times New Roman" w:eastAsia="Times New Roman" w:hAnsi="Times New Roman"/>
          <w:sz w:val="18"/>
          <w:szCs w:val="18"/>
          <w:color w:val="auto"/>
        </w:rPr>
        <w:t>‘attach rate’ for battery-based energy-storage designs (or ‘bi-directional' EV) that require SiC, is expected to increase from &lt;10% in 2022 to 30%-40% in 2025, according to a leading customer.</w:t>
      </w:r>
    </w:p>
    <w:p>
      <w:pPr>
        <w:spacing w:after="0" w:line="32" w:lineRule="exact"/>
        <w:rPr>
          <w:rFonts w:ascii="Arial" w:cs="Arial" w:eastAsia="Arial" w:hAnsi="Arial"/>
          <w:sz w:val="22"/>
          <w:szCs w:val="22"/>
          <w:color w:val="auto"/>
        </w:rPr>
      </w:pPr>
    </w:p>
    <w:p>
      <w:pPr>
        <w:jc w:val="both"/>
        <w:ind w:left="660" w:hanging="328"/>
        <w:spacing w:after="0" w:line="269"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Home Appliance / Industrial. </w:t>
      </w:r>
      <w:r>
        <w:rPr>
          <w:rFonts w:ascii="Times New Roman" w:cs="Times New Roman" w:eastAsia="Times New Roman" w:hAnsi="Times New Roman"/>
          <w:sz w:val="18"/>
          <w:szCs w:val="18"/>
          <w:color w:val="auto"/>
        </w:rPr>
        <w:t>This market is dominated by high-efficiency motor drive applications, including domestic appliances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 machines, vacuum cleaners, dishwasher pumps, refrigerator compressors and heat pumps, plus industrial uses such as water pumps,</w:t>
      </w:r>
    </w:p>
    <w:p>
      <w:pPr>
        <w:spacing w:after="0" w:line="1" w:lineRule="exact"/>
        <w:rPr>
          <w:rFonts w:ascii="Arial" w:cs="Arial" w:eastAsia="Arial" w:hAnsi="Arial"/>
          <w:sz w:val="22"/>
          <w:szCs w:val="22"/>
          <w:color w:val="auto"/>
        </w:rPr>
      </w:pPr>
    </w:p>
    <w:p>
      <w:pPr>
        <w:ind w:left="660"/>
        <w:spacing w:after="0" w:line="313" w:lineRule="auto"/>
        <w:rPr>
          <w:rFonts w:ascii="Arial" w:cs="Arial" w:eastAsia="Arial" w:hAnsi="Arial"/>
          <w:sz w:val="22"/>
          <w:szCs w:val="22"/>
          <w:color w:val="auto"/>
        </w:rPr>
      </w:pPr>
      <w:r>
        <w:rPr>
          <w:rFonts w:ascii="Times New Roman" w:cs="Times New Roman" w:eastAsia="Times New Roman" w:hAnsi="Times New Roman"/>
          <w:sz w:val="18"/>
          <w:szCs w:val="18"/>
          <w:color w:val="auto"/>
        </w:rPr>
        <w:t>conveyor systems, robots, warehouse materials handling, etc. Based on Navitas estimates, high-speed GaN half-bridge power ICs deliver over 70% energy savings compared to legacy silicon and enable drive-motor integration due to their smaller size and lighter weight. We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92" w:lineRule="auto"/>
        <w:rPr>
          <w:sz w:val="20"/>
          <w:szCs w:val="20"/>
          <w:color w:val="auto"/>
        </w:rPr>
      </w:pPr>
      <w:r>
        <w:rPr>
          <w:rFonts w:ascii="Times New Roman" w:cs="Times New Roman" w:eastAsia="Times New Roman" w:hAnsi="Times New Roman"/>
          <w:sz w:val="18"/>
          <w:szCs w:val="18"/>
          <w:color w:val="auto"/>
        </w:rPr>
        <w:t>estimate the opportunity for GaN in 50-300 W motor drive applications to be around $1.5 billion per year. As motor drive power increases to over 1 hp (~750 W), the higher current-handling capabilities of SiC come into play.</w:t>
      </w:r>
    </w:p>
    <w:p>
      <w:pPr>
        <w:spacing w:after="0" w:line="32" w:lineRule="exact"/>
        <w:rPr>
          <w:sz w:val="20"/>
          <w:szCs w:val="20"/>
          <w:color w:val="auto"/>
        </w:rPr>
      </w:pPr>
    </w:p>
    <w:p>
      <w:pPr>
        <w:jc w:val="both"/>
        <w:ind w:left="660" w:hanging="328"/>
        <w:spacing w:after="0" w:line="269"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Electric Vehicles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 demand is increasing.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000FF"/>
        </w:rPr>
        <w:t>BCG</w:t>
      </w:r>
      <w:r>
        <w:rPr>
          <w:rFonts w:ascii="Times New Roman" w:cs="Times New Roman" w:eastAsia="Times New Roman" w:hAnsi="Times New Roman"/>
          <w:sz w:val="18"/>
          <w:szCs w:val="18"/>
          <w:color w:val="auto"/>
        </w:rPr>
        <w:t>, the 2018 forecast for world-wide EV adoption in 2030 was 21%. By 2022, that 2030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forecast had risen to has 53%. EV adoption challenges include three main themes: the need for faster charging, demand for extended range, and</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lowering the cost compared to traditional, internal combustion powered cars. EVs can also act as supplementary energy back-up for your home to balance energy supply (from household AC, solar, generators) and demand (Wi-Fi, heating, cooling, cooking), and be a critical part of an energy-</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independent micro-grid in the event of a grid power failure. This is known as “V2x” (vehicle to anything) charging. For 400 V-rated EV battery systems, ~700 V-rated GaN operates at high-speeds in on-board chargers (OBCs) and DC-DC converters. For example, Navitas ‘3-in-1’ platform</w:t>
      </w:r>
    </w:p>
    <w:p>
      <w:pPr>
        <w:spacing w:after="0" w:line="1" w:lineRule="exact"/>
        <w:rPr>
          <w:rFonts w:ascii="Arial" w:cs="Arial" w:eastAsia="Arial" w:hAnsi="Arial"/>
          <w:sz w:val="22"/>
          <w:szCs w:val="22"/>
          <w:color w:val="auto"/>
        </w:rPr>
      </w:pPr>
    </w:p>
    <w:p>
      <w:pPr>
        <w:jc w:val="both"/>
        <w:ind w:left="660"/>
        <w:spacing w:after="0" w:line="302" w:lineRule="auto"/>
        <w:rPr>
          <w:rFonts w:ascii="Arial" w:cs="Arial" w:eastAsia="Arial" w:hAnsi="Arial"/>
          <w:sz w:val="22"/>
          <w:szCs w:val="22"/>
          <w:color w:val="auto"/>
        </w:rPr>
      </w:pPr>
      <w:r>
        <w:rPr>
          <w:rFonts w:ascii="Times New Roman" w:cs="Times New Roman" w:eastAsia="Times New Roman" w:hAnsi="Times New Roman"/>
          <w:sz w:val="18"/>
          <w:szCs w:val="18"/>
          <w:color w:val="auto"/>
        </w:rPr>
        <w:t>design includes a a 6.6 kW bi-directional charge/discharge and consolidated DC-DC converter. For the higher-power traction inverter, and systems with 800 V-rated batteries, 1,200 V SiC is an optimized solution. We estimate GaN and SiC content per passenger EV to approximately $350 per vehicle. For trucks, buses and earth-moving equipment, OBCs may be up to 300 kW, and use higher-voltage distribution rails such as 1,000 V – which require 1,700 – 3,300 V SiC. Similar power and voltage requirements are found in roadside fast chargers.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By March 2023, over 75 million Navitas GaN devices have been shipped, with failure rates of less than one part per million. Over 240 mobile chargers that include Navitas GaN devices have entered mass production, with roughly 250 more in development. As of March 2023, based on publicly-available data, no other vendor has entered production with monolithically-integrated high-voltage GaN, other than simple diode-connected gate-protection transistors. We believe Navitas is the market and technology leader in GaN power ICs, with leading revenue, technology and intellectual property. To date, over 9 million GeneSiC products have shipped with excellent quality, and superior performance. We believe our key competitive advantages include:</w:t>
      </w: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Industry-Leading IP Position and Proprietary Design Support. </w:t>
      </w:r>
      <w:r>
        <w:rPr>
          <w:rFonts w:ascii="Times New Roman" w:cs="Times New Roman" w:eastAsia="Times New Roman" w:hAnsi="Times New Roman"/>
          <w:sz w:val="18"/>
          <w:szCs w:val="18"/>
          <w:color w:val="auto"/>
        </w:rPr>
        <w:t>Navitas has a broad portfolio of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21"/>
          <w:szCs w:val="21"/>
          <w:color w:val="auto"/>
        </w:rPr>
        <w:t>185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patents issued or pending,</w:t>
      </w:r>
    </w:p>
    <w:p>
      <w:pPr>
        <w:spacing w:after="0" w:line="53"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encompassing key aspects of GaN power circuitry as well as analog and digital integration as well as SiC device design. Our patents are generally applicable to use cases in all of our targeted market applications. A key element of our intellectual property is our GaN IC process design kit</w:t>
      </w:r>
    </w:p>
    <w:p>
      <w:pPr>
        <w:spacing w:after="0" w:line="1" w:lineRule="exact"/>
        <w:rPr>
          <w:rFonts w:ascii="Arial" w:cs="Arial" w:eastAsia="Arial" w:hAnsi="Arial"/>
          <w:sz w:val="22"/>
          <w:szCs w:val="22"/>
          <w:color w:val="auto"/>
        </w:rPr>
      </w:pPr>
    </w:p>
    <w:p>
      <w:pPr>
        <w:jc w:val="both"/>
        <w:ind w:left="660"/>
        <w:spacing w:after="0" w:line="289" w:lineRule="auto"/>
        <w:rPr>
          <w:rFonts w:ascii="Arial" w:cs="Arial" w:eastAsia="Arial" w:hAnsi="Arial"/>
          <w:sz w:val="22"/>
          <w:szCs w:val="22"/>
          <w:color w:val="auto"/>
        </w:rPr>
      </w:pPr>
      <w:r>
        <w:rPr>
          <w:rFonts w:ascii="Times New Roman" w:cs="Times New Roman" w:eastAsia="Times New Roman" w:hAnsi="Times New Roman"/>
          <w:sz w:val="18"/>
          <w:szCs w:val="18"/>
          <w:color w:val="auto"/>
        </w:rPr>
        <w:t>(PDK), which we use to facilitate and accelerate product implementation and end customer development. We believe our PDK includes the industry’s first and most mature and comprehensive device and circuit development libraries, characterization and verification tools, and robust simulation models.</w:t>
      </w:r>
    </w:p>
    <w:p>
      <w:pPr>
        <w:spacing w:after="0" w:line="31" w:lineRule="exact"/>
        <w:rPr>
          <w:rFonts w:ascii="Arial" w:cs="Arial" w:eastAsia="Arial" w:hAnsi="Arial"/>
          <w:sz w:val="22"/>
          <w:szCs w:val="22"/>
          <w:color w:val="auto"/>
        </w:rPr>
      </w:pPr>
    </w:p>
    <w:p>
      <w:pPr>
        <w:jc w:val="both"/>
        <w:ind w:left="660" w:hanging="328"/>
        <w:spacing w:after="0" w:line="275"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Differentiated GaN Power Solutions. </w:t>
      </w:r>
      <w:r>
        <w:rPr>
          <w:rFonts w:ascii="Times New Roman" w:cs="Times New Roman" w:eastAsia="Times New Roman" w:hAnsi="Times New Roman"/>
          <w:sz w:val="18"/>
          <w:szCs w:val="18"/>
          <w:color w:val="auto"/>
        </w:rPr>
        <w:t>Our integrated circuit approach to GaN power semiconductors eliminates complexity in driving, controlling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protecting GaN transistors while simultaneously fostering design simplicity. We have overcome key hurdles to commercialization with our proprietary GaN design and manufacturing test systems and are fully qualified with over one billion device hours tested to underscore reliability.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Industry-leading, Proprietary SiC Power Solutions. </w:t>
      </w:r>
      <w:r>
        <w:rPr>
          <w:rFonts w:ascii="Times New Roman" w:cs="Times New Roman" w:eastAsia="Times New Roman" w:hAnsi="Times New Roman"/>
          <w:sz w:val="18"/>
          <w:szCs w:val="18"/>
          <w:color w:val="auto"/>
        </w:rPr>
        <w:t>GeneSiC proprietary trench-assisted planar-gate MOSFET technology combines the best of</w:t>
      </w:r>
    </w:p>
    <w:p>
      <w:pPr>
        <w:spacing w:after="0" w:line="35"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Times New Roman" w:cs="Times New Roman" w:eastAsia="Times New Roman" w:hAnsi="Times New Roman"/>
          <w:sz w:val="18"/>
          <w:szCs w:val="18"/>
          <w:color w:val="auto"/>
        </w:rPr>
        <w:t>planar SiC (ease of manufacturing, robustness) with the best of trench SiC (low resistance, smaller die sizes). Navitas SiC MOSFETs have lower resistance than competitors at higher temperatures, and in head-to-head bench evaluations, run 25°C cooler, for 3x longer device life expectancy.</w:t>
      </w:r>
    </w:p>
    <w:p>
      <w:pPr>
        <w:spacing w:after="0" w:line="32" w:lineRule="exact"/>
        <w:rPr>
          <w:rFonts w:ascii="Arial" w:cs="Arial" w:eastAsia="Arial" w:hAnsi="Arial"/>
          <w:sz w:val="22"/>
          <w:szCs w:val="22"/>
          <w:color w:val="auto"/>
        </w:rPr>
      </w:pPr>
    </w:p>
    <w:p>
      <w:pPr>
        <w:ind w:left="660" w:hanging="328"/>
        <w:spacing w:after="0" w:line="280"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Enabling, high-frequency eco-system control and isolation technology. </w:t>
      </w:r>
      <w:r>
        <w:rPr>
          <w:rFonts w:ascii="Times New Roman" w:cs="Times New Roman" w:eastAsia="Times New Roman" w:hAnsi="Times New Roman"/>
          <w:sz w:val="18"/>
          <w:szCs w:val="18"/>
          <w:color w:val="auto"/>
        </w:rPr>
        <w:t>For performance- and cost-optimized applications, high-speed GaN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SiC power components are accompanied by high-frequency system control ICs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92" w:lineRule="auto"/>
        <w:rPr>
          <w:sz w:val="20"/>
          <w:szCs w:val="20"/>
          <w:color w:val="auto"/>
        </w:rPr>
      </w:pPr>
      <w:r>
        <w:rPr>
          <w:rFonts w:ascii="Times New Roman" w:cs="Times New Roman" w:eastAsia="Times New Roman" w:hAnsi="Times New Roman"/>
          <w:sz w:val="18"/>
          <w:szCs w:val="18"/>
          <w:color w:val="auto"/>
        </w:rPr>
        <w:t>and digital isolators. Navitas is unique in having a comprehensive eco-system that enables the high levels of integration from 30 W smartphone chargers to 22 kW EV chargers.</w:t>
      </w:r>
    </w:p>
    <w:p>
      <w:pPr>
        <w:spacing w:after="0" w:line="32" w:lineRule="exact"/>
        <w:rPr>
          <w:sz w:val="20"/>
          <w:szCs w:val="20"/>
          <w:color w:val="auto"/>
        </w:rPr>
      </w:pPr>
    </w:p>
    <w:p>
      <w:pPr>
        <w:jc w:val="both"/>
        <w:ind w:left="660" w:hanging="328"/>
        <w:spacing w:after="0" w:line="272"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Established Relationships with Key Partners and End Customers. </w:t>
      </w:r>
      <w:r>
        <w:rPr>
          <w:rFonts w:ascii="Times New Roman" w:cs="Times New Roman" w:eastAsia="Times New Roman" w:hAnsi="Times New Roman"/>
          <w:sz w:val="18"/>
          <w:szCs w:val="18"/>
          <w:color w:val="auto"/>
        </w:rPr>
        <w:t>In support of our technology leadership, we have formed relationships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numerous Tier 1 manufacturers and suppliers, gaining significant traction in mobile and consumer charging applications. To date, we have</w:t>
      </w:r>
    </w:p>
    <w:p>
      <w:pPr>
        <w:ind w:left="660" w:right="20"/>
        <w:spacing w:after="0" w:line="296" w:lineRule="auto"/>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partnered with all major mobile OEMs and brought over </w:t>
      </w:r>
      <w:r>
        <w:rPr>
          <w:rFonts w:ascii="Times New Roman" w:cs="Times New Roman" w:eastAsia="Times New Roman" w:hAnsi="Times New Roman"/>
          <w:sz w:val="21"/>
          <w:szCs w:val="21"/>
          <w:color w:val="auto"/>
        </w:rPr>
        <w:t>240</w:t>
      </w:r>
      <w:r>
        <w:rPr>
          <w:rFonts w:ascii="Times New Roman" w:cs="Times New Roman" w:eastAsia="Times New Roman" w:hAnsi="Times New Roman"/>
          <w:sz w:val="18"/>
          <w:szCs w:val="18"/>
          <w:color w:val="auto"/>
        </w:rPr>
        <w:t xml:space="preserve"> GaN charger models into mass production, with an additional </w:t>
      </w:r>
      <w:r>
        <w:rPr>
          <w:rFonts w:ascii="Times New Roman" w:cs="Times New Roman" w:eastAsia="Times New Roman" w:hAnsi="Times New Roman"/>
          <w:sz w:val="21"/>
          <w:szCs w:val="21"/>
          <w:color w:val="auto"/>
        </w:rPr>
        <w:t>250</w:t>
      </w:r>
      <w:r>
        <w:rPr>
          <w:rFonts w:ascii="Times New Roman" w:cs="Times New Roman" w:eastAsia="Times New Roman" w:hAnsi="Times New Roman"/>
          <w:sz w:val="18"/>
          <w:szCs w:val="18"/>
          <w:color w:val="auto"/>
        </w:rPr>
        <w:t xml:space="preserve"> charger models in development.</w:t>
      </w:r>
    </w:p>
    <w:p>
      <w:pPr>
        <w:spacing w:after="0" w:line="32" w:lineRule="exact"/>
        <w:rPr>
          <w:rFonts w:ascii="Arial" w:cs="Arial" w:eastAsia="Arial" w:hAnsi="Arial"/>
          <w:sz w:val="22"/>
          <w:szCs w:val="22"/>
          <w:color w:val="auto"/>
        </w:rPr>
      </w:pPr>
    </w:p>
    <w:p>
      <w:pPr>
        <w:jc w:val="both"/>
        <w:ind w:left="660" w:hanging="328"/>
        <w:spacing w:after="0" w:line="276"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Dedicated Application-Specific Design Centers. </w:t>
      </w:r>
      <w:r>
        <w:rPr>
          <w:rFonts w:ascii="Times New Roman" w:cs="Times New Roman" w:eastAsia="Times New Roman" w:hAnsi="Times New Roman"/>
          <w:sz w:val="18"/>
          <w:szCs w:val="18"/>
          <w:color w:val="auto"/>
        </w:rPr>
        <w:t>We believe we are unique in adding application-specific design centers for mobile, data center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EV, which allow us to develop GaN-/SiC-based power systems working with key customers in each of these segments, driving additional value with these customers and fueling additional system-led integration back in to our GaN ICs for future generations. Additional Navitas-customer co-development design centers have been established in EV and mobile, with Navitas engineering teams embedded at customer sites.</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Proven Leadership Team of Tenured Industry Experts. </w:t>
      </w:r>
      <w:r>
        <w:rPr>
          <w:rFonts w:ascii="Times New Roman" w:cs="Times New Roman" w:eastAsia="Times New Roman" w:hAnsi="Times New Roman"/>
          <w:sz w:val="18"/>
          <w:szCs w:val="18"/>
          <w:color w:val="auto"/>
        </w:rPr>
        <w:t>Navitas’ management team has over 400 years of combined power semiconductor</w:t>
      </w:r>
    </w:p>
    <w:p>
      <w:pPr>
        <w:spacing w:after="0" w:line="35" w:lineRule="exact"/>
        <w:rPr>
          <w:rFonts w:ascii="Arial" w:cs="Arial" w:eastAsia="Arial" w:hAnsi="Arial"/>
          <w:sz w:val="22"/>
          <w:szCs w:val="22"/>
          <w:color w:val="auto"/>
        </w:rPr>
      </w:pPr>
    </w:p>
    <w:p>
      <w:pPr>
        <w:jc w:val="both"/>
        <w:ind w:left="660"/>
        <w:spacing w:after="0" w:line="305" w:lineRule="auto"/>
        <w:rPr>
          <w:rFonts w:ascii="Arial" w:cs="Arial" w:eastAsia="Arial" w:hAnsi="Arial"/>
          <w:sz w:val="22"/>
          <w:szCs w:val="22"/>
          <w:color w:val="auto"/>
        </w:rPr>
      </w:pPr>
      <w:r>
        <w:rPr>
          <w:rFonts w:ascii="Times New Roman" w:cs="Times New Roman" w:eastAsia="Times New Roman" w:hAnsi="Times New Roman"/>
          <w:sz w:val="18"/>
          <w:szCs w:val="18"/>
          <w:color w:val="auto"/>
        </w:rPr>
        <w:t>experience and a track record of shareholder value creation. Three of Navitas’ founders have worked closely together for over 25 years and are credited with power semiconductor industry achievements and successes that include over 200 issued patents and 200 industry papers and presentations.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are committed to offering unprecedented speed and efficiency to our end-customers through next-generation power semiconductor solutions, empowering an efficient electrification of the planet while also reducing carbon footprint. Navitas products address a variety of power applications from 20 W to 20 MW, across markets including mobile/consumer, data centers, home appliance/industrial, solar/storage and EV. With an established track record in mobile fast charging, over 75 million GaN units shipped, and a 20-year limited warranty on GaNFast power ICs, Navitas is well positioned to expand GaN into higher power applications, and accelerate adoption of the expansive GeneSiC SiC portfolio. Our key strategic initiatives include:</w:t>
      </w:r>
    </w:p>
    <w:p>
      <w:pPr>
        <w:spacing w:after="0" w:line="1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Acceleration of Technology Development and Innovation. </w:t>
      </w:r>
      <w:r>
        <w:rPr>
          <w:rFonts w:ascii="Times New Roman" w:cs="Times New Roman" w:eastAsia="Times New Roman" w:hAnsi="Times New Roman"/>
          <w:sz w:val="18"/>
          <w:szCs w:val="18"/>
          <w:color w:val="auto"/>
        </w:rPr>
        <w:t>We are focused on bringing to market multiple generations of high-voltage GaN, SiC,</w:t>
      </w:r>
    </w:p>
    <w:p>
      <w:pPr>
        <w:spacing w:after="0" w:line="35"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Times New Roman" w:cs="Times New Roman" w:eastAsia="Times New Roman" w:hAnsi="Times New Roman"/>
          <w:sz w:val="18"/>
          <w:szCs w:val="18"/>
          <w:color w:val="auto"/>
        </w:rPr>
        <w:t>and low-voltage Si controller technology that enhance our margin profile while providing further integration benefits and advanced packaging to serve higher power markets.</w:t>
      </w:r>
    </w:p>
    <w:p>
      <w:pPr>
        <w:spacing w:after="0" w:line="32" w:lineRule="exact"/>
        <w:rPr>
          <w:rFonts w:ascii="Arial" w:cs="Arial" w:eastAsia="Arial" w:hAnsi="Arial"/>
          <w:sz w:val="22"/>
          <w:szCs w:val="22"/>
          <w:color w:val="auto"/>
        </w:rPr>
      </w:pPr>
    </w:p>
    <w:p>
      <w:pPr>
        <w:jc w:val="both"/>
        <w:ind w:left="660" w:hanging="328"/>
        <w:spacing w:after="0" w:line="275"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Expansion into New End Markets and Geographies. </w:t>
      </w:r>
      <w:r>
        <w:rPr>
          <w:rFonts w:ascii="Times New Roman" w:cs="Times New Roman" w:eastAsia="Times New Roman" w:hAnsi="Times New Roman"/>
          <w:sz w:val="18"/>
          <w:szCs w:val="18"/>
          <w:color w:val="auto"/>
        </w:rPr>
        <w:t>Building on our initial success in mobile fast charging and consumer electronics, Navitas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poised for expansion into new market applications including data centers, solar and renewable energy as well as electric vehicles and mobility. Our fabless manufacturing model allows us to scale efficiently into new markets and applications while minimizing capital expenditures.</w:t>
      </w:r>
    </w:p>
    <w:p>
      <w:pPr>
        <w:spacing w:after="0" w:line="32" w:lineRule="exact"/>
        <w:rPr>
          <w:rFonts w:ascii="Arial" w:cs="Arial" w:eastAsia="Arial" w:hAnsi="Arial"/>
          <w:sz w:val="22"/>
          <w:szCs w:val="22"/>
          <w:color w:val="auto"/>
        </w:rPr>
      </w:pPr>
    </w:p>
    <w:p>
      <w:pPr>
        <w:jc w:val="both"/>
        <w:ind w:left="660" w:hanging="328"/>
        <w:spacing w:after="0" w:line="269"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Selective Acquisitions of Complementary Technologies. </w:t>
      </w:r>
      <w:r>
        <w:rPr>
          <w:rFonts w:ascii="Times New Roman" w:cs="Times New Roman" w:eastAsia="Times New Roman" w:hAnsi="Times New Roman"/>
          <w:sz w:val="18"/>
          <w:szCs w:val="18"/>
          <w:color w:val="auto"/>
        </w:rPr>
        <w:t>We plan to continually evaluate acquisition opportunities that are complementary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portfolio and increase power semiconductor content in our targeted applications. In 2022, Navitas acquired VDD Tech (Belgium) for</w:t>
      </w:r>
    </w:p>
    <w:p>
      <w:pPr>
        <w:spacing w:after="0" w:line="1" w:lineRule="exact"/>
        <w:rPr>
          <w:rFonts w:ascii="Arial" w:cs="Arial" w:eastAsia="Arial" w:hAnsi="Arial"/>
          <w:sz w:val="22"/>
          <w:szCs w:val="22"/>
          <w:color w:val="auto"/>
        </w:rPr>
      </w:pPr>
    </w:p>
    <w:p>
      <w:pPr>
        <w:ind w:left="660"/>
        <w:spacing w:after="0" w:line="287" w:lineRule="auto"/>
        <w:rPr>
          <w:rFonts w:ascii="Arial" w:cs="Arial" w:eastAsia="Arial" w:hAnsi="Arial"/>
          <w:sz w:val="22"/>
          <w:szCs w:val="22"/>
          <w:color w:val="auto"/>
        </w:rPr>
      </w:pPr>
      <w:r>
        <w:rPr>
          <w:rFonts w:ascii="Times New Roman" w:cs="Times New Roman" w:eastAsia="Times New Roman" w:hAnsi="Times New Roman"/>
          <w:sz w:val="18"/>
          <w:szCs w:val="18"/>
          <w:color w:val="auto"/>
        </w:rPr>
        <w:t>high-speed digital isolator technology and GeneSiC Semiconductor (USA) for SiC MOSFETs and diodes. In 2023, Navitas bought-out the remainder of a joint venture with Halo Microelectronics (Taiwan) for high-speed, low-voltage silicon system controllers.</w:t>
      </w:r>
    </w:p>
    <w:p>
      <w:pPr>
        <w:jc w:val="both"/>
        <w:ind w:left="660" w:hanging="328"/>
        <w:spacing w:after="0" w:line="24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Leadership in Sustainability. </w:t>
      </w:r>
      <w:r>
        <w:rPr>
          <w:rFonts w:ascii="Times New Roman" w:cs="Times New Roman" w:eastAsia="Times New Roman" w:hAnsi="Times New Roman"/>
          <w:sz w:val="18"/>
          <w:szCs w:val="18"/>
          <w:color w:val="auto"/>
        </w:rPr>
        <w:t>Through Navitas analysis and third-party auditing, we estimate that each GaN power IC shipped saves a net 4 kg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and that to date, over 150,000 tons of CO2 have been saved vs. legacy silicon solutions. Overall, by the target date of the Paris Accord, we estimate that GaN and SiC can reduce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by over 6 Gtons per year. Navitas was the first pure-play semiconductor to publish a quantitative, third-party-verified sustainability report, and the first semiconductor company worldwide to be certified Carbon Neutral™. Each customer can adapt the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footprint-reduction value of GaN and SiC to achieve their own sustainability analysis and commitments.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End Customer Support</w:t>
      </w:r>
    </w:p>
    <w:p>
      <w:pPr>
        <w:spacing w:after="0" w:line="162"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8"/>
          <w:szCs w:val="18"/>
          <w:color w:val="auto"/>
        </w:rPr>
        <w:t>For GaN, our go-to-market strategy combines robust GaN commercialization and design expertise with validated success in mobile and consumer charging applications to capture market share and expand into new verticals. We partner with numerous platforms and end customers globally and target innovative, Tier 1 suppliers to design differentiated power semiconductor solutions. To facilitate end customer success, we offer comprehensive design support and utilize a proprietary process design kit tailored to specific engineering needs. Navitas is unique in opening three, separate, system-dedicated application design centers to accelerate adoption of GaN and SiC into fast chargers, data centers and EV. Furthermore, our technologies are capable of being integrated into numerous product generations and design architectures, creating a unique scalable business opportunity. This technical business-to-business (B2B) approach is supplemented by commercial business-to-consumer (B2C) end-user awareness, and customer co-operative activities across in-person and virtual multi-media platforms.</w:t>
      </w:r>
    </w:p>
    <w:p>
      <w:pPr>
        <w:spacing w:after="0" w:line="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Key distribution partners provide additional field application engineer resources to assist with expanding our market to a diversified end customer base. In addition, Navitas’ direct sales team works to facilitate development of new end customer partnerships with our distribution partners. With a focus on leading global clients, Navitas is well positioned to expand both its existing end customer base and enter new markets in the near-term, while maintaining its current market leadership position in mobile fast charging.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core strength of our business lies in our industry-leading IP position in GaN power ICs and SiC MOSFETs. We invented the first commercial GaN power ICs and along the way have patented many fundamental circuit elements which are needed in most power systems from 20 W to 20 kW. We have more than 185 issued or pending patents, which are expected to expire between the end of 2034 and February of 2041.</w:t>
      </w:r>
    </w:p>
    <w:p>
      <w:pPr>
        <w:spacing w:after="0" w:line="7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 key element of our intellectual property is our GaN IC process design kit (PDK), which we use to facilitate and accelerate product implementation and end customer development. We believe our PDK includes the industry’s first and most mature and comprehensive device and circuit development libraries, characterization and verification tools, and robust simulation models.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competitors include suppliers of silicon-based and GaN-based power semiconductors. Most suppliers of GaN-based devices today offer discrete (i.e., non-integrated) GaN solutions, which require silicon-based and other components for drive, control and protection. These solutions, even though they offer some benefits compared to silicon, still do not capture all the advantages of a GaN integrated power IC that Navitas provides. Our primary GaN competitors include Infineon Technologies AG, GaN Systems, Inc., Power Integrations, Inc., Texas Instruments Incorporated, Innoscience, Transphorm, Inc. and Efficient Power Conversion Corporation (EPC). Primary SiC competitors include Infineon, Wolfspeed, ON Semiconductor, ROHM, Qorvo, and STMicroelectronics.</w:t>
      </w:r>
    </w:p>
    <w:p>
      <w:pPr>
        <w:spacing w:after="0" w:line="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primary silicon-based power semiconductor competitors include Infineon, STMicroelectronics International N.V., ON Semiconductor Corporation (onsemi) and Power Integrations, among others. Silicon-based power devices are still the incumbent solutions used for power applications and currently have a lower-cost advantage. However, given the speed, power and size advantages of an integrated GaN IC over a silicon solution, coupled with expected cost reductions, we expect to cross the cost-parity point with silicon and achieve GaN-based power systems that are lower cost than their silicon counterparts by the end of 2023. In higher-power systems, such as kW-level data center supplies, the price-parity point has already been reached, based on customer feedback.</w:t>
      </w:r>
    </w:p>
    <w:p>
      <w:pPr>
        <w:spacing w:after="0" w:line="7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While we believe system cost parity for GaN-based mobile chargers in excess of 30W will reach system cost parity with silicon-based chargers during 2023, there are inherent risks that such cost parity may not be achieved. Those risks include:</w:t>
      </w:r>
    </w:p>
    <w:p>
      <w:pPr>
        <w:spacing w:after="0" w:line="67" w:lineRule="exact"/>
        <w:rPr>
          <w:sz w:val="20"/>
          <w:szCs w:val="20"/>
          <w:color w:val="auto"/>
        </w:rPr>
      </w:pPr>
    </w:p>
    <w:p>
      <w:pPr>
        <w:ind w:left="660" w:hanging="328"/>
        <w:spacing w:after="0" w:line="302" w:lineRule="auto"/>
        <w:tabs>
          <w:tab w:leader="none" w:pos="648"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GaN wafer and assembly (packaging) prices may not be reduced by suppliers as fast as expected or committed, especially if global semiconductor shortages continue.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328"/>
        <w:spacing w:after="0" w:line="302" w:lineRule="auto"/>
        <w:tabs>
          <w:tab w:leader="none" w:pos="648"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GaN manufacturing yields, while demonstrated over 90% on a stable, multi-month basis, could deteriorate causing manufacturing costs of GaN IC to increase.</w:t>
      </w:r>
    </w:p>
    <w:p>
      <w:pPr>
        <w:spacing w:after="0" w:line="84" w:lineRule="exact"/>
        <w:rPr>
          <w:rFonts w:ascii="Arial" w:cs="Arial" w:eastAsia="Arial" w:hAnsi="Arial"/>
          <w:sz w:val="20"/>
          <w:szCs w:val="20"/>
          <w:color w:val="auto"/>
        </w:rPr>
      </w:pPr>
    </w:p>
    <w:p>
      <w:pPr>
        <w:ind w:left="660" w:hanging="328"/>
        <w:spacing w:after="0" w:line="302" w:lineRule="auto"/>
        <w:tabs>
          <w:tab w:leader="none" w:pos="648"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The cost of silicon controllers, which are an important complement to GaN power ICs used in all mobile chargers, is expected to decrease, but price increases could occur, particularly if global semiconductor shortages continue. Such costs are not directly controlled by Navitas.</w:t>
      </w:r>
    </w:p>
    <w:p>
      <w:pPr>
        <w:spacing w:after="0" w:line="84" w:lineRule="exact"/>
        <w:rPr>
          <w:rFonts w:ascii="Arial" w:cs="Arial" w:eastAsia="Arial" w:hAnsi="Arial"/>
          <w:sz w:val="20"/>
          <w:szCs w:val="20"/>
          <w:color w:val="auto"/>
        </w:rPr>
      </w:pPr>
    </w:p>
    <w:p>
      <w:pPr>
        <w:jc w:val="both"/>
        <w:ind w:left="660" w:hanging="328"/>
        <w:spacing w:after="0" w:line="281" w:lineRule="auto"/>
        <w:tabs>
          <w:tab w:leader="none" w:pos="648"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Passive and mechanical components (inductors, transformers, capacitors, printed circuit boards (PCBs), plastic housings, and others) are an important complement to GaN power ICs used in all mobile chargers and contribute to cost reduction as they generally decrease in size, weight and cost as GaN increases charger switching frequency compared to silicon-based chargers. Although we expect these cost reductions for passive</w:t>
      </w:r>
    </w:p>
    <w:p>
      <w:pPr>
        <w:spacing w:after="0" w:line="2" w:lineRule="exact"/>
        <w:rPr>
          <w:rFonts w:ascii="Arial" w:cs="Arial" w:eastAsia="Arial" w:hAnsi="Arial"/>
          <w:sz w:val="20"/>
          <w:szCs w:val="20"/>
          <w:color w:val="auto"/>
        </w:rPr>
      </w:pPr>
    </w:p>
    <w:p>
      <w:pPr>
        <w:ind w:left="660"/>
        <w:spacing w:after="0" w:line="313" w:lineRule="auto"/>
        <w:rPr>
          <w:rFonts w:ascii="Arial" w:cs="Arial" w:eastAsia="Arial" w:hAnsi="Arial"/>
          <w:sz w:val="20"/>
          <w:szCs w:val="20"/>
          <w:color w:val="auto"/>
        </w:rPr>
      </w:pPr>
      <w:r>
        <w:rPr>
          <w:rFonts w:ascii="Times New Roman" w:cs="Times New Roman" w:eastAsia="Times New Roman" w:hAnsi="Times New Roman"/>
          <w:sz w:val="18"/>
          <w:szCs w:val="18"/>
          <w:color w:val="auto"/>
        </w:rPr>
        <w:t>and mechanical components to continue, it is possible that they will not materialize as expected, and such costs are not directly controlled by Navitas.</w:t>
      </w:r>
    </w:p>
    <w:p>
      <w:pPr>
        <w:spacing w:after="0" w:line="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Some of the above-mentioned risk factors are associated with existing or potential shortages in the semiconductor industry. However, it is also likely that corresponding components in silicon-based chargers will increase in cost independent of the shortages, allowing GaN-based chargers to still achieve the forecasted system cost parity in 2023 on a relative basis. The SiC market is currently supply-restricted, and Navitas has entered into long-term supply agreements to increase raw-material availability and manufacturing by 5x, starting in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Manufacturability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a fabless business model, working with third parties to manufacture, assemble and test our products.</w:t>
      </w:r>
    </w:p>
    <w:p>
      <w:pPr>
        <w:spacing w:after="0" w:line="15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Navitas devices are fabricated in a layer of GaN sitting on a silicon substrate (known as “GaN-on-Si”). This combination traditionally posed several challenges due to physical dissimilarities in the materials and resulting defect densities, which translated into poor manufacturing, low yields, high costs, and poor reliability. We have spent a significant amount of our history working to solve these problems through process and design improvements and test methods. As a result of these efforts, we have achieved stable, predictable, and consistent yields of well over 90%.</w:t>
      </w:r>
    </w:p>
    <w:p>
      <w:pPr>
        <w:spacing w:after="0" w:line="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Gallium is produced primarily as a byproduct from the production of bauxite, the chief ore of aluminum. 2017 world production capacity is estimated at over 1,000 tons (low-grade and refined), and is estimated to be growing at about 15% per year, with a supply potential of over 2,000 tons sourced from many countries. Semiconductor applications dominate the commercial demand for gallium, representing 98% of its use, which includes microwave circuits, ultra high-speed logic chips, LEDs, laser diodes and, as is the case for Navitas GaN power ICs, in power electronics. Gallium is not considered a rare or precious metal. GaN power ICs typically use only 95ug of Gallium in the manufacture of a single GaN power IC. We expect Navitas will consume less than .01% of the 2,000 tons estimated annual supply potential by 2026.</w:t>
      </w:r>
    </w:p>
    <w:p>
      <w:pPr>
        <w:spacing w:after="0" w:line="41"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18"/>
          <w:szCs w:val="18"/>
          <w:color w:val="auto"/>
        </w:rPr>
        <w:t>Our wafer fab partner since inception has been Taiwan Semiconductor Manufacturing Company (TSMC). We have worked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 GaN-based product manufacturing capabilities with TSMC, which has invested significant capital to develop this capability. Although we have no volume-contracted commitments with TSMC, and work on the basis of purchase orders, our volumes of GaN products in TSMC wafer fabs are critical to the utilization and efficiency of TSMC’s GaN-specific infrastructure. TSMC operates as a leading global supplier, with significant capacity to meet our growth needs. Our process is compatible with multiple complementary metal-oxide-semiconductor (“CMOS”) foundries with the addition of a small number of GaN-specific process modules.</w:t>
      </w:r>
    </w:p>
    <w:p>
      <w:pPr>
        <w:spacing w:after="0" w:line="11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Navitas GeneSiC SiC products are manufactured by X-Fab in Lubbock TX, on 150 mm wafers, with high yields and lead times around half that of competitors. Long term supply agreements with X-Fab and raw wafer suppliers have been signed to establish capacity increases of 5x from 2022, starting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62"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Navitas has invested its time and effort to carefully develop its proprietary GaN IC chips for power electronics and semiconductor applications. Our experienced teams around the world have made GaN adoption a reality as many end customers in different end markets start to realize the true potential of our GaN power ICs. In order to protect our market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8"/>
          <w:szCs w:val="18"/>
          <w:color w:val="auto"/>
        </w:rPr>
        <w:t>leadership in GaN ICs, we continually look to innovate and improve our GaN ICs, to achieve greater efficiency, integration and speed at lower costs. We evaluate various complementary technologies, look to improve our PDK and hope to keep introducing newer generations of GaN technology. In 2022, Navitas acquired GeneSiC Semiconductor (USA) for SiC MOSFETs and diodes with plans to accelerate research and development and adoption of the expansive GeneSiC SiC portfolio. Navitas’ research and development activities are located primarily in the U.S., China and Taiwan.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believe we are the first company to publish a sustainability report that comprehensively quantifies the positive impact of GaN power semiconductors on climate change based on global standards. Our report includes a third-party Lifecycle Assessment (LCA) of GaN technology according to ISO14040/14044, the international standard for assessing environmental impacts throughout a product’s life cycle—from raw material acquisition through production, use, end-of-life treatment, recycling and final disposal. The Navitas report also quantifies corporate greenhouse gas (GHG) impacts through 3rd party assessments. We estimate that each GaN power IC shipped saves a net 4 kg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Combined, GaN and SiC are estimated to save an aggregate of 6 Gtons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per year by 2050.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of December 31, 2022, our worldwide workforce consisted of 230 full and part-time employees. Our approach to compensation attempts to align the interests of every employee with the creation of company value over time. The Company offers a wide variety of benefits for employees around the world and invests in tools and resources that are designed to support employees' individual growth and development.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Business and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cyclical nature of the semiconductor industry may limit our ability to maintain or improve our net sales and profitability.</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semiconductor industry is highly cyclical and is prone to significant downturns from time to time. Cyclical downturns can result in substantial declines in semiconductor demand, production overcapacity, high inventory levels and accelerated erosion of average selling prices. Such downturns result from a variety of market forces including constant and rapid technological change, quick product obsolescence, price erosion, evolving standards, short product life cycles and wide fluctuations in product supply and demand.</w:t>
      </w:r>
    </w:p>
    <w:p>
      <w:pPr>
        <w:spacing w:after="0" w:line="13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the past several years, downturns in the semiconductor industry have been attributed to a variety of factors including the current Covid-19 pandemic, ongoing trade disputes between the United States and China, weakness in demand and pricing for semiconductors across applications, and excess inventory. These downturns have directly impacted our business, suppliers, distributors and end customers.</w:t>
      </w:r>
    </w:p>
    <w:p>
      <w:pPr>
        <w:spacing w:after="0" w:line="1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Additionally, our products are used across different end markets, and demand for our products is difficult to predict and may vary within or among mobile, consumer electronics, data center/enterprise, solar and EV markets. Our target markets may not grow or develop as we currently expect, and demand may increase or change in one or more of our end markets. Changes in demand may reduce our revenue, lower our gross margins and affect our operating results. We have experienced concentrations of revenue at certain end customers and within certain end markets, and we regularly compete for design opportunities at these end customers and within these markets. Any deterioration in these end markets, reductions in the magnitude of revenue streams, our inability to meet design and pricing requirements, or volatility in demand for our products could lead to a reduction in revenue and adversely affect our operating results. Our success in our end markets depends on many factors, including the strength or financial performance of the end customers in our end markets, our ability to timely meet rapidly changing product requirements, market needs, and our ability to maintain design wins across different markets and end customers to dampen the effects of market volatility. The dynamics of the markets in which we operate make it difficult to predict and react to these events.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If we are unable to accomplish any of the foregoing, or to offset the volatility of cyclical changes in the semiconductor industry or our end markets through diversification into other markets, it could harm our business, financial condition and operating results.</w:t>
      </w:r>
    </w:p>
    <w:p>
      <w:pPr>
        <w:spacing w:after="0" w:line="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Conversely, significant upturns could cause us to be unable to satisfy demand in a timely and cost-efficient manner and could result in increased competition for access to third-party foundry, assembly and testing capacity. We are dependent on the availability of this capacity to manufacture and assemble our products and we can provide no assurance that adequate capacity will be available to us in the future. In the event of such an upturn, we may not be able to expand our workforce and operations in a sufficiently timely manner, procure adequate resources and raw materials, or locate suitable suppliers or other subcontractors to respond effectively to changes in demand for our existing products or to the demand for new products. As a result, our business, financial condition and results of operations could be materially and adversely affected.</w:t>
      </w:r>
    </w:p>
    <w:p>
      <w:pPr>
        <w:spacing w:after="0" w:line="120"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Downturns or volatility in general economic conditions could have a material adverse effect on our business, financial condition, results of operations and liquidity.</w:t>
      </w:r>
    </w:p>
    <w:p>
      <w:pPr>
        <w:spacing w:after="0" w:line="9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Our net sales and profitability depend significantly on general economic conditions and the demand for the end products in the markets in which our end customers compete. Weaknesses in the global economy and financial markets, including, for example, weaknesses resulting from the Covid-19 pandemic, have led to lower demand in some of our target markets. Economic uncertainty affects businesses such as ours in a number of ways, making it difficult to accurately forecast and plan. A decline in end-user demand can affect the need that end customers have for our products, and the tightening of credit in financial markets may lead consumers and businesses to postpone spending, either of which may cause our end customers to cancel, decrease or delay their existing and future orders with us. Adverse changes in economic conditions, including any recession, economic slowdown or disruption of credit markets, may also lead to lower demand for our products. In addition, financial difficulties experienced by our suppliers or distributors could result in product delays, increased accounts receivable defaults and inventory challenges.</w:t>
      </w:r>
    </w:p>
    <w:p>
      <w:pPr>
        <w:spacing w:after="0" w:line="1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addition, any disruption in the credit markets could impede our access to capital. If there is limited access to additional financing sources, we may be required to defer capital expenditures or seek other sources of liquidity, which may not be available on acceptable terms or at all. Similarly, if our suppliers face challenges in obtaining credit or other financial difficulties, they may be unable to provide the necessary materials or services to us.</w:t>
      </w:r>
    </w:p>
    <w:p>
      <w:pPr>
        <w:spacing w:after="0" w:line="11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Demand for our products is a function of the health of the economies of the United States, Europe, China and the rest of Asia. We cannot predict the timing, strength or duration of any economic disruptions or subsequent economic recoveries from such disruptions worldwide, in our industry, or in the different markets that we serve. For example, we cannot predict the success of government, business and other efforts to recover from the economic disruptions that have resulted from the Covid-19 pandemic. We also may not accurately assess the impact of changing market and economic conditions on our business and operations. These and other economic factors have had, and may in the future have, a material adverse effect on demand for our products and on our financial condition and operating results.</w:t>
      </w:r>
    </w:p>
    <w:p>
      <w:pPr>
        <w:spacing w:after="0" w:line="12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All of these factors related to global economic conditions, which are beyond our control, could adversely impact our business, financial condition, results of operations and liquidity.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difficulties integrating the operations and business of GeneSiC with our own.</w:t>
      </w:r>
    </w:p>
    <w:p>
      <w:pPr>
        <w:spacing w:after="0" w:line="29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Our acquisition of GeneSiC is the first significant acquisition we have ever undertaken. Although GeneSiC is a stand-alone business of which is continuing operations as a Navitas subsidiary, the complexities involved in the integration and expansion of GeneSiC as part of our Company are not yet fully understood. We have devoted and expect to continue to devote a significant amount of time and attention to integrating GeneSiC into our existing operations teams.</w:t>
      </w:r>
    </w:p>
    <w:p>
      <w:pPr>
        <w:spacing w:after="0" w:line="20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Given our relatively small size and relative inexperience with acquisitions, we expect the challenges involved in this integration to be complex and time consuming. Among other risks that arise from these challenges, we may not be successful in our efforts to: (1) integrate new employees with our existing teams; (2) integrate and align numerous business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and work processes, including information technology and cyber security systems; (3) demonstrate that the GeneSiC acquisition will not adversely affect our ability to address the needs of existing customers, or result in the loss of attention or focus on our existing businesses; (4) coordinate and integrate research and development and engineering teams across technologies and product platforms; (5) consolidate and integrate corporate, information technology, finance and administrative processes; (6) coordinate sales and marketing efforts to effectively position our capabilities and the direction of product development; and (7) minimize diversion of management attention from important business objectives.</w:t>
      </w:r>
    </w:p>
    <w:p>
      <w:pPr>
        <w:spacing w:after="0" w:line="21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If we do not successfully manage these issues and the other challenges inherent in the GeneSiC acquisition, then we may not achieve the anticipated benefits of the transaction. As a result, our post-acquisition revenue, expenses, results of operations and financial condition could be materially adversely affected, any of which could materially adversely affect the trading price of our common stock.</w:t>
      </w:r>
    </w:p>
    <w:p>
      <w:pPr>
        <w:spacing w:after="0" w:line="192"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integrate the GeneSiC and Navitas businesses and operations successfully, we may not realize the growth and other opportunities that are anticipated from the GeneSiC acquisition.</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benefits that we expect to achieve as a result of the GeneSiC acquisition will depend, in part, on our ability to realize anticipated growth and profitability opportunities. Even if we are able to integrate the GeneSiC and Navitas businesses and operations successfully, despite the risks identified in the preceding risk factor, the integration may not result in the realization of the full benefits of the growth and profitability opportunities we currently expect within the anticipated time frame or at all. For example, we may incur substantial expenses in connection with the integration of the GeneSiC business, which are difficult to estimate accurately, and may exceed current estimates. We may need to invest in additional business processes and systems to support the GeneSiC business within Navitas, which may be more complex or costly than the processes and systems needed to operate GeneSiC before the acquisition. Such additional costs would offset the financial benefits realized from the acquisition.</w:t>
      </w:r>
    </w:p>
    <w:p>
      <w:pPr>
        <w:spacing w:after="0" w:line="205" w:lineRule="exact"/>
        <w:rPr>
          <w:sz w:val="20"/>
          <w:szCs w:val="20"/>
          <w:color w:val="auto"/>
        </w:rPr>
      </w:pPr>
    </w:p>
    <w:p>
      <w:pPr>
        <w:ind w:right="740"/>
        <w:spacing w:after="0" w:line="329" w:lineRule="auto"/>
        <w:rPr>
          <w:sz w:val="20"/>
          <w:szCs w:val="20"/>
          <w:color w:val="auto"/>
        </w:rPr>
      </w:pPr>
      <w:r>
        <w:rPr>
          <w:rFonts w:ascii="Times New Roman" w:cs="Times New Roman" w:eastAsia="Times New Roman" w:hAnsi="Times New Roman"/>
          <w:sz w:val="18"/>
          <w:szCs w:val="18"/>
          <w:color w:val="auto"/>
        </w:rPr>
        <w:t>Since we have significant operations and revenues in China, our business development plans, results of operations and financial condition may be materially and adversely affected by significant political, social and economic developments in China.</w:t>
      </w:r>
    </w:p>
    <w:p>
      <w:pPr>
        <w:spacing w:after="0" w:line="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slowdown in economic growth in China could adversely impact our end customers, prospective end customers, suppliers, distributors and partners in China, which could have a material adverse effect on our results of operations and financial condition.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by health epidemics and outbreaks such as the global Covid-19 pandemic.</w:t>
      </w:r>
    </w:p>
    <w:p>
      <w:pPr>
        <w:spacing w:after="0" w:line="202" w:lineRule="exact"/>
        <w:rPr>
          <w:sz w:val="20"/>
          <w:szCs w:val="20"/>
          <w:color w:val="auto"/>
        </w:rPr>
      </w:pPr>
    </w:p>
    <w:p>
      <w:pPr>
        <w:jc w:val="both"/>
        <w:spacing w:after="0" w:line="248" w:lineRule="exact"/>
        <w:rPr>
          <w:sz w:val="20"/>
          <w:szCs w:val="20"/>
          <w:color w:val="auto"/>
        </w:rPr>
      </w:pPr>
      <w:r>
        <w:rPr>
          <w:rFonts w:ascii="Times New Roman" w:cs="Times New Roman" w:eastAsia="Times New Roman" w:hAnsi="Times New Roman"/>
          <w:sz w:val="18"/>
          <w:szCs w:val="18"/>
          <w:color w:val="auto"/>
        </w:rPr>
        <w:t>In connection with the Covid-19 pandemic, governments have implemented significant measures, including closures, quarantines, travel restrictions and other social distancing directives, intended to control the spread of 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there is likely to be an adverse impact on global economic conditions and consumer confidence and spending, which could materially and adversely affect our operations and demand for our products.</w:t>
      </w:r>
    </w:p>
    <w:p>
      <w:pPr>
        <w:spacing w:after="0" w:line="17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addition, the Covid-19 pandemic has negatively impacted, and may continue to impact, the global semiconductor supply chain, resulting in shortages in supply. These shortages may result in delays in manufacturing for our products and harm our ability to execute on our backlog and our business,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Covid-19 pandemic has also caused significant uncertainty and volatility in global financial markets and the trading prices for the securities of technology companies.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the company’s common stock.</w:t>
      </w:r>
    </w:p>
    <w:p>
      <w:pPr>
        <w:spacing w:after="0" w:line="119"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believe that we have experienced some delay and disruption in the manufacture, shipment, and sales of, and overall demand for, our products. In addition, we believe the production capabilities of our suppliers has been, and will likely continue to be, impacted as a result of quarantines, closures of production facilities, lack of supplies, or delays caused by restrictions on travel or work-from-home orders. The continued disruption in the manufacture, shipment and sales of our products may negatively and materially impact our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us, our suppliers and/or our end customers. As a result, the effects of the Covid-19 pandemic could have a material adverse impact on our business, results of operations and financial condition for the remainder of 2023 and beyond.</w:t>
      </w:r>
    </w:p>
    <w:p>
      <w:pPr>
        <w:spacing w:after="0" w:line="12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is highly competitive. If we are not able to compete successfully, our business, financial results and future prospects will be harmed.</w:t>
      </w:r>
    </w:p>
    <w:p>
      <w:pPr>
        <w:spacing w:after="0" w:line="10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semiconductor industry is highly competitive and characterized by constant and rapid technological change, short product lifecycles, significant price erosion, and evolving standards for quality. Accordingly, the success of our business depends, to a large extent, on our ability to meet evolving industry requirements and introduce new products and technologies, both in a timely manner and at prices that are acceptable to end customers.</w:t>
      </w:r>
    </w:p>
    <w:p>
      <w:pPr>
        <w:spacing w:after="0" w:line="11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Moreover, the costs related to the research and development necessary to develop new technologies and products are significant and some of our direct and indirect competitors may have greater financial, technological, manufacturing, marketing, and sales resources than we. If they significantly increase the resources that they devote to developing and marketing their products, we may not be able to compete effectively which could adversely impact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industry is characterized by continued price erosion, especially after a product has been on the market.</w:t>
      </w:r>
    </w:p>
    <w:p>
      <w:pPr>
        <w:spacing w:after="0" w:line="2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One of the results of the rapid innovation in the semiconductor industry is that pricing pressure, especially on products containing older technology, can be intense. Product life cycles are relatively short. As a result, products tend to be replaced by more technologically advanced substitutes on a regular basis. In turn, demand for older technology falls, causing the price at which such products can be sold to drop, in some cases precipitously.</w:t>
      </w:r>
    </w:p>
    <w:p>
      <w:pPr>
        <w:spacing w:after="0" w:line="11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order to profitably supply these products, we must reduce our product costs in line with the lower revenue it can expect to generate. Usually, this must be accomplished through improvements in process technology and production efficiencies. If we cannot advance our process technologies or improve our efficiencies to a degree sufficient to maintain required margins, we will no longer be able to make a profit from the sale of these products. Moreover, we may not be able to cease production of such products, either due to contractual obligations or for end customer relationship reasons, and as a result may be required to bear a loss on such products. We cannot guarantee that competition in our core product markets will not lead to price erosion, lower revenue or lower margins in the future. Should reductions in our manufacturing costs fail to keep pace with reductions in market prices for the products it sells, this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working capital needs are difficult to predict.</w:t>
      </w:r>
    </w:p>
    <w:p>
      <w:pPr>
        <w:spacing w:after="0" w:line="2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working capital needs are difficult to predict and may fluctuate. The comparatively long period between the time at which we commence the manufacturing process and the time at which a product may be delivered to an end customer leads to high inventory and work-in-progress levels. The volatility of our end customers’ businesses and the time required to manufacture products also make it difficult to manage inventory levels.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consolidation may result in increased competition, which could result in a reduction in revenue.</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Some of our competitors have made or may make acquisitions or enter into partnerships or other strategic relationships to achieve competitive advantages. In addition, new entrants not currently considered competitors may enter our market through acquisitions, partnerships or strategic relationships. Industry consolidation may result in competitors with more compelling product offerings or greater pricing flexibility due to their financial resources than we have, or business practices that make it more difficult for us to compete effectively, including on the basis of price, sales, technology or supply. These competitive pressures could have a material adverse effect on our business.</w:t>
      </w:r>
    </w:p>
    <w:p>
      <w:pPr>
        <w:spacing w:after="0" w:line="12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As a result of these competitive pressures, we may face declining sales volumes or lower prices for our products and may not be able to reduce total costs in line with declining revenue. If any of these risks materialize, they could have a material adverse effect on our business, financial condition and results of operations.</w:t>
      </w:r>
    </w:p>
    <w:p>
      <w:pPr>
        <w:spacing w:after="0" w:line="12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depend on growth in the end markets that use our products. Any slowdown in the growth of these end markets could adversely affect our financial results.</w:t>
      </w:r>
    </w:p>
    <w:p>
      <w:pPr>
        <w:spacing w:after="0" w:line="11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continued success will depend in large part on general economic growth and growth within our target markets, which include mobile phones and portable computing devices such as tablet and laptop computers, electric vehicles, solar energy, data center and consumer goods. Factors affecting these markets could seriously harm our end customers and, as a result, harm us, including:</w:t>
      </w:r>
    </w:p>
    <w:p>
      <w:pPr>
        <w:spacing w:after="0" w:line="12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sales of our end customers’ products;</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45" w:lineRule="exact"/>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effects of catastrophic and other disruptive events at our end customers’ offices or facilities including, but not limited to, natural disasters, telecommunications failures, cyber-attacks, terrorist attacks, pandemics or other outbreaks of infectious disease, such as the Covid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breaches of security or loss of critical data;</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potential disruptions to our end customers’ supply chain and other manufacturing and production operations;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of our end customers’ financial condition;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project cancellations as a result of design flaws in the products developed by our end customers;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end customers to dedicate the resources necessary to promote and commercialize their products;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end customers to adapt to changing technological demands resulting in their products becoming obsolete;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end customers’ products to achieve market success and gain broad market acceptance.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slowdown in the growth of these end markets could adversely affect our financial results.</w:t>
      </w:r>
    </w:p>
    <w:p>
      <w:pPr>
        <w:spacing w:after="0" w:line="194"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(“ASPs”) of products in our markets have historically decreased over time and could do so in the future, which could adversely impact our revenue and profitability.</w:t>
      </w:r>
    </w:p>
    <w:p>
      <w:pPr>
        <w:spacing w:after="0" w:line="9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market for our products is generally characterized by declining ASPs resulting from factors such as increased competition, overcapacity, the introduction of new products and increased unit volumes. We have in the past experienced, and in the future may experience, substantial period-to-period fluctuations in operating results due to declining ASPs. We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anticipate that ASPs may decrease in the future in response to the introduction of new products by us or our competitors, or due to other factors, including pricing pressures from our end customers. In order to sustain profitable operations, we must continually reduce costs for our existing products and also develop and introduce new products with enhanced features on a timely basis that can be sold initially at higher ASPs. Failure to do so could cause our net sales and gross margins to decline, which would negatively affect our financial condition and results of operations and could significantly harm our business.</w:t>
      </w:r>
    </w:p>
    <w:p>
      <w:pPr>
        <w:spacing w:after="0" w:line="13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may be unable to reduce the cost of our products sufficiently to enable us to compete with others. Our cost reduction efforts may not allow it to keep pace with competitive pricing pressures and could adversely affect our gross margins. We maintain an infrastructure of facilities and human resources in several locations around the world and, as a result, has limited ability to reduce our operating costs. Accordingly, in order to remain competitive, we must continually reduce the cost of manufacturing our products through design and engineering changes. We cannot assure you that we will be successful in redesigning our products and bringing redesigned products to the market in a timely manner, or that any redesign will result in sufficient cost reductions to allow us to reduce the price of our products to remain competitive or maintain or improve our gross margins. To the extent we are unable to reduce the prices of our products and remain competitive, our net sales will likely decline, resulting in further pressure on our gross margins, which could have a material adverse effect on our business, financial condition and results of operations and our ability to grow our business.</w:t>
      </w:r>
    </w:p>
    <w:p>
      <w:pPr>
        <w:spacing w:after="0" w:line="134"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sales is generated through end customers in China which subjects us to risks associated with changes of Chinese end customer interest and governmental or regulatory changes.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generate a significant portion of our net sales through end customers in China. In the fiscal years ended December 31, 2022 and December 31, 2021, 38% and 74%, respectively, of our net revenues were from sales to end customers in China. We expect that our end customers in China will continue to account for a high percentage of our revenue for the foreseeable future. Thus, our business success depends on our ability to maintain strong relationships with our end customers in China. Any loss of our key end customers for any reason, including because of changes of end customer interest in our products, or a change in the relationship with them, including a significant delay or reduction in their purchases, may cause a significant decrease in our revenue, which we may not be able to recapture, and our business could be harmed.</w:t>
      </w:r>
    </w:p>
    <w:p>
      <w:pPr>
        <w:spacing w:after="0" w:line="12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Additionally, China’s government has implemented policies from time to time to regulate economic expansion in China. It exercises significant control over China’s economic growth through the allocation of resources, controlling payment of foreign currency-denominated obligations, setting monetary policy and providing preferential treatment to particular industries or companies. Any additional new regulations or the amendment or modification of previously implemented regulations could require us and our manufacturing partners to change our business plans, increase our costs, or limit our ability to sell products and conduct activities in China, which could adversely affect our business and operating results.</w:t>
      </w:r>
    </w:p>
    <w:p>
      <w:pPr>
        <w:spacing w:after="0" w:line="1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Chinese government also has broad discretion and authority to regulate the technology industry in China. The Chinese government and provincial and local governments also have provided, and continue to provide, various incentives to encourage the development of the semiconductor industry in China. Such incentives include tax rebates, reduced tax rates, favorable lending policies and other measures, some or all of which may be available to our manufacturing partners in China. Any of these incentives could be reduced or eliminated by governmental authorities at any time. Any such reduction or elimination of incentives currently provided to our manufacturing partners could adversely affect our business and operating results.</w:t>
      </w:r>
    </w:p>
    <w:p>
      <w:pPr>
        <w:spacing w:after="0" w:line="119"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fail in a timely and cost-effective manner to develop new product features or new products that address end customer preferences and achieve market acceptance, our operating results could be adversely affected.</w:t>
      </w:r>
    </w:p>
    <w:p>
      <w:pPr>
        <w:spacing w:after="0" w:line="1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products are based on novel GaN design technology and our future success depends on the successful development of high-voltage power switching components and systems based on GaN design technology. There can be no assurance that any development problems we experience in the future related to our products will not cause significant delays or unanticipated costs, or that such development problems can be solved. In addition, we compete in a dynamic environment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characterized by rapid technology and product evolution. Our end customers are constantly seeking new products with more features and functionality at lower cost, and our success relies heavily on our ability to continue to develop and market to our end customers new and innovative products and improvements of existing products. In order to respond to new and evolving end customer demands, achieve strong market share and keep pace with new technological, processing and other developments, we must constantly introduce new and innovative products into the market. Our failure to timely develop new technologies or to react quickly to changes in existing technologies could materially delay our development of new products, which could result in product obsolescence, decreased revenue, and/or a loss of market share to competitors. As we develop new product lines, we must adapt to market conditions that are unfamiliar to us, such as competitors and distribution channels that are different from those we have known in the past. Some of our new product lines require us to re-equip our labs to test parameters we have not tested in the past. If we are unable to adapt rapidly to these new and additional conditions, we may not be able to successfully penetrate new markets, although we strives to respond to end customer preferences and industry expectations in the development of our products.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 Moreover, new and enhanced products may not perform as expected. We may also encounter lower manufacturing yields and longer delivery schedules in commencing volume production of new products that we introduce, which could increase our costs and disrupt our supply of such products.</w:t>
      </w:r>
    </w:p>
    <w:p>
      <w:pPr>
        <w:spacing w:after="0" w:line="13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success of a new product depends on accurate forecasts of long-term market demand and future technological developments, as well as on a variety of specific implementation factors, including:</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efficient completion of process design and device structure improvements;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efficient implementation of manufacturing, assembly, and test processes;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and effectively utilize fabrication capacity in different geometries;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availability;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reliability;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sales and service.</w:t>
      </w:r>
    </w:p>
    <w:p>
      <w:pPr>
        <w:spacing w:after="0" w:line="19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To the extent that we fail to timely introduce new products or to quickly penetrate new markets, our business, financial condition and results of operations could be materially and adversely affected.</w:t>
      </w:r>
    </w:p>
    <w:p>
      <w:pPr>
        <w:spacing w:after="0" w:line="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Furthermore, we face the risk that end customers may not value or be willing to bear the cost of incorporating newer solutions we develop into our product offerings, particularly if they believe their end customers are satisfied with prior offerings. Regardless of the improved features or superior performance of the newer solutions, end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1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fundamental shift in technologies, the regulatory climate or demand patterns and preferences in our existing product markets or the product markets of our end customers or end-users could make our current products obsolete, prevent or delay the introduction of new products or enhancements to our existing products or render our products irrelevant to our end customers’ needs. If our new product development efforts fail to align with the needs of our end customers, including due to circumstances outside of our control like a fundamental shift in the product markets of our end customers and end users or regulatory changes,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anticipate and respond to rapid technological change in the industries in which we operate, our ability to attract and retain end customers could be impaired and our competitive position could be harmed.</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operate in industries characterized by rapidly changing technologies as well as technological obsolescence. The introduction of new products by our competitors, the delay or cancellation of any of our end customers’ product offerings for which our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end customers and decreased revenue and have an adverse effect on our business,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could be adversely affected if we are unable to meet end customers’ or device manufacturers’ quality requirements.</w:t>
      </w:r>
    </w:p>
    <w:p>
      <w:pPr>
        <w:spacing w:after="0" w:line="2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Semiconductor IC suppliers must meet increasingly stringent quality standards of end customers. While our quality performance to date has generally met these requirements, we may experience problems in achieving acceptable quality results in the manufacture of our products, particularly in connection with the production of new products or adoption of a new manufacturing process. This risk is greater for products used in applications with higher quality and reliability standards, such as applications in the automotive industry, an important market in which we expect to introduce new products and increase our revenues in response to expected growing demand for electric vehicles. Our failure to achieve acceptable quality levels for products intended for such applications, or generally, could adversely affect our business results.</w:t>
      </w:r>
    </w:p>
    <w:p>
      <w:pPr>
        <w:spacing w:after="0" w:line="13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Because we do not have long-term purchase commitments with our end customers, orders may be cancelled, reduced, or rescheduled with little or no notice, which in turn exposes us to inventory risk, and may cause our business, financial results and future prospect to be harmed.</w:t>
      </w:r>
    </w:p>
    <w:p>
      <w:pPr>
        <w:spacing w:after="0" w:line="9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In addition, even when distributors or end customers may not have the contractual right to cancel or reschedule orders, it is customary business practice in the semiconductor industry for suppliers like us to permit such cancellations or rescheduling in order to retain a customer’s good will or for other business reasons. As a result, our revenue and operating results could fluctuate materially and could be materially and disproportionately impacted by purchasing decisions of our end customers, including our larger end customers. In the future, our distributors or their end customers may decide to purchase fewer units than they have in the past, may alter their purchasing patterns at any time with limited or no notice, or may decide not to continue to purchase our power semiconductor chips at all, any of which could cause our revenue to decline materially and materially harm our business, financial condition, and results of operations. Cancellations of, reductions in, or rescheduling of end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Navitas to the risks of inventory shortages or excess inventory. As we no longer intend to acquire inventory to pre-build custom products, we may not be able to fulfill increased demand, at least in the short term. Any of the foregoing events could materially and adversely affect our business, financial condition, and results of operations.</w:t>
      </w:r>
    </w:p>
    <w:p>
      <w:pPr>
        <w:spacing w:after="0" w:line="13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spacing w:after="0" w:line="12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sell our products indirectly, through a limited number of distributors, to original design manufacturers (“ODMs”) as well as to original end equipment end customers (“OEMs”). We derive nearly all of our revenue from a small number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distributors and anticipate that we will continue to do so for the foreseeable future. The impairment or termination of our relationship with our distributors, or the failure of these parties to diligently sell our products and comply with applicable laws and regulations could materially and adversely affect our ability to generate revenue and profits. Because our distributors control the relationships with end customers, if our relationship with any distributor ends, we could also lose our relationship with our end customers. Furthermore, our success is partially dependent on the willingness and ability of the sales representative and other employees of our distributors to diligently sell our products. However, we cannot guarantee that they will be successful in marketing our products. In addition, because our distributors do not sell our products exclusively, they may focus their sales efforts and resources on other products that produce better margins or greater commissions for them or are incorporated into a broader strategic relationship with one of their other suppliers. Because we do not control the sales representatives and other employees of our distributors, we cannot guarantee that our sale processes, regulatory compliance and other priorities will be consistently communicated and executed. In addition, we may not have staff in one or more of the locations covered by our distributors, which makes it particularly difficult for us to monitor their performance. In addition, our end customers, or the distributors through which we sell to these end customers, may choose to use products in addition to ours, use a different product altogether, or develop an in-house solution. Any of these events could significantly harm our business, financial condition, and results of operations.</w:t>
      </w:r>
    </w:p>
    <w:p>
      <w:pPr>
        <w:spacing w:after="0" w:line="1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Furthermore, because all of our sales are made pursuant to standard purchase orders, orders may be cancelled, reduced, or rescheduled with little or no notice and without penalty. The loss of a significant end customer could happen at any time without notice, and such loss would likely harm our financial condition and results of operations. In addition, our relationships with some end customers may deter potential end customers who compete with these end customers from buying our products. To attract new end customers or retain existing end customers, we may offer these end customers favorable prices on our products. In that event, our selling prices and gross margin would decline. The loss of a key customer, a reduction in sales to any key end customer or our inability to attract new end customer or further diversify our end customer base, could seriously impact our revenue and harm our business, financial condition, and results of operations.</w:t>
      </w:r>
    </w:p>
    <w:p>
      <w:pPr>
        <w:spacing w:after="0" w:line="12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depends on our ability to achieve design wins and to convince our current and prospective end customers to design our products into their product offerings. If we do not continue to win designs or our products are not designed into our end customers’ product offerings, our results of operations and business will be harmed.</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sell our power chips to end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end customers to include our products in their product offerings or to achieve a consistent number of design wins, our business, financial condition, and results of operations will be harmed.</w:t>
      </w:r>
    </w:p>
    <w:p>
      <w:pPr>
        <w:spacing w:after="0" w:line="13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Because of our extended sales cycle, our revenue in future years is highly dependent on design wins we are awarded in prior years. It is typical that a design win will not result in meaningful revenue until one year or more or later, if at all. If we do not continue to achieve design wins in the short term, our revenue in the following years will deteriorate.</w:t>
      </w:r>
    </w:p>
    <w:p>
      <w:pPr>
        <w:spacing w:after="0" w:line="11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end customers or continue to secure key design wins for a variety of reasons, and our end customers can stop incorporating our products into their product offerings with limited notice to us and suffer little or no penalty.</w:t>
      </w:r>
    </w:p>
    <w:p>
      <w:pPr>
        <w:spacing w:after="0" w:line="12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end customers are unlikely to change to another design, once adopted, until the next generation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of a technology. As a result, if we fail to introduce new or enhanced products that meet the needs of our end customers or penetrate new markets in a timely fashion, and our designs do not gain acceptance, we will lose market share and our competitive position.</w:t>
      </w:r>
    </w:p>
    <w:p>
      <w:pPr>
        <w:spacing w:after="0" w:line="94"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The loss of a key end customer or design win, a reduction in sales to any key customer, a significant delay or negative development in our end customers’ product development plans, or our inability to attract new significant end customers or secure new key design wins could seriously impact our revenue and materially and adversely affect our business, financial condition, and results of operations.</w:t>
      </w:r>
    </w:p>
    <w:p>
      <w:pPr>
        <w:spacing w:after="0" w:line="12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Even if we succeed in securing design wins for our products, we may not generate timely or sufficient net sales or margins from those wins and our financial results could suffer.</w:t>
      </w:r>
    </w:p>
    <w:p>
      <w:pPr>
        <w:spacing w:after="0" w:line="11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After incurring significant design and development expenditures and dedicating engineering resources to achieve a single initial design win for a product, a substantial period of time generally elapses before we may generate meaningful net sales relating to such product, if at all. The reasons for this delay include, among other things, the following:</w:t>
      </w:r>
    </w:p>
    <w:p>
      <w:pPr>
        <w:spacing w:after="0" w:line="11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end customer requirements, resulting in an extended development cycle for the product;</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ramp-up of volume production of the customer’s products into which our solutions are designed;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cancellation of the customer’s product development plans;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reduce our selling price for the product;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of design flaws, defects, errors or bugs in the products;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end customer acceptance of the solutions designed for the customer’s products;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acceptance of our end customers’ products;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than anticipated.</w:t>
      </w:r>
    </w:p>
    <w:p>
      <w:pPr>
        <w:spacing w:after="0" w:line="2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we do not achieve design wins in the short term, then we may not be able to achieve expected net sales levels associated with these design wins. If we experience delays in achieving such sales levels, our operating results could be adversely affected. Moreover, even if an end customer selects our products, we cannot guarantee that this will result in any sales of our products, as the end customer may ultimately change or cancel our product plans, or our end customers’ efforts to market and sell our product may not be successful.</w:t>
      </w:r>
    </w:p>
    <w:p>
      <w:pPr>
        <w:spacing w:after="0" w:line="13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success of some of our products are dependent on our end customers’ ability to develop products that achieve market acceptance, and our end customers’ failure to do so could negatively affect our business, financial condition, and results of operations.</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success of some of our products are heavily dependent on the timely introduction, quality, and market acceptance of our end customers’ products incorporating our solutions, which are impacted by factors beyond our control. Our end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end customers, changing market requirements, such as the end customer adding a new feature, or because a customer’s product fails their end customer’s evaluation or field trial. In other cases, end customer products are delayed due to incompatible deliverables from other vendors. Such end customers have in the past, and may in the future, vary order levels significantly from period to period, request postponements of scheduled delivery dates, modify their orders or reduce lead times. This is particularly common during periods of low demand.</w:t>
      </w:r>
    </w:p>
    <w:p>
      <w:pPr>
        <w:spacing w:after="0" w:line="13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incur significant design and development costs in connection with designing our products for end customers’ products that may not ultimately achieve market acceptance. As the company offers more products to new and existing customers, potentially expands its supply relationships, and enters new markets, the company may encounter yield, bugs and reliability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issues with specific products, and any such issues could cause customer problems or adversely affect financial results. No assurance can be given that future reliability issues will not have a material effect on financial results in any given period. If our end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13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Furthermore, developing industry trends, including end customers’ use of outsourcing and new and revised supply chain models, may affect our revenue, costs and working capital requirements.</w:t>
      </w:r>
    </w:p>
    <w:p>
      <w:pPr>
        <w:spacing w:after="0" w:line="11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conform to, or are not compatible with, existing or emerging industry standards, demand for our products may decrease, which in turn would harm our business and operating results.</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1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ensure compliance with evolving industry standards in our target markets. The emergence of new industry standards could render our products incompatible with products developed by third-party suppliers or make it difficult for our products to meet the requirements of certain original equipment manufacturers. If our end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end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w:t>
      </w:r>
    </w:p>
    <w:p>
      <w:pPr>
        <w:spacing w:after="0" w:line="13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Reliability is especially critical in the power semiconductor industry, and any adverse reliability result by us with any of our end customers could negatively affect our business, financial condition, and results of operations.</w:t>
      </w:r>
    </w:p>
    <w:p>
      <w:pPr>
        <w:spacing w:after="0" w:line="1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end customers generally establish demanding specifications for quality, performance, and reliability that our products must meet. ICs as complex as ours often encounter development delays and may contain undetected defects or failures when first introduced or after commencement of commercial shipments, which might require product replacement or recall. Further, our third-party manufacturing processes or changes thereof, or raw material used in the manufacturing processes may cause our products to fail. We have from time to time in the past experienced product quality, performance or reliability problems. Our standard warranty period is generally one to two years. We recently announced a warranty period of 20 years for our GaN IC products. Although we believe this warranty represents a differentiating feature of our GaN IC products and is justified by the reliability our products have demonstrated, our product warranties expose us to significant risks of claims for defects and failures. If defects and failures occur in our products, we could experience lost revenue, increased costs, including warranty expense and costs associated with end customer support, cancellations or rescheduling of orders or shipments, and product returns or discounts, any of which would harm our operating results. Furthermore, we may incur costs to investigate customer warranty claims even when those claims prove to be unfounded, such as when a claimed defect results from a customer’s improper system design.</w:t>
      </w:r>
    </w:p>
    <w:p>
      <w:pPr>
        <w:spacing w:after="0" w:line="13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Further, the manufacture of our products, including the fabrication of semiconductor wafers, and the assembly and testing of products, involve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w:t>
      </w:r>
    </w:p>
    <w:p>
      <w:pPr>
        <w:spacing w:after="0" w:line="133"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From time to time, we have experienced problems achieving acceptable yields at our third-party wafer fabrication partner, resulting in delays in the availability of components. Moreover, an increase in the rejection rate of products during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quality control process before, during or after manufacture and/or shipping of such products, results in lower yields and margins.</w:t>
      </w:r>
    </w:p>
    <w:p>
      <w:pPr>
        <w:spacing w:after="0" w:line="21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changes in manufacturing processes required as a result of changes in product specifications, changing end customer needs and the introduction of new product lines have historically significantly reduced manufacturing yields, resulting in low or negative margins on those products. Poor manufacturing yields over a prolonged period of time could adversely affect our ability to deliver products on a timely basis and harm relationships with our end customers, which could materially and adversely affect our business, financial condition and results of operations.</w:t>
      </w:r>
    </w:p>
    <w:p>
      <w:pPr>
        <w:spacing w:after="0" w:line="132"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Our products may contain defects, errors or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end customers may be reluctant to buy our products, which could harm our ability to retain existing end customers and attract new end customers, and could adversely affect our financial results. In addition, these defects, errors or bugs could interrupt or delay sales to our end customers. If any of these problems are not found until after we have commenced commercial production of a new product, we may incur significant additional development costs and product recall, repair or replacement costs. These problems may also result in claims against us by our end customers or others.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claims, product liability claims and product recalls could harm our business, results of operations and financial condition.</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face an inherent business risk of exposure to warranty and product liability claims if products fail to perform as expected or are alleged to result in bodily injury, death, and/or property damage. In addition, if any of our designed products are alleged to be defective, we may be required to participate in their recall. We carry various commercial liability policies, including umbrella/excess policies which provide some protection against product liability exposure. However, a successful warranty or product liability claim against us in excess of our available insurance coverage and established reserves, or a requirement that we participate in a product recall, could have adverse effects on our business results. Further, it is possible that, in the future, we will not be able to obtain insurance coverage in the amounts and for the risks we seek at policy costs and terms we desire.</w:t>
      </w:r>
    </w:p>
    <w:p>
      <w:pPr>
        <w:spacing w:after="0" w:line="12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Additionally, in the event that our products fail to perform as expected or such failure of our products results in a recall, our reputation may be damaged, which could make it more difficult for us to sell our products to existing and prospective end customers and could materially and adversely affect our business, results of operations and financial condition.</w:t>
      </w:r>
    </w:p>
    <w:p>
      <w:pPr>
        <w:spacing w:after="0" w:line="1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Furthermore, end customers may recall their end products if they prove to be defective or they may make compensatory payments in accordance with industry or business practice or in order to maintain good end customer relationships. If such a recall or payment is caused by a defect in one of our products, end customers may seek to recover all or a portion of their losses from us. If any of these risks materialize, our reputation would be harmed and there could be a material adverse effect on our business, financial condition and results of operations.</w:t>
      </w:r>
    </w:p>
    <w:p>
      <w:pPr>
        <w:spacing w:after="0" w:line="13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1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foundry. As a result, we periodically evaluate the benefits of migrating our solutions to smaller geometry process technologies in order to improve performance and reduce costs. We believe this strategy will help us to remain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cannot assure you that our current third-party foundry will be able to effectively manage such transitions or that we will be able to maintain our relationship with our current third-party foundries or develop relationships with new foundries. If we or our foundry experience significant delays in transitioning to smaller geometries or fail to efficiently implement transitions, we could experience reduced manufacturing yields, delays in product deliveries and increased costs, all of which could harm our relationships with our end customers and our operating results. As new processes become more prevalent, we expect to continue to integrate greater levels of functionality, as well as more end customer and third-party intellectual property, into our solutions. We may not be able to achieve higher levels of design integration or deliver new integrated solutions on a timely basis.</w:t>
      </w:r>
    </w:p>
    <w:p>
      <w:pPr>
        <w:spacing w:after="0" w:line="13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rely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our business and our financial results.</w:t>
      </w:r>
    </w:p>
    <w:p>
      <w:pPr>
        <w:spacing w:after="0" w:line="11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We rely on a single supplier to supply and fabricate silicon wafers used in the manufacture of our IC products and purchases a number of key materials and components used in the manufacture of our products from single or limited sources which means that any disruption in their supply (including ceasing or suspending operations entirely), may require us to transfer manufacturing processes to a new location or facility. Our success is dependent upon our ability to successfully partner with our suppliers and our ability to produce wafers with competitive performance attributes and prices, including smaller process geometries. In addition, terms with respect to the volume and timing of wafer production and the pricing of wafers produced by the semiconductor foundries are determined through periodic negotiations with wafer foundries, which usually result in short-term agreements that do not provide for long-term supply or allocation commitments for end customers, including us. We cannot guarantee that the foundry that supplies our wafers will offer us competitive pricing terms or other commercial terms important to our business.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cannot guarantee that our suppliers will not experience manufacturing problems, including delays in the realization of advanced manufacturing process technologies or difficulties due to limitations of new and existing process technologies. For example, we may experience supply shortages due to the difficulties our supplier and other foundries may encounter if they must rapidly increase their production capacities from low utilization levels to high utilization levels because of an unexpected increase in demand. Furthermore, we cannot guarantee that the supplier will be able to manufacture sufficient quantities of our products or that they will continue to manufacture a given product for the full life of the product. We could also experience supply shortages due to very strong demand for our products, or a surge in demand for semiconductors in general, which may lead to tightening of foundry capacity across the industry.</w:t>
      </w:r>
    </w:p>
    <w:p>
      <w:pPr>
        <w:spacing w:after="0" w:line="12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do not have long-term contracts with some of our suppliers and third-party manufacturers. As a result, such supplier or third-party manufacturer can discontinue supplying components or materials to us at any time without penalty. Converting or transferring such fabrication processes from one of our primary facilities to an alternative or backup facility due to a disruption would likely be expensive and could take substantial time, given our highly complex manufacturing and fabrication processes, which incorporate our proprietary technologies. During such a transition, we may attempt to meet end customer demand through our existing inventories, or may attempt to modify partially finished goods to meet the required fabrication specifications. Given the rapid obsolescence timeline to which our products are typically subject, however, we generally do not maintain significant levels of excess inventory and, as a result, it is unlikely that our existing inventory will be sufficient to meet end customer demand during such a transition. In addition, any attempt to modify partially finished goods to meet the required fabrication specifications may not be successful and will require us to incur unanticipated costs. As a result, we may not be able to meet our end customers’ needs during such a transition, which would negatively impact our net sales, potentially damage our end customer relationships and our reputation and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Further, public health crises such as an outbreak of contagious diseases like Covid-19 have negatively affected the supply chain for silicon wafers, resulting in shortages, and may affect the operations of our supplier and other foundries. In addition, weak economic conditions may adversely impact the financial health and viability of the supplier and result in its insolvency or its inability to meet its commitments to us. The insolvency of our supplier or any significant manufacturing problem or insufficient foundry capacity would disrupt our operations and negatively impact our financial condition and results of operations.</w:t>
      </w:r>
    </w:p>
    <w:p>
      <w:pPr>
        <w:spacing w:after="0" w:line="1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we fail to maintain our supplier relationships, if our suppliers do not provide facilities and support for our development efforts, if our suppliers are insolvent or experience financial difficulty, or if we elect or are required to change foundry, we may incur significant costs and delays. If our suppliers are unable to, or do not, manufacture sufficient quantities of our products at acceptable yields, we may be required to allocate the affected products among our end customers, prematurely limit or discontinue the sales of certain products, or incur significant costs to transfer products to another foundry, which could harm our end customer relationships and operating results.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 does not achieve satisfactory yields or quality, our reputation and end customer relationships could be harmed.</w:t>
      </w:r>
    </w:p>
    <w:p>
      <w:pPr>
        <w:spacing w:after="0" w:line="2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fabrication of our GaN power ICs is a complex and technically demanding process. Minor deviations in the manufacturing process can cause substantial decreases in yields, and in some cases, cause production to be suspended. Our foundry vendor, from time to time, experience manufacturing defects and reduced manufacturing yields. Changes in manufacturing processes or the inadvertent use of defective or contaminated materials by our foundry vendors could result in lower than anticipated manufacturing yields or unacceptable performance of our ICs. Many of these problems are difficult to detect at an early stage of the manufacturing process and may be time consuming and expensive to correct. Poor yields from our foundry vendor, or defects, integration issues or other performance problems in our solutions, could cause us significant end customer relations and business reputation problems, harm our financial results and give rise to financial or other damages to our end customers.</w:t>
      </w:r>
    </w:p>
    <w:p>
      <w:pPr>
        <w:spacing w:after="0" w:line="14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end customers might consequently seek damages from us for their losses. A product liability claim brought against us, even if unsuccessful, would likely be time consuming and costly to defend.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timely supply of materials and new technologies and could suffer if suppliers fail to meet their delivery obligations or raise prices.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new technologies and materials needed in our manufacturing operations are only available from a limited number of suppliers.</w:t>
      </w:r>
    </w:p>
    <w:p>
      <w:pPr>
        <w:spacing w:after="0" w:line="21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manufacturing operations depend on deliveries of materials in a timely manner and, in some cases, on a just-in-time basis. From time to time, suppliers may extend lead times, limit the amounts supplied or increase prices due to capacity constraints or other factors.</w:t>
      </w:r>
    </w:p>
    <w:p>
      <w:pPr>
        <w:spacing w:after="0" w:line="1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Supply disruptions may also occur due to shortages in critical materials or components. We have encountered shortages and delays in obtaining components and materials and may encounter additional shortages and delays in the future. Because our products are complex, it is frequently difficult or impossible to substitute one type of material with another. Further, a failure by suppliers to deliver requirements could result in disruptions to our third party manufacturing operations. Our business, financial condition and results of operations could be harmed if we are unable to obtain adequate supplies of materials in a timely manner or if there are significant increases in the costs of materials.</w:t>
      </w:r>
    </w:p>
    <w:p>
      <w:pPr>
        <w:spacing w:after="0" w:line="12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In addition, our next-generation technology depends on other new technologies supplied by third-party vendors. We depend on these third parties to supply us with new technology in a timely manner that meets our performance, cost and quality needed by our end customers. We do not have any long-term supply agreements with any of our suppliers. If these new technologies are not available in the future or if we encounter any problems with the delivery, quality, cost or performance of these new technologies, our business could be materially impacted and our financial condition and results of operation could be harmed.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Increased costs of wafers and materials, or shortages in wafers and materials, could increase our costs of operations and our business could be harmed.</w:t>
      </w:r>
    </w:p>
    <w:p>
      <w:pPr>
        <w:spacing w:after="0" w:line="9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Worldwide manufacturing capacity for wafers is relatively inelastic. If the demand for wafers or assembly material exceeds market supply, our supply of wafers or assembly material could quickly become limited or prohibitively expensive. A shortage in manufacturing capacity could also hinder our ability to meet product demand and therefore reduce our revenue.</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If greater demand for wafers is not offset by an increase in foundry capacity, market demand for wafers or production and assembly materials increases, or if a supplier of our wafers or other materials ceases or suspends operations, for example due to shutdown measures implemented in response to the Covid-19 outbreak, our supply of wafers and other materials could become limited. Such shortages raise the likelihood of potential wafer price increases, wafer shortages or shortages in materials at production and test facilities, resulting in potential inability to address our end customer product demands and our backlog in a timely manner and reduce our revenue and gross margins. If we are unable to purchase wafers at favorable prices or at all, or we face supply shortages, our financial condition and results of operations will be harmed.</w:t>
      </w:r>
    </w:p>
    <w:p>
      <w:pPr>
        <w:spacing w:after="0" w:line="13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Raw material price fluctuations can increase the cost of our products, impact our ability to meet end customer commitments, and may adversely affect our results of operations.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cost of raw materials is a key element in the cost of our products. Our inability to offset material price inflation through increased prices to end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end customer relationships.</w:t>
      </w:r>
    </w:p>
    <w:p>
      <w:pPr>
        <w:spacing w:after="0" w:line="12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Furthermore, increases in the price of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115"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depend on independent contractors and third parties to provide key services in our product development and operations, and any disruption of their services, or an increase in cost of these services, could negatively impact our financial condition and results of operations.</w:t>
      </w:r>
    </w:p>
    <w:p>
      <w:pPr>
        <w:spacing w:after="0" w:line="9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depend on subcontractors to provide cost-effective and efficient services in our product development and supply chain functions, including test and assembly services, software and hardware development, support of intellectual property cores, inventory management, order fulfillment and direct sales logistics.</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operations and operating results may be negatively impacted if we experience problems with our subcontractors that impact the delivery of product to our end customers. These problems may include: delays in software or hardware development timelines, prolonged inability to obtain wafers or packaging materials with competitive performance and cost attributes; inability to achieve adequate yields or timely delivery; inability to meet end customer timelines or demands, disruption or defects in assembly, test, or shipping services; or delays in stabilizing manufacturing processes or ramping up volume for new products. If our third-party supply chain providers were to reduce or discontinue services for us or their operations are disrupted as a result of a fire, earthquake, act of terrorism, political unrest, governmental uncertainty, war, disease, or other natural disaster or catastrophic event, weak economic conditions, or any other reason, our financial condition and results of operations could be adversely affected.</w:t>
      </w:r>
    </w:p>
    <w:p>
      <w:pPr>
        <w:spacing w:after="0" w:line="13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develop many of our products for applications in systems that are driven by industry and technology leaders in mobile consumer electronics, enterprise, eMobility and new energy markets. We work with distributors, resellers, ODMs, and OEMs to define industry conventions and standards within our target markets. We believe that these relationships enhance our ability to achieve market acceptance and widespread adoption of our products. If we are unable to continue to develop or maintain these relationships, our solutions could become less desirable to our end customers, our sales could suffer and our competitive position could be harmed.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and uncertainties associated with international operations, which may harm our business.</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maintain our operations around the world, including the United States, Ireland, Hong Kong, China, Taiwan and the Philippines. For the years ended December 31, 2022, December 31, 2021, December 31, 2020 and December 31, 2019, approximately 43%, 82%, 92% and 85%, respectively, of our net sales were to end customers in Asia. We allocate revenue among individual countries based on the location to which the products are initially billed even if our end customers’ revenue is attributable to end customers that are located in a different location. As of December 31, 2022, approximately 66% of our workforce was located outside of the United States. In addition, a substantial majority of our products are manufactured, assembled, tested and packaged by third parties located outside of the United States. Our principal assembly and test facilities are located in Taiwan and the Philippines. We also rely on several other wafer fabrication manufacturing partners located throughout Asia. Any conflict or uncertainty in this region, inducing public health or safety concerns or natural disasters, could have a material adverse effect on our business, financial condition and results of operations. Moreover, the global nature of our business subjects us to a number of additional risks and uncertainties, which could harm our business, financial condition and results of operations, including:</w:t>
      </w:r>
    </w:p>
    <w:p>
      <w:pPr>
        <w:spacing w:after="0" w:line="14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and political conditions and other political tensions between countries in which we do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military conflicts in countries or regions where we do not do business or have manufacturing partners, such as the military</w:t>
      </w:r>
    </w:p>
    <w:p>
      <w:pPr>
        <w:spacing w:after="0" w:line="49"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between Russia and Ukraine, may increase the likelihood of supply interruptions or disruptions in countries or regions where we do business or in which our manufacturing partners have facilities. Such interruptions or disruptions may make it harder for us to find favorable pricing and reliable sources for materials and services we need to make our products, putting upward pressure on our costs;</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impositions of, legislative or regulatory requirements, including changes in tax laws;</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cross-border investment, including enhanced oversight by the Committee on Foreign Investment in the United States (“CFIUS”) and substantial restrictions on investment from China;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standards with respect to protection of intellectual property and employment practices;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spacing w:after="0" w:line="94"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exporting or importing issues related to export or import restrictions, including deemed export restrictions, tariffs, quotas and other trade barriers and restrictions; and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 and currency fluctuations.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culture has contributed to our success and if we cannot maintain this culture as it grows, our business could be harmed.</w:t>
      </w:r>
    </w:p>
    <w:p>
      <w:pPr>
        <w:spacing w:after="0" w:line="20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attract, reward, and retain people in leadership positions in our organization who share and further our culture, values and mission;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size and geographic diversity of our workforce;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to move in directions that may divert us from our mission, vision, and values;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challenges of a rapidly-evolving industry;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need to develop expertise in new areas of business that affect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are not able to maintain our culture, our business, financial condition, and results of operations could be adversely affected.</w:t>
      </w:r>
    </w:p>
    <w:p>
      <w:pPr>
        <w:spacing w:after="0" w:line="208"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Loss of key management or other highly skilled personnel, or an inability to attract such management and other personnel, could adversely affect our business.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depend on our executive officers and key employees to run our business and on development engineers to develop new products and technologies. The loss of any key personnel could have a material adverse effect on our business. In addition, the market for qualified employees, including skilled engineers and other individuals with the required technical expertise to succeed in business, is highly competitive and an inability to attract, retain and motivate the employees required for the operation of our business could hinder our ability to successfully conduct research activities or develop marketable products.</w:t>
      </w:r>
    </w:p>
    <w:p>
      <w:pPr>
        <w:spacing w:after="0" w:line="13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including those that may be enacted by the current U.S. presidential administration, may adversely affect our ability to hire or retain such workers, increase operating expenses and negatively impact our ability to deliver products and services, any of which would adversely affect our business, financial condition and results of operations.</w:t>
      </w:r>
    </w:p>
    <w:p>
      <w:pPr>
        <w:spacing w:after="0" w:line="14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loss of one or more of our executive officers or other key personnel or our inability to locate suitable or qualified replacements could be significantly detrimental to product development efforts and could have a material adverse effect on our business, financial condition and results of operations.</w:t>
      </w:r>
    </w:p>
    <w:p>
      <w:pPr>
        <w:spacing w:after="0" w:line="12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Furthermore, we are dependent on the services of certain of our key personnel. It is possible that we will lose some key personnel, the loss of which could negatively impact the operations and profitability of our company.</w:t>
      </w:r>
    </w:p>
    <w:p>
      <w:pPr>
        <w:spacing w:after="0" w:line="11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and may need to incur significant expenditures to address the additional operational and control requirements of our growth, either of which could harm our business and operating results.</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To continue to grow,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Unless our growth results in an increase in our revenues that is proportionate to the increase in our costs associated with this growth, our operating margins and profitability will be adversely affected. If we fail to adequately manage our growth, improve our operational, financial and management information systems, or effectively motivate and manage our new and future employees, it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accumulated deficit and have incurred net losses in the past, and we may continue to incur net losses in the future.</w:t>
      </w:r>
    </w:p>
    <w:p>
      <w:pPr>
        <w:spacing w:after="0" w:line="2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have experienced net losses in each year since our inception until fiscal year 2022 where we realized net income, primarily driven by gains on the change in fair value of warrants and earnout liability. As of December 31, 2021, December 31, 2020 and December 31, 2019, we had an accumulated deficit of $228.7 million, $75.9 million and $56.9 million, respectively. We generated net losses of $152.7 million, $19.0 million and $17.3 million in the years ended December 31, 2021, 2020 and 2019, respectively. The net losses in 2021 and 2020 were primarily attributable to adding additional headcount to expand new product development and end customer outreach in current markets and the loss in 2019 was primarily due to our expanding headcount and expenses across the company in preparation of future growth.</w:t>
      </w:r>
    </w:p>
    <w:p>
      <w:pPr>
        <w:spacing w:after="0" w:line="1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expect to continue to make significant investments to support our research and development, sales and marketing and general and administrative functions, as a result it expects these losses to continue for at least the next several years. In addition, if our products do not achieve sufficient market acceptance, we will not become profitable. If we fail to become profitable, or if we are unable to fund our continuing losses we may be unable to continue our business operations. There can be no assurance that we will ever achieve or sustain profitability.</w:t>
      </w:r>
    </w:p>
    <w:p>
      <w:pPr>
        <w:spacing w:after="0" w:line="13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20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From time to time, we provide forward looking estimates regarding our future performance that represent our management’s estimates as of a point in time. These forward-looking statements are based on projections prepared by our management. These projections are not prepared with a view toward compliance with published guidelines of the American Institute of Certified Public Accountants, and neither our independent registered public accountants nor any other independent expert or outside party compiles or examines the projections and, accordingly, no such person expresses any opinion or any other form of assurance on our projections.</w:t>
      </w:r>
    </w:p>
    <w:p>
      <w:pPr>
        <w:spacing w:after="0" w:line="12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and conditions, some of which will change. The principal reason that we provide forward looking information is to provide a basis for our management to discuss our business outlook with stakeholders. Forward looking statements are necessarily speculative in nature, and it can be expected that some or all of the assumptions of our forward-looking statements will not materialize or will vary significantly from actual results. Accordingly, our forward-looking statements are only an estimate of what management believes is realizable as of the date of release. Actual results will vary from our forward-looking statements and the variations may be material. In light of the foregoing, investors are urged not to place undue reliance upon our guidance in making investment decisions.</w:t>
      </w:r>
    </w:p>
    <w:p>
      <w:pPr>
        <w:spacing w:after="0" w:line="12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for the year ended December 31, 2021, we identified material weaknesses in our internal control over financial reporting. These material weaknesses related to the design of internal controls as follows: (1) the lack of a sufficient number of trained professionals with the appropriate U.S. GAAP technical expertise to identify, evaluate, value and account for complex and non-routine transactions, including revenue arrangements and stock-based compensation; and (2) the lack of sufficient accounting resources to maintain segregation of duties, including the lack of internal control to ensure that manual journal entries are reviewed by someone independent 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preparer with the appropriate competence and ability. We have begun implementing and are continuing to implement measures designed to improve our internal control over financial reporting to remediate these material weaknesses, specifically by hiring additional accounting personnel to augment existing technical expertise as well as to provide the staffing necessary to maintain effective segregation of duties.</w:t>
      </w:r>
    </w:p>
    <w:p>
      <w:pPr>
        <w:spacing w:after="0" w:line="12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we are unable to successfully remediate our existing or any future material weaknesses in our internal control over financial reporting, or if we identify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reported financial information as a result, which would likely have a negative effect on the trading price our stock. We also could become subject to investigations by Nasdaq, the SEC or other regulatory authorities.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beyond our control could have an adverse effect on our business, financial condition, results of operations and cash flows.</w:t>
      </w:r>
    </w:p>
    <w:p>
      <w:pPr>
        <w:spacing w:after="0" w:line="2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offices in California, the production facilities of third-party wafer suppliers, IC testing and manufacturing facilities, a portion of our assembly and research and development activities, and certain other critical business operations are located in or near seismically active regions and are subject to periodic earthquakes or are subject to power outages, natural disasters, political, social, or economic unrest, and other potentially catastrophic events. For example, our El Segundo operations are located near major earthquake fault lines in California. In the event of a major earthquake, wild fires, hurricane, flooding, or other catastrophic event such as power loss, telecommunications failure, cyber-attack, war, terrorist attack, political, social, or economic unrest,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Much of our revenue, as well as our manufacturers and assemblers, are concentrated in Asia, particularly in China. The political, legal and economic risks associated with our operations in foreign countries, in particular China, include, without limitation: expropriation; changes in a specific country’s or region’s political or economic conditions; changes in tax laws, trade protection measures and import or export licensing requirements; difficulties in protecting our intellectual property; difficulties in managing staffing and exposure to different employment practices and labor laws; changes in foreign currency exchange rates; restrictions on transfers of funds and other assets of our subsidiaries between jurisdictions; changes in freight and interest rates; disruption in air transportation between the United States and our overseas locations; loss or modification of exemptions for taxes and tariffs; and compliance with U.S. laws and regulations related to international operations, including export control and economic sanctions laws and regulations and the FCPA.</w:t>
      </w:r>
    </w:p>
    <w:p>
      <w:pPr>
        <w:spacing w:after="0" w:line="13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In addition, our worldwide operations (or those of our business partners) could be subject to natural disasters such as earthquakes, tsunamis, flooding, typhoons and volcanic eruptions that disrupt manufacturing or other operations. There may be conflict or uncertainty in the countries in which we operate, including public health issues (for example, an outbreak of a contagious disease such as COVID-19, avian influenza, measles or Ebola), safety issues, natural disasters, fire, disruptions of service from utilities, nuclear power plant accidents or general economic or political factors. Any of the above risks, should they occur,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harm our business. Furthermore, any disaster affecting end customers (or their respective end customers) may significantly negatively impact the demand for our products and therefore our revenue. There is increasing concern that climate change is occurring that may cause a rising number of natural disasters with potentially dramatic effects on human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exchange rates could have an adverse effect on our results of operations.</w:t>
      </w:r>
    </w:p>
    <w:p>
      <w:pPr>
        <w:spacing w:after="0" w:line="21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operate in various worldwide locations and our consolidated financial results are reported in U.S. dollars. However, some of the revenue and expenses of our foreign subsidiaries are denominated in local currencies. Fluctuations in foreign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exchange rates against the U.S. dollar could result in changes in reported revenues and operating results due to the foreign exchange impact of translating these transactions into U.S. dollars. Currency fluctuations could decrease revenue and increase our operating costs. The impact of foreign currency exchange rates on our revenues and results of operations was de minimis for all periods presented in this annual report.</w:t>
      </w:r>
    </w:p>
    <w:p>
      <w:pPr>
        <w:spacing w:after="0" w:line="12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quarterly net sales and operating results are difficult to predict accurately and may fluctuate significantly from period to period. As a result, we may fail to meet the expectations of investors, which could cause our stock price to decline.</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operate in a highly dynamic industry and our future operating results could be subject to significant fluctuations, particularly on a quarterly basis. Our quarterly net sales and operating results have fluctuated significantly in the past and may continue to vary from quarter to quarter due to a number of factors, many of which are not within our control. A significant percentage of our net sales in each fiscal quarter is dependent on sales that are booked and shipped during that fiscal quarter and are typically attributable to a large number of orders from diverse end customers and markets. As a result, accurately forecasting our operating results in any fiscal quarter is difficult. If our operating results do not meet the expectations of securities analysts and investors, the our stock price may decline. Additional factors that can contribute to fluctuations in our operating results include:</w:t>
      </w:r>
    </w:p>
    <w:p>
      <w:pPr>
        <w:spacing w:after="0" w:line="13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rescheduling, increase, reduction or cancellation of significant end customer orders;</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end customer qualification of our products and commencement of volume sales by our end customers of systems that include our products;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research and development and sales and marketing expenditures;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our present and future end customers and end users adopt our technologies in our target end markets;</w:t>
      </w:r>
    </w:p>
    <w:p>
      <w:pPr>
        <w:spacing w:after="0" w:line="211"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introduction of new products and technologies by we and our competitors, and the acceptance of our new products by our end customers;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changing end customer product requirements;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gain or loss of one or more key end customers;</w:t>
      </w:r>
    </w:p>
    <w:p>
      <w:pPr>
        <w:spacing w:after="0" w:line="211"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quality of materials and components that we purchases from third- party vendors and any problems or delays in the fabrication, assembly, testing or delivery of our products;</w:t>
      </w:r>
    </w:p>
    <w:p>
      <w:pPr>
        <w:spacing w:after="0" w:line="121"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production capacity at our third-party wafer fabrication facility or other third-party subcontractors and other interruptions in the supply chain, including as a result of materials shortages, bankruptcies or other causes;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for and changes in the cost of the other components incorporated into our end customers’ products;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the manufacturing costs of our products;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our product mix or end customer mix;</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lower than expected ASPs;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acquisition of technologies or businesses;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rates of return or price concessions in excess of those expected or forecasted;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industry standards;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obsolescence;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inventory write-downs or write-offs;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over intellectual property rights and other litigation;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the purchasing and budgeting cycles of our end customers;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or the inability to attract qualified engineers;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products and any remediation costs;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economic conditions in various geographic areas where we or our end customers do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industry conditions and seasonal patterns in our target end markets;</w:t>
      </w:r>
    </w:p>
    <w:p>
      <w:pPr>
        <w:spacing w:after="0" w:line="211"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conditions affecting the timing of end customer orders or our ability to fill orders of end customers subject to export control or U.S. economic sanctions; and</w:t>
      </w:r>
    </w:p>
    <w:p>
      <w:pPr>
        <w:spacing w:after="0" w:line="12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war, threat of war or terrorist actions, or the occurrence of pandemics, epidemics or other outbreaks of disease, including the current Covid-19 pandemic, or natural disasters, and the impact of these events on the factors set forth above.</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We may experience a delay in generating or recognizing revenues for a number of reasons. Open orders at the beginning of each quarter are typically lower than expected net sales for that quarter and are generally cancelable or reschedulable with minimal notice. Accordingly, we depend on obtaining orders during each quarter for shipment in that quarter to achieve our net sales objectives and failure to fulfill such orders by the end of a quarter may adversely affect our operating results. Furthermore, our end customer agreements typically provide that the end customer may delay scheduled delivery dates and cancel orders within specified timeframes without significant penalty. In addition, we maintain an infrastructure of facilities and human resources in several locations around the world and have a limited ability to reduce the expenses required to maintain such infrastructure. Because we base our operating expenses on anticipated revenue trends and a high percentage of our expenses are fixed in the short term, any delay in generating or recognizing forecasted net sales or changes in levels of our end customers’ forecasted demand could materially and adversely impact our business, financial condition and results of operations. Due to our limited ability to reduce expenses, in the event our revenues decline or our forecasted net sales do not meet our expectations, it is likely that in some future quarters our operating results will decrease from the previous quarter or fall below the expectations of securities analysts and investors. As a result of these factors, our operating results may vary significantly from quarter to quarter. Accordingly, you are cautioned not to place undue reliance on period-to-period comparisons of our results of operations. Any shortfall in net sales or net income from a previous quarter or from levels expected by the investment community could cause a decline in the trading price of our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our limited operating history, we may have difficulty accurately predicting our future revenue and appropriately budgeting our expenses.</w:t>
      </w:r>
    </w:p>
    <w:p>
      <w:pPr>
        <w:spacing w:after="0" w:line="20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were incorporated in 2013 and first generated product revenue in the second quarter of fiscal year 2018. As a result, we have a limited operating history from which to predict future revenue. This limited operating experience, combined with the rapidly evolving nature of the markets in which we sell our products, substantial uncertainty concerning how these markets may develop and other factors beyond our control, limits our ability to accurately forecast quarterly or annual revenue.</w:t>
      </w:r>
    </w:p>
    <w:p>
      <w:pPr>
        <w:spacing w:after="0" w:line="11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and length of the sales cycle makes our revenue, gross margin and net income (loss) subject to fluctuation and difficult to accurately predict.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 number of factors, including how products are manufactured to support end markets, yield, wafer pricing, cost of packaging raw materials, product mix, market acceptance of our new products, competitive pricing dynamics, product quality, geographic and/or end market mix, and pricing strategies, can cause our revenue, gross margins and net income (loss) to fluctuate significantly either positively or negatively from period to period.</w:t>
      </w:r>
    </w:p>
    <w:p>
      <w:pPr>
        <w:spacing w:after="0" w:line="12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have limited visibility into the timing of demand for our products, particularly new products, because demand for our products depends upon our products being designed into end customers’ products and those products achieving market acceptance. During our sales cycle, our end customers typically test and evaluate our products prior to deciding to include our products into the design of their own products, and then require additional time to begin volume production of their products. This lengthy sales cycle may cause us to incur significant expenses, experience significant production delays and to incur additional inventory costs before we receive an end customer order that may be delayed or never get placed. A key strategic end customer may demand certain design or production resources to meet their requirements or work on a specific solution, which could cause delays in our normal development schedule and result in significant investment of our resources or missed opportunities with other potential end customers. We may incur these expenses without generating revenue from our products to offset the expenses.</w:t>
      </w:r>
    </w:p>
    <w:p>
      <w:pPr>
        <w:spacing w:after="0" w:line="13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While our sales cycles are typically long, our average product life cycles tend to be short as a result of the rapidly changing technology environment in which we operate. Our inventory levels may be higher than historical norms, from time to time, due to inventory build decisions aimed at meeting expected demand from a single large customer, reducing direct material cost or enabling responsiveness to expected demand. In the event the expected demand does not materialize, or if our short sales cycle does not generate sufficient revenue, we may be subject to incremental excess and obsolescence costs.</w:t>
      </w:r>
    </w:p>
    <w:p>
      <w:pPr>
        <w:spacing w:after="0" w:line="13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These factors make it difficult for us to accurately forecast future sales and project quarterly revenues. The difficulty in forecasting future sales weakens our ability to project our inventory requirements, which could result, and in the past has resulted, in inventory write-downs or failure to meet end customer product demands in a timely manner. While we may give guidance, the difficulty in forecasting revenues as well as the relative end customer and product mix of those revenues limits our ability to provide accurate forward-looking revenue and gross margin guidance.</w:t>
      </w:r>
    </w:p>
    <w:p>
      <w:pPr>
        <w:spacing w:after="0" w:line="11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$50.3 million in the fiscal year ended 2022, $27.5 million in the fiscal year ended 2021, $13.0 million in fiscal year 2020 and $11.1 million in fiscal year 2019. We expect to continue to increase our research and development expenditures as compared to prior periods as part of our strategy. We do not know whether we will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Shifts in our product mix or end customer mix may result in declines in gross margin.</w:t>
      </w:r>
    </w:p>
    <w:p>
      <w:pPr>
        <w:spacing w:after="0" w:line="21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Gross margins on individual products fluctuate over the product’s life cycle. Our overall gross margins have fluctuated from period to period as a result of shifts in product mix, end customer mix, the introduction of new products, decreases in ASPs for older products and our ability to reduce product costs. We expect these fluctuations to continue in the future.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1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appropriate accounting rules and regulations. Changes in those accounting rules can have a significant effect on our financial results and may affect our reporting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transactions completed before a change is announced. Changes to those rules or the questioning of current practices may adversely affect our reported financial results or the way we conduct our business.</w:t>
      </w:r>
    </w:p>
    <w:p>
      <w:pPr>
        <w:spacing w:after="0" w:line="90"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A portion of our Earnout Shares are accounted for as liabilities and the changes in value of our Earnout Shares could have a material effect on our financial results.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portion of our Earnout Shares are accounted for as liabilities and changes in value of our Earnout Shares could have a material effect on our financial results. In particular, the fair value of the contingent consideration liability will be remeasured each reporting period and changes in value will be reflected in net income (loss).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Earnout Shares each reporting period and that the amount of such gains or losses could be material.</w:t>
      </w:r>
    </w:p>
    <w:p>
      <w:pPr>
        <w:spacing w:after="0" w:line="13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spacing w:after="0" w:line="1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part of our strategy, we may enter into a number of long-term strategic partnerships and alliances. There can be no assurances that they will be successful. 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 In addition, if any of our current strategic partners or alliances we may engage with in the future were to encounter financial difficulties or change their business strategies, they may no longer be able or willing to participate in these groups or alliances, which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desire to exit certain programs or businesses, or to restructure our operations, but may not be successful in doing so.</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From time to time, we may decide to divest certain businesses or restructure our operations, including through the contribution of assets to joint ventures. However, our ability to successfully exit businesses, or to close or consolidate operations, depends on a number of factors, many of which are outside of our control. For example, if we are seeking a buyer for a particular business, none may be available, or we may not be successful in negotiating satisfactory terms with prospective buyers. In addition, we may face internal obstacles to our efforts. In some cases, particularly with respect to European operations, there may be laws or other legal impediments affecting our ability to carry out such sales or restructuring.</w:t>
      </w:r>
    </w:p>
    <w:p>
      <w:pPr>
        <w:spacing w:after="0" w:line="13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If we are unable to exit a business in a timely manner, or to restructure our operations in a manner we deem to be advantageous, this could have a material adverse effect on our business, financial condition and results of operations. Even if a divestment is successful, we may face indemnity and other liability claims by the acquirer or other parties.</w:t>
      </w:r>
    </w:p>
    <w:p>
      <w:pPr>
        <w:spacing w:after="0" w:line="111"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may pursue mergers, acquisitions, investments and joint ventures, which could divert our management’s attention or otherwise disrupt our operations and adversely affect our results of operations.</w:t>
      </w:r>
    </w:p>
    <w:p>
      <w:pPr>
        <w:spacing w:after="0" w:line="9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We may pursue growth opportunities by acquiring complementary businesses, solutions or technologies through strategic acquisitions, investments or partnerships. There can be no assurances that they will be successful. 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 may adversely affect our liquidity and capital structure. We may also choose to divest certain non-core assets, which divestitures could lead to charges against earnings and may expose us to additional liabilities and risks. Any strategic transaction might not strengthen our competitive position, may increase some of our risks, and may be viewed negatively by our end customers, partners or investors. Even if we successfully complete a strategic transaction, we may not be able to effectively integrate the acquired business, technology, systems, control environment, solutions, personnel or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into our business or global tax structure. We may experience unexpected changes in how we are required to account for strategic transactions pursuant to U.S. GAAP and may not achieve the anticipated benefits of any strategic transaction. We may incur unexpected costs, claims or liabilities that we incur during the strategic transaction or that we assume from the acquired company, or we may discover adverse conditions post acquisition for which we have limited or no recourse.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2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capital to respond to business opportunities and challenges, including the need to develop new features and products or enhance existing services, improve operating infrastructure or acquire complementary businesses and technologies. Accordingly, we may need to engage in debt or equity financings to secure additional funds. Any such financing secured in the future would increase expenses and could involve restrictive covenants relating to capital raising activities or create significant shareholder dilution, which may make it more difficult to obtain additional capital and to pursue business opportunities. We may not be able to obtain additional financing on favorable terms, if at all. If we are unable to obtain adequate financing or financing on satisfactory terms when required, our ability to continue to support business growth and to respond to business challenges could be significantly impaired, and our business may be harmed.</w:t>
      </w:r>
    </w:p>
    <w:p>
      <w:pPr>
        <w:spacing w:after="0" w:line="12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and other payment obligations requires a significant amount of cash, and we may not have sufficient cash flow from our business to pay our debts.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ability to make scheduled payments or to refinance our obligations under our debt arrangements depends on our future performance and available cash, which is subject to economic, financial, competitive and other factors beyond our control. Our business may not generate cash flow from operations in the future sufficient to service our debt, other repayment obligations and/or make necessary investments or capital expenditures. If we are unable to generate such cash flow, we may be required to adopt one or more alternatives, such as selling assets, restructuring debt or obtaining additional capital on terms that may be onerous or highly dilutive. Our ability to refinance our indebtedness will depend on the capital markets and our financial condition at such time. We may not be able to engage in any of these activities or engage in these activities on favorable terms, which could result in a default on our debt or repayment obligations.</w:t>
      </w:r>
    </w:p>
    <w:p>
      <w:pPr>
        <w:spacing w:after="0" w:line="12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proper functioning of internal processes and information technology systems. A failure of these processes and systems, data breaches, cyber-attacks, or cyber-fraud may cause business disruptions, compromise our intellectual property or other sensitive information, litigation or government actions, or result in losses.</w:t>
      </w:r>
    </w:p>
    <w:p>
      <w:pPr>
        <w:spacing w:after="0" w:line="12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applications, systems and networks to operate our business. The reliability and security of information technology infrastructure and software, and our ability to expand and continually update technologies in response to changing needs is critical to our business. Any significant interruption in these applications, systems or networks, including but not limited to new system implementations, computer viruses, cyberattacks, security breaches, facility issues or energy blackouts, could have a material adverse impact on our business, financial condition and results of operations.</w:t>
      </w:r>
    </w:p>
    <w:p>
      <w:pPr>
        <w:spacing w:after="0" w:line="1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Cyber-attacks attempting to obtain access to our computer systems and networks could result in the misappropriation of proprietary information and technology. Although we have not experienced a breach or incident to date, there can be no assurance that a future breach or incident will not have a material impact on our operations and financial results. In the current environment, there are numerous and evolving risks to cybersecurity and privacy, including criminal hackers, state-sponsored intrusions, industrial espionage, employee malfeasance, and human or technological error. In the event of such breaches, we, our end customers or other third parties could be exposed to potential liability, litigation, and regulatory action, as well as the potential loss of existing or potential end customers, damage to reputation, and other financial loss.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cost and operational consequences of responding to attempted breaches and implementing remediation measures could be significant.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Cyber-attacks or other catastrophic events could result in interruptions or delays to us, our end customers, or other third-party operations or services, financial loss, potential liability, and damage our reputation and affect our relationships with end customers and suppliers.</w:t>
      </w:r>
    </w:p>
    <w:p>
      <w:pPr>
        <w:spacing w:after="0" w:line="9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Further, we may be subject to theft, loss, or misuse of personal and confidential data regarding our employees, end customers and suppliers that is routinely collected, used, stored, and transferred to run our business. Such theft, loss, or misuse could result in significantly increased business and security costs or costs related to defending legal claims.</w:t>
      </w:r>
    </w:p>
    <w:p>
      <w:pPr>
        <w:spacing w:after="0" w:line="12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Even though we have taken measures to comply with current federal, state, or international privacy-related or data protection laws and regulations, material changes in these laws and regulations could result in increased costs on Navitas in order to maintain compliance.</w:t>
      </w:r>
    </w:p>
    <w:p>
      <w:pPr>
        <w:spacing w:after="0" w:line="12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Our business also depends on various outsourced IT services. We rely on third-party vendors to provide critical services and to adequately address cyber security threats to their own systems. Any material failure of third-party systems and services to operate effectively could disrupt our operations and could have a material adverse effect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the risks associated with litigation, investigations and regulatory proceedings.</w:t>
      </w:r>
    </w:p>
    <w:p>
      <w:pPr>
        <w:spacing w:after="0" w:line="21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We may in the future face legal, administrative and regulatory proceedings, claims, demands and/or investigations involving shareholder, consumer, employment, third-party manufacturers, subcontractors, competition and/or other issues relating to our business on a global basis. Litigation and regulatory proceedings are inherently uncertain, and adverse rulings could occur, including monetary damages, or an injunction stopping us from manufacturing or selling certain products, engaging in certain business practices, or requiring other remedies, such as compulsory licensing of patents. An unfavorable outcome or settlement may result in a material adverse impact on our business, results of operations, financial position, and overall trends. In addition, litigation, regardless of outcome, could result in substantial costs, reputational harm and a diversion of management’s attention and resources, and any litigation may have a material adverse effect on our business, financial condition, results of operations and cash flows.</w:t>
      </w:r>
    </w:p>
    <w:p>
      <w:pPr>
        <w:spacing w:after="0" w:line="14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In addition, the laws and regulations our business is subject to are complex and change frequently. We may be required to incur significant expense to comply with changes in, or remedy violations of, these laws and regulations.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 could result in inaccurate financial reporting.</w:t>
      </w:r>
    </w:p>
    <w:p>
      <w:pPr>
        <w:spacing w:after="0" w:line="20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If we fail to maintain an effective system of internal controls, we may not be able to accurately report our financial results. As a result, our stakeholders could lose confidence in our financial reporting, which could adversely affect results of our business and our enterprise value.</w:t>
      </w:r>
    </w:p>
    <w:p>
      <w:pPr>
        <w:spacing w:after="0" w:line="9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will need to undertake significant efforts to strengthen our processes and systems and adapt them to changes as our business evolves. This continuous process of maintaining and adapting our internal controls is expensive and time-consuming and requires significant management attention. We cannot be certain that our internal control measures will, in the future, provide adequate control over our financial processes and reporting. Furthermore, as our business evolves and if we expand through acquisitions of other companies or make significant investments in other companies or enters into joint development and similar arrangements, our internal controls may become more complex and we will require significantly more resources to ensure our internal controls remain effective. Failure to implement required new or improved controls, or difficulties encountered in their implementation, could harm our operating results or cause us to fail to meet our reporting obligations. If we or our independent registered public accounting firm identify additional material weaknesses in the future, the disclosure of that fact, even if quickly remediated, could reduce the market’s confidence in our financial statements and harm our enterprise value.</w:t>
      </w:r>
    </w:p>
    <w:p>
      <w:pPr>
        <w:spacing w:after="0" w:line="138"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end customers to determine an appropriate allowance for doubtful accounts. Based on our review of our customers, nearly all of which are distributors, annually and as of December 31, 2022, 2021, 2020 and December 31, 2019, respectively, we believe all of our receivables are collectable. If our doubtful accounts, however, were to exceed our current or future allowance for doubtful accounts, our business, financial condition, and results of operations would be adversely affected.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our growth rate, we may not be able to execute our business plan and our operating results could suffer.</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experienced significant growth in a short period of time. Our net revenue increased from zero in fiscal year 2017, to $11.8 million in fiscal year 2020, to $23.7 million in fiscal year 2021, to $37.9 million in fiscal year 2022. We may not achieve similar growth rates in future periods. You should not rely upon our revenue growth, gross margins or operating results for any prior quarterly or annual periods as an indication of Navitas’ future operating performance. If we are unable to maintain adequate revenue growth, our financial results could suffer and our stock price could decline.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margins are dependent on us achieving continued yield improvement.</w:t>
      </w:r>
    </w:p>
    <w:p>
      <w:pPr>
        <w:spacing w:after="0" w:line="20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We rely on obtaining yield improvements and corresponding cost reductions in the manufacture of existing products and on introducing new products that incorporate advanced features and other price/performance factors that enable us to increase revenues while maintaining acceptable margins. To the extent such cost reductions and new product introductions do not occur in a timely manner, or that our products do not achieve market acceptance or market acceptance at acceptable pricing, our forecasts of future revenue, financial condition, and operating results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8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pacing w:after="0" w:line="11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and Legacy Navitas are a U.S. corporation for U.S. federal income tax purposes and thus subject to U.S. corporate income tax on our worldwide income. In addition, because Legacy Navitas is also incorporated under Irish law, Legacy Navitas is also subject to Irish income tax on its worldwide income. We, through our foreign subsidiaries, are subject to income taxes in other foreign jurisdictions as a result of foreign operations in such jurisdictions. Thus, new laws and policy relating to either U.S., Irish or other applicable foreign jurisdiction taxes may have an adverse effect on our business and future profitability. Further, existing U.S., Irish or other foreign tax laws, statutes, rules, regulations, ordinances or treaties could be interpreted, changed, modified or applied adversely to us, possibly with retroactive effect. For example, several tax proposals in the U.S. would, if enacted, make significant changes to U.S. tax laws. Such proposals include, but are not limited to, (i) an increase in the U.S. income tax rate applicable to corporations from 21% to 28%, (ii) an increase in the maximum U.S. federal income tax rate applicable to individuals and (iii) an increase in the U.S. federal income tax rate for long term capital gain for certain taxpayers with income in excess of a threshold amount. Congress may consider, and could include, some or all of these proposals in connection with tax reform to be undertaken by the current administration. It is unclear whether these or similar changes will be enacted and, if enacted, how soon any such changes could take effect (or whether such changes would have retroactive effect). The passage of any legislation as a result of these proposals and other similar changes in U.S. federal income tax laws could adversely affect our business and future profitability. Further, we could be adversely impacted by changes in tax treaties or the interpretation or enforcement thereof by any tax authority. Such changes could materially and adversely affect the effective tax rate of our business and require us to take further action, at potentially significant expense, to seek to preserve our effective tax rate.</w:t>
      </w:r>
    </w:p>
    <w:p>
      <w:pPr>
        <w:spacing w:after="0" w:line="14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Legacy Navitas is a tax resident of, and is subject to tax in, both the United States and Ireland. While we intend to pursue relief from double taxation under the double tax treaty between the United States and Ireland, there can be no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assurance that such efforts will be successful. Accordingly, the status of Legacy Navitas as a tax resident in the U.S. and Ireland may result in an increase in our cash tax obligations and effective tax rate, which increase may be material.</w:t>
      </w:r>
    </w:p>
    <w:p>
      <w:pPr>
        <w:spacing w:after="0" w:line="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Because Legacy Navitas is registered as a Delaware limited liability company and because it is treated as a U.S. corporation under Section 7874 of the Code and the Treasury Regulations promulgated thereunder, it is treated as a U.S. corporation for U.S. federal income tax purposes. Because Legacy Navitas is treated as a domestic corporation for U.S. federal income tax purposes, among other consequences, it is generally subject to U.S. federal income tax on its worldwide income, and its dividends are treated as dividends from a U.S. corporation. Regardless of the application of Section 7874 of the Code and its registration as a Delaware limited liability company, Legacy Navitas is also treated as an Irish tax resident for Irish income tax purposes as a consequence of being incorporated under the laws of Ireland. Therefore, because Legacy Navitas is a tax resident of Ireland and the U.S., it could be liable for both U.S. and Irish taxes on its worldwide income and dividends paid by it to us could be subject to Irish withholding taxes.</w:t>
      </w:r>
    </w:p>
    <w:p>
      <w:pPr>
        <w:spacing w:after="0" w:line="14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While we intend to pursue relief from double taxation under the double tax treaty between the United States and Ireland, there can be no assurance that such efforts will be successful or result in a favorable outcome. Accordingly, the status of Legacy Navitas as a tax resident in the United States and Ireland may result in an increase in its cash tax obligations and effective tax rate, which increase may be material.</w:t>
      </w:r>
    </w:p>
    <w:p>
      <w:pPr>
        <w:spacing w:after="0" w:line="11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As a consequence of Legacy Navitas being treated as an inverted domestic corporation under the Homeland Security Act, the U.S. federal government and certain state and local governments may refrain from entering into contracts with it in the future, which could substantially decrease the value of our business and, accordingly, the value of our common shares.</w:t>
      </w:r>
    </w:p>
    <w:p>
      <w:pPr>
        <w:spacing w:after="0" w:line="1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Federal Acquisition Regulation (“FAR”) prohibits U.S. federal government agencies from using appropriated (or otherwise made available) funds for contracts with a foreign incorporated entity, or a subsidiary of such an entity, that is an “inverted domestic corporation,” as defined in the Homeland Security Act at 6 U.S.C. § 395(b). This means that government agencies may be prohibited from entering into new contracts with an inverted domestic corporation, and may be prohibited from paying for contractor activities on existing contracts after the date of the “inversion.” If our business becomes heavily dependent upon revenues generated from U.S. federal government contracts, the treatment of Legacy Navitas as an inverted domestic corporation could substantially decrease the value of our business and, accordingly, the value of our common shares. The application of the “inverted domestic corporation” definition is somewhat unclear due to the lack of detailed regulations or other guidance promulgated with respect to the relevant provisions of the Homeland Security Act (or similar state or local rules). Section 7874 of the Code, discussed above, includes substantially similar provisions regarding the determination of whether a foreign corporation is treated as a U.S. domestic corporation for U.S. federal income tax purposes. While the regulatory provisions and other guidance issued by the IRS and the Treasury Department with respect to Section 7874 of the Code provide more detailed guidance, which interprets Section 7874 of the Code as having expansive application, these regulations do not explicitly apply for the purposes of determining whether a corporation is an inverted domestic corporation under the Homeland Security Act (or similar state or local rules), and it is unclear to what extent they should be viewed as interpretive guidance for such purposes. As discussed above, Legacy Navitas is treated as a U.S. domestic corporation under Section 7874 of the Code. Therefore, if the expansive guidance issued by the IRS and Treasury Department were viewed as interpretive for purposes of the definition of “inverted domestic corporation” in the Homeland Security Act (or similar state or local rules), it is expected that Legacy Navitas will be treated as an inverted domestic corporation for such purposes.</w:t>
      </w:r>
    </w:p>
    <w:p>
      <w:pPr>
        <w:spacing w:after="0" w:line="125"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Any adjustment to the purchase price of the assets that were transferred pursuant to the restructuring of Legacy Navitas in 2020 could adversely impact our tax position.</w:t>
      </w:r>
    </w:p>
    <w:p>
      <w:pPr>
        <w:spacing w:after="0" w:line="1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connection with the restructuring of Legacy Navitas in 2020, substantially all of the intellectual property and other intangible assets of Legacy Navitas were sold from a subsidiary of the Legacy Navitas group to Navitas Ireland. Legacy Navitas has recently obtained a third-party valuation of the transferred assets to support the purchase price paid for such assets. However, there can be no assurance that the relevant taxing authorities will agree with the purchase price ascribed to the transferred assets, and an adjustment to the purchase price could adversely impact Legacy Navitas’ tax position.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the event our business expands domestically or internationally, our effective tax rates may fluctuate widely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Additionally, we may be subject to tax on more than one-hundred percent of our income as a result of such income being subject to tax in multiple state, local or non-U.S. jurisdictions.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the combined business.</w:t>
      </w:r>
    </w:p>
    <w:p>
      <w:pPr>
        <w:spacing w:after="0" w:line="13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Additionally, we may be subject to significant income, withholding and other tax obligations in the United States and Ireland and may become subject to taxes in numerous additional state, local and non-U.S. jurisdictions with respect to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tax liabilities; (b) changes in the valuation of deferred tax assets and liabilities; (c) expected timing and amount of the release of any tax valuation allowances; (d) tax treatment of stock-based compensation; (e) changes in the relative amount of earnings subject to tax in the various jurisdictions in which we operate; (f) the potential expansion into or otherwise becoming subject to tax in additional jurisdictions; (g) changes to the existing intercompany structure (and any costs related thereto) and business operations; (h) the extent of intercompany transactions and the extent to which taxing authorities in the relevant jurisdictions respect such intercompany transactions; and (i) the ability to structure our operations in an efficient and competitive manner. Outcomes from audits or examinations by taxing authorities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adversely affected.</w:t>
      </w:r>
    </w:p>
    <w:p>
      <w:pPr>
        <w:spacing w:after="0" w:line="13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 in connection with the Business Combination or other ownership changes.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have incurred net operating losses for U.S. federal income tax purposes since our inception. To the extent that we continue to generate U.S. federal net operating losses, amounts which are not used to offset taxable income may carry forward to offset future taxable income, if any, for U.S. federal income tax purposes until such carryforwards expire, if at all. As of December 31, 2021, Navitas had U.S. federal net operating loss carryforwards of approximately $100.1 million.</w:t>
      </w:r>
    </w:p>
    <w:p>
      <w:pPr>
        <w:spacing w:after="0" w:line="1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the Tax Cuts and Jobs Act of 2017 (the “TCJA”), as modified by the Coronavirus Aid, Relief, and Economic Security Act (the “CARES Act”), U.S. federal net operating loss carryforwards generated in taxable years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TCJA or the CARES Act.</w:t>
      </w:r>
    </w:p>
    <w:p>
      <w:pPr>
        <w:spacing w:after="0" w:line="13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addition, our U.S. federal net operating loss carryforwards are subject to review and possible adjustment by the IRS and state tax authorities. Under Sections 382 and 383 of the Code, the deductibility of our U.S. federal net operating loss carryforwards and other tax attributes may become subject to an annual limitation in the event of certain cumulative changes in the ownership of our common stock. Under Section 382 of the Code, if a corporation experiences an “ownership change,” the corporation’s ability to use its pre-change net operating loss carryforwards to offset its post-change income may be limited. An ownership change pursuant to Section 382 of the Code generally occurs if one or more stockholders or groups of stockholders who own at least 5 percent of a corporation’s stock increase their ownership by more than 50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percentage points over their lowest ownership percentage within a rolling three-year period. If we have experienced an ownership change at any time since our inception, utilization of the U.S. federal net operating loss carryforwards or other U.S. federal tax attributes would be subject to an annual limitation under Section 382 of the Code, which is determined by first multiplying the value of our common stock at the time of the ownership change by the applicable long-term tax-exempt rate, and then could be subject to additional adjustments, as required. Any limitation may result in expiration of a portion of our U.S. federal net operating loss carryforwards before utilization. Additionally, future changes in our stock ownership, which may be outside our control, may trigger an ownership change. Our U.S. federal net operating losses may also be impaired under state tax laws. Accordingly, we may not be able to utilize a material portion of our U.S. federal net operating loss carryforwards. We have not yet determined any resulting limitations on our ability to utilize our net operating loss carryforwards and other tax attributes. If we earn taxable income for U.S. federal income tax purposes in the future, such limitations could result in increased future income tax liability to us and our future cash flows could be adversely affected. We have recorded a valuation allowance related to our net operating loss carryforwards and other deferred tax assets due to the uncertainty of the ultimate realization of the future benefits of those assets.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Much of the technology used in the markets in which we compete is protected by patents and trade secrets, and our commercial success will depend in significant part on our ability to obtain and maintain patent and trade secret protection for our products and methods. To compete in these markets, we rely on a combination of trade secret protection, nondisclosure and licensing agreements, patents and trademarks to establish and protect our proprietary intellectual property rights. Our intellectual property rights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United States.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our inability to preserve existing intellectual property rights could adversely impact our competitive position and results of operations. The loss of our patents could reduce the value of the related products that practice such patents.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Proprietary trade secrets and unpatented know-how are also very important to our business. We rely on trade secrets to protect certain aspects of our technology, especially where we do not believe that patent protection is appropriate or obtainable. However, trade secrets can be difficult to protect. Our employees, consultants, contractors, outside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 party illegally obtained and is using our trade secrets may be expensive and time consuming Moreover, our competitors may independently develop equivalent knowledge, methods and know-how. Failure to obtain or maintain trade secret protection could adversely affect our competitive business position.</w:t>
      </w:r>
    </w:p>
    <w:p>
      <w:pPr>
        <w:spacing w:after="0" w:line="138"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patents and the legal protection afforded by any additional patents may not adequately cover the full scope of our business or permit us to gain or keep competitive advantage.</w:t>
      </w:r>
    </w:p>
    <w:p>
      <w:pPr>
        <w:spacing w:after="0" w:line="9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Our ability to obtain additional patents is uncertain and the legal protection afforded by these patents may not adequately protect our rights or permit us to gain or keep competitive advantage. In addition, the specific content required of patents and patent applications that are necessary to support and interpret patent claims can be uncertain due to the complex nature of the relevant legal, scientific and factual issues. Changes in either patent laws or interpretations of patent laws in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United States or elsewhere may diminish the value of our intellectual property or narrow the scope of our patent protection. Even if patents are issued regarding our products and processes, our competitors may challenge the validity of those patents.</w:t>
      </w:r>
    </w:p>
    <w:p>
      <w:pPr>
        <w:spacing w:after="0" w:line="90"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infringe or misappropriate, or are accused of infringing or misappropriating, the intellectual property rights of third parties, we may incur substantial costs or prevent us from being able to commercialize new products.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semiconductor industry is characterized by frequent litigation regarding patent and other intellectual property rights. From time to time, we may receive communications from third parties that allege that our products or technologies infringe their patent or other intellectual property rights. Lawsuits or other proceedings resulting from allegations of infringement could subject us to significant liability for damages, invalidate our proprietary rights and adversely affect our business. In the event that any third-party succeeds in asserting a valid claim against us or any of our end customers, we could be forced to do one or more of the following:</w:t>
      </w:r>
    </w:p>
    <w:p>
      <w:pPr>
        <w:spacing w:after="0" w:line="137" w:lineRule="exact"/>
        <w:rPr>
          <w:sz w:val="20"/>
          <w:szCs w:val="20"/>
          <w:color w:val="auto"/>
        </w:rPr>
      </w:pPr>
    </w:p>
    <w:p>
      <w:pPr>
        <w:ind w:left="660" w:hanging="328"/>
        <w:spacing w:after="0" w:line="313"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selling, importing or using certain technologies that contain the allegedly infringing intellectual property which could cause us to stop manufacturing certain products;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non-infringing technologies, which may not be feasible;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monetary damages to the party whose intellectual property rights we may be found to be infringing; and/or</w:t>
      </w:r>
    </w:p>
    <w:p>
      <w:pPr>
        <w:spacing w:after="0" w:line="19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end customers could be required to seek licenses to the infringed technology that may not be available on commercially reasonable terms, if at all.</w:t>
      </w:r>
    </w:p>
    <w:p>
      <w:pPr>
        <w:spacing w:after="0" w:line="1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may not prevail in such matters or be able to license any valid and infringed patents from third parties on commercially reasonable terms. This could result in the loss of our ability to import and sell our products or require us to pay costly royalties to third parties in connection with sales of our products. In addition, if a third-party causes us to discontinue the use of any technologies, we could be required to design around those technologies. This could be costly and time consuming and could have an adverse effect on our financial results. Any significant impairments of intellectual property rights from any litigation we face could materially and adversely impact our business, financial condition, results of operations and our ability to compete.</w:t>
      </w:r>
    </w:p>
    <w:p>
      <w:pPr>
        <w:spacing w:after="0" w:line="12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 Defending ourselves against third-party claims, including litigation in particular, may be costly and time consuming and may divert management’s attention from our business.</w:t>
      </w:r>
    </w:p>
    <w:p>
      <w:pPr>
        <w:spacing w:after="0" w:line="115"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ability to design and introduce new products in a timely manner is dependent upon third-party IP, including third party and “open source” software.</w:t>
      </w:r>
    </w:p>
    <w:p>
      <w:pPr>
        <w:spacing w:after="0" w:line="9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the design and development of new products and product enhancements, we rely on third-party intellectual property such as software development tools and hardware testing tools. Furthermore, certain product features rely on intellectual property acquired from third parties, including hardware and software tools and products. The design requirements necessary to meet future consumer demands for more features and greater functionality from semiconductor products may exceed the capabilities of the third-party intellectual property or development tools that are available to us. In addition, hardware and software tools and products procured from third parties may contain design or manufacturing defects that such third parties are unable to resolve, including flaws that could unexpectedly interfere with the operation of our products. Furthermore, some of the software licensed from third parties may not be available in the future on terms acceptable to us or allow our products to remain competitive. The loss of these licenses or the inability to maintain any of them on commercially acceptable terms could delay development of future products or the enhancement of existing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products. If the third-party intellectual property that we use becomes unavailable or fails to produce designs that meet consumer demands, our business could be harmed.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2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large body of laws and regulations to which we are subject or to successfully develop and implement policies, procedures and practices intended to facilitate compliance with such laws and regulations could have a material adverse effect on our business and operations.</w:t>
      </w:r>
    </w:p>
    <w:p>
      <w:pPr>
        <w:spacing w:after="0" w:line="117"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We are subject to regulation by various governmental agencies in the United States and other jurisdictions in which we operate, including China, Taiwan, the Philippines, Hong Kong and Korea. In addition, the laws and regulations our business is subject to are complex and change frequently.</w:t>
      </w:r>
    </w:p>
    <w:p>
      <w:pPr>
        <w:spacing w:after="0" w:line="1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may be required to incur significant expenses to comply with changes in applicable regulations and requirements and our failure to comply with any applicable regulations or requirements could subject us to investigations, sanctions, enforcement actions, fines, damages, penalties, or injunctions. If any governmental sanctions are imposed, or if we do not prevail in any possible civil or criminal litigation, our business, financial condition and results of operations could be materially and adversely affected. In addition, responding to any action will likely result in a significant diversion of management’s attention and financial resources.</w:t>
      </w:r>
    </w:p>
    <w:p>
      <w:pPr>
        <w:spacing w:after="0" w:line="119"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restrictions and laws affecting trade and investments that could materially and adversely affect our business and results of operations.</w:t>
      </w:r>
    </w:p>
    <w:p>
      <w:pPr>
        <w:spacing w:after="0" w:line="9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Since the beginning of 2018, there have been several instances of U.S. tariffs on Chinese goods, some of which prompted retaliatory Chinese tariffs on U.S. goods. In May 2019, the U.S. President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end customers.</w:t>
      </w:r>
    </w:p>
    <w:p>
      <w:pPr>
        <w:spacing w:after="0" w:line="13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institution of trade tariffs both globally and between the U.S. and China specifically carries the risk of negatively affecting China’s overall economic condition, which could have negative repercussions on our business.</w:t>
      </w:r>
    </w:p>
    <w:p>
      <w:pPr>
        <w:spacing w:after="0" w:line="12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Furthermore, the imposition of tariffs could cause a decrease in the sales of products to end customers located in China or other end customers selling to Chinese end users, which could materially and adversely affect our business, financial condition and results of operations.</w:t>
      </w:r>
    </w:p>
    <w:p>
      <w:pPr>
        <w:spacing w:after="0" w:line="1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are subject to U.S. laws and regulations that could limit and restrict the export of some products and services and may restrict transactions with certain end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the controlled item. Compliance with these laws and regulations could materially limit operations or sales, which would materially and adversely affect our business and results of operations.</w:t>
      </w:r>
    </w:p>
    <w:p>
      <w:pPr>
        <w:spacing w:after="0" w:line="12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In addition, U.S. laws and regulations and sanctions, or threat of sanctions, that could limit and restrict the export of some of our products and services to end customers, may also encourage end customers to develop their own solutions to replace our products, or seek to obtain a greater supply of similar or substitute products from competitors that are not subject to these restrictions, which could materially and adversely affect our business, financial condition and results of operations.</w:t>
      </w:r>
    </w:p>
    <w:p>
      <w:pPr>
        <w:spacing w:after="0" w:line="11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Further, our sales may be adversely affected by the current and future political environment in China and the policies of the China Central Government. China’s government has exercised and continues to exercise substantial control over nearly all sectors of the Chinese economy through regulation and state ownership. Our ability to ship products to China may be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The United States government has called for substantial changes to foreign trade policy with China and has raised (as well as has proposed to further raise in the future), tariffs on several Chinese goods. China has retaliated with increased tariffs on United States goods. Any further changes in United States trade policy could trigger retaliatory actions by affected countries, including China, resulting in trade wars. Any changes in United States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spacing w:after="0" w:line="13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addition, there may be circumstances where we may have to incur premium freight charges to expedite the delivery of our products to end customers or as a result of being required to ship to alternative ports due to local Chinese government regulations or delays at the ports that we typically utilize. If we incur a significant amount of freight charges, our gross profit will be negatively affected if we are unable to pass on those charges to end customers.</w:t>
      </w:r>
    </w:p>
    <w:p>
      <w:pPr>
        <w:spacing w:after="0" w:line="12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In order to comply with environmental and occupational health and safety laws and regulations, we may need to modify our activities or incur substantial costs, and such laws and regulations, including any failure to comply with such laws and regulations, could subject us to substantial costs, liabilities, obligations and fines, or require it to have suppliers alter their processes.</w:t>
      </w:r>
    </w:p>
    <w:p>
      <w:pPr>
        <w:spacing w:after="0" w:line="1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semiconductor industry is subject to a variety of international, federal, state, local and non-U.S. laws and regulations governing pollution, environmental protection and occupational health and safety. Compliance with current or future environmental and occupational health and safety laws and regulations could restrict our ability to expand our business or require us to modify processes or incur other substantial expenses which could harm our business. Environmental and occupational health and safety laws and regulations have tended to become more stringent over time, causing a need to redesign technologies, imposing greater compliance costs and increasing risks and penalties associated with violations, which could seriously harm our business.</w:t>
      </w:r>
    </w:p>
    <w:p>
      <w:pPr>
        <w:spacing w:after="0" w:line="13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Conflict minerals and other supply chain diligence and disclosure regulations may force us to incur additional expenses, may result in damage to our business reputation and may adversely impact our ability to conduct our business.</w:t>
      </w:r>
    </w:p>
    <w:p>
      <w:pPr>
        <w:spacing w:after="0" w:line="11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SEC has disclosure requirements for companies that use conflict minerals in their products. Some of these metals are commonly used in semiconductors devices, including our products. These SEC rules require companies to investigate, disclose and report whether or not such metals originated from the Democratic Republic of Congo or adjoining countries. We have numerous foreign suppliers, many of whom are not obligated by law to investigate their own supply chains. As a result, we may incur significant costs to comply with the diligence and disclosure requirements, including costs related to determining the source of any of the relevant metals used in our products. In addition, because our supply chain is with third parties, we may not be able to sufficiently verify the origin of all the relevant metals used in our products through the due diligence procedures we implement. We may also face difficulties in satisfying our end customers if they require that we prove or certify that our products are “conflict free.” Key components and parts that can be shown to be “conflict free” may not be available to us in sufficient quantity, or at all, or may only be available at significantly higher cost to us. If we are not able to meet end customer requirements, end customers may discontinue purchasing from us. Any of these outcomes could adversely impact our business, financial condition or operating results.</w:t>
      </w:r>
    </w:p>
    <w:p>
      <w:pPr>
        <w:spacing w:after="0" w:line="129"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applicable anti-corruption laws or violations of our internal policies designed to ensure ethical business practices.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operate in a number of countries throughout the world, including in countries that do not have as strong a commitment to anti-corruption and ethical behavior that is required by U.S. laws or by corporate policies. We are subject to the risk that we, our U.S. employees or our employees located in other jurisdictions or any third-parties that we engage to do work on our behalf in foreign countries may take action determined to be in violation of anti-corruption laws in any jurisdiction in which we conduct business, including the FCPA. In addition, we operate in certain countries in which the government may take an ownership stake in an enterprise and such government ownership may not be readily apparent (thereby increasing potential FCPA violations).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the we will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spacing w:after="0" w:line="12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Compliance with state, federal, and foreign laws and regulations related to privacy, data use, and security may require increased capital expenditure, and a failure to comply with such laws and regulations could adversely affect us.</w:t>
      </w:r>
    </w:p>
    <w:p>
      <w:pPr>
        <w:spacing w:after="0" w:line="9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We are subject to state and federal laws and regulations related to privacy, data use, and security. In addition, in recent years, there has been a heightened legislative and regulatory focus on data security. Legislation has been introduced in Congress and there have been several Congressional hearings addressing these issues. In addition, several states have enacted privacy or security breach legislation requiring varying levels of consumer notification in the event of a security breach, and granting consumers broader or new rights with respect to personal data that a business collects about them.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 Additionally, the Federal Trade Commission and many state attorneys general are interpreting federal and state consumer protection laws to impose standards for the online collection, use, dissemination and security of data.</w:t>
      </w:r>
    </w:p>
    <w:p>
      <w:pPr>
        <w:spacing w:after="0" w:line="1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harm our business, financial condition, and results of operations.</w:t>
      </w:r>
    </w:p>
    <w:p>
      <w:pPr>
        <w:spacing w:after="0" w:line="13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addition, personal privacy, cyber security, and data protection are becoming increasingly significant issues in China. To address these issues, the Standing Committee of the National People’s Congress promulgated the Cyber Security Law of the People’s Republic of China (the “Cyber Security Law”), which took effect on June 1, 2017. The Cyber Security Law sets forth various requirements relating to the collection, use, storage, disclosure and security of data, among other things. Various Chinese agencies are expected to issue additional regulations in the future to define these requirements more precisely. These requirements may increase our costs of compliance. Any failure by us to comply with the Cyber Security Law and the relevant regulations and policies could result in further cost and liability to us and could adversely affect our business and results of operations. Additionally, increased costs to comply with, and other burdens imposed by, the Cyber Security Law and relevant regulations and policies that are applicable to the businesses of our suppliers, vendors and other service providers, as well as our end customers, could adversely affect our business and results of operations.</w:t>
      </w:r>
    </w:p>
    <w:p>
      <w:pPr>
        <w:spacing w:after="0" w:line="12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Any failure, or perceived failure, by us to comply with any federal, state, local or foreign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Regulations and evolving legislation governing issues involving climate change and sustainability could result in increased operating costs, which could have a material adverse effect on our business.</w:t>
      </w:r>
    </w:p>
    <w:p>
      <w:pPr>
        <w:spacing w:after="0" w:line="9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 number of international, federal, state or local governments or governmental bodies have introduced or are contemplating regulatory changes in response to the potential impact of climate change. For example, the United States Environmental Protection Agency (“EPA”) issued a notice of finding and determination that emissions of carbon dioxide, methane, and other greenhouse gases (“GHGs”) present an endangerment to human health and the environment, which allowed EPA to begin regulating emissions of GHGs under existing provisions of the Clean Air Act (“CAA”). Legislation and increased regulation regarding climate change could impose significant costs on Navitas and its suppliers, including costs related to increased energy requirements, capital equipment, environmental monitoring, permitting, reporting and other costs to comply with such regulations. Any adopted future climate change regulations could also negatively impact our ability to compete with companies situated in areas and countries not subject to such limitations. Given the political significance, regulatory or compliance obligations and uncertainty around the impact of climate change and how it should be addressed, we cannot predict how legislation and regulation will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The potential physical impacts of climate change on our operations are highly uncertain, and would be particular to the geographic circumstances in areas in which we operate. These impacts may adversely impact the cost, production and financial performance of our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1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existing executive officers, directors and their affiliates, including the investment funds they represent, may prevent new investors from influencing significant corporate decisions.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At September 19, 2022, our executive officers, directors and their affiliates, including the investment funds they represent, as a group beneficially owned approximately 36% of our outstanding Class A Common Stock. As a result, these stockholders will be able to exercise a significant level of control over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us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may cause the market price of our securities to drop significantly, even if our business is doing well.</w:t>
      </w:r>
    </w:p>
    <w:p>
      <w:pPr>
        <w:spacing w:after="0" w:line="20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Pursuant to the Lock-Up Agreements and the Sponsor Letter Amendment, subject to certain exceptions, the Sponsor, our directors and officers and certain stockholders of us will be contractually restricted from selling or transferring any of their respective shares of Class A Common Stock (the “Lock-up Shares”). Such restrictions begin at Closing and end at varying times, ranging from six months to three years, subject, in certain circumstances, to early release upon the achievement of certain price targets, or other events.</w:t>
      </w:r>
    </w:p>
    <w:p>
      <w:pPr>
        <w:spacing w:after="0" w:line="13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However, following the expiration of such applicable lockup periods, the Sponsor, our directors and officers and the applicable stockholders of us will not be restricted from selling shares of the Class A Common Stock held by them, other than by applicable securities laws. As such, sales of a substantial number of shares of our Class A Common Stock in the public market could occur at any time. These sales, or the perception in the market that the holders of a large number 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shares intend to sell shares, could reduce the market price of our Class A Common Stock. The Sponsor, Navitas’ directors and officers and the stockholders of Navitas will collectively beneficially own approximately 70% of the outstanding shares of Class A Common Stock.</w:t>
      </w:r>
    </w:p>
    <w:p>
      <w:pPr>
        <w:spacing w:after="0" w:line="9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shares held by Sponsor, our directors and officers and certain of our stockholders may be sold after the expiration of the applicable lock-up period under the Lock-Up Agreements and the Sponsor Letter Amendment and the Registration Rights Agreement. As restrictions on resale end and registration statements are available for use, the sale or possibility of sale of these shares could have the effect of increasing the volatility in the share price or the market price of our Class A Common Stock and could decline if the holders of currently restricted shares sell them or are perceived by the market as intending to sell them.</w:t>
      </w:r>
    </w:p>
    <w:p>
      <w:pPr>
        <w:spacing w:after="0" w:line="1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financial analysts publish about us or our business. We will not control these analysts. In addition, some financial analysts may have limited expertise with our model and operations. Furthermore, if one or more of the analysts who do cover us downgrade our stock or industry, or the stock of any of our competitors, or publish inaccurate or unfavorable research about our business,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11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capital stock in connection with financings, acquisitions, investments, our stock incentive plans or otherwise by us could dilute the ownership and voting power of our stockholders.</w:t>
      </w:r>
    </w:p>
    <w:p>
      <w:pPr>
        <w:spacing w:after="0" w:line="1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At March 28, 2023, we had 561,636,238 shares of Class A Common Stock authorized but unissued. In addition, our certificate of incorporation authorizes us to issue up to 1,000,000 shares of preferred stock with such rights and preferences as may be determined by our board. Our certificate of incorporation authorizes us to issue shares of Class A Common Stock or other securities convertible into or exercisable or exchangeable for shares of Class A Common Stock from time to time, for the consideration and on the terms and conditions established by our board in its sole discretion, whether in connection with a financing, an acquisition, an investment, stock incentive plans or otherwise. Such additional shares of Class A Common Stock or such other securities may be issued at a discount to the market price of Class A Common Stock at the time of issuance. Our preferred stock could be issued with voting, liquidation, dividend and other rights superior to the rights of Class A Common Stock. As discussed below,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 Any issuance of such securities could result in substantial dilution to our then existing stockholders and cause the market price of shares of Class A Common Stock to decline.</w:t>
      </w:r>
    </w:p>
    <w:p>
      <w:pPr>
        <w:spacing w:after="0" w:line="13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involves significant expenses and requires significant resources and management attention, which may divert from our business operations.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13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These rules and regulations will result in us incurring substantial legal and financial compliance costs and will make some activities more time-consuming and costly. For example, these rules and regulations will likely make it more difficult and more expensive for us to obtain director and officer liability insurance, and it may be required to accept reduced policy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limits and coverage or incur substantially higher costs to obtain the same or similar coverage. As a result, it may be difficult for us to attract and retain qualified people to serve on our board of directors, our board committees or as executive officers.</w:t>
      </w:r>
    </w:p>
    <w:p>
      <w:pPr>
        <w:spacing w:after="0" w:line="90"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our bylaws and under the DGCL contain antitakeover provisions that could prevent or discourage a takeover.</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Class A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w:t>
      </w:r>
    </w:p>
    <w:p>
      <w:pPr>
        <w:spacing w:after="0" w:line="124" w:lineRule="exact"/>
        <w:rPr>
          <w:sz w:val="20"/>
          <w:szCs w:val="20"/>
          <w:color w:val="auto"/>
        </w:rPr>
      </w:pPr>
    </w:p>
    <w:p>
      <w:pPr>
        <w:ind w:left="660" w:hanging="328"/>
        <w:spacing w:after="0" w:line="329"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have the effect of deferring, delaying or discouraging hostile takeovers, or changes in control of us or our management;</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to elect a director to fill a vacancy created by, among other things, the expansion of the board of directors or the resignation, death or removal of a director, which prevents stockholders from filling vacancies on our board;</w:t>
      </w:r>
    </w:p>
    <w:p>
      <w:pPr>
        <w:spacing w:after="0" w:line="121"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alter the bylaws without obtaining stockholder approval;</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stockholders;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board, which may delay the ability of our stockholders to force consideration of a proposal or for stockholders controlling a majority of our capital stock to take action, including the removal of directors;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1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We qualify as an “emerging growth company” within the meaning of the Securities Act of 1933, as amended,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1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We are currently an “emerging growth company” within the meaning of the Securities Act, as modified by the JOBS Act, and we are able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previously approved. As a result, our shareholders may not have access to certain information they may deem important.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3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and the federal district courts of the United States of America as the exclusive forums for certain disputes between us and our stockholders, which will restrict such stockholders’ ability to choose the judicial forum for disputes with us or our directors, officers, or employees.</w:t>
      </w:r>
    </w:p>
    <w:p>
      <w:pPr>
        <w:spacing w:after="0" w:line="12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behalf of us;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the certificate of incorporation or the bylaws; (iv) any action or proceeding to interpret, apply, enforce or determine the validity of the certificate of incorporation or the bylaws (including any right, obligation, or remedy thereunder); (v) any action or proceeding as to which the DGCL confers jurisdiction to the Court of Chancery of the State of Delaware; and (vi) any action or proceeding asserting a claim against us or any of our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Exchange Act or any other claim for which the federal courts have exclusive jurisdiction, or the Securities Act. In addition,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The certificate of incorporation further provides that any person or entity holding, owning or otherwise acquiring any interest in any of our securities shall be deemed to have notice of and consented to these provisions.</w:t>
      </w:r>
    </w:p>
    <w:p>
      <w:pPr>
        <w:spacing w:after="0" w:line="1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the certificate of incorporation. This may require significant additional costs associated with resolving such action in other jurisdictions and we cannot assure you that the provisions will be enforced by a court in those other jurisdictions.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spacing w:after="0" w:line="120"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Actions of stockholders could cause us to incur substantial costs, divert management’s attention and resources and have an adverse effect on our business.</w:t>
      </w:r>
    </w:p>
    <w:p>
      <w:pPr>
        <w:spacing w:after="0" w:line="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end customers.</w:t>
      </w:r>
    </w:p>
    <w:p>
      <w:pPr>
        <w:spacing w:after="0" w:line="12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spacing w:after="0" w:line="10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Legacy Navitas never operated as a public company and will incur significant legal, accounting and other expenses that were not incurred as a private company. The individuals who constitute our management team have limited experience managing a publicly-traded company, and limited experience complying with the increasingly complex and changing laws pertaining to public companies. Our management team and other personnel will need to devote a substantial amount of time to compliance, and we may not effectively or efficiently manage our transition into a public company.</w:t>
      </w:r>
    </w:p>
    <w:p>
      <w:pPr>
        <w:spacing w:after="0" w:line="11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We expect rules and regulations such as the Sarbanes-Oxley Act of 2002 to increase our legal and finance compliance costs and to make some activities more time consuming and costly. For example, Section 404 of the Sarbanes-Oxley Act requires that our management report on, and our independent auditors attest to, the effectiveness of our internal control over financial reporting.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In addition, these Sarbanes-Oxley Act requirements may be modified, supplemented or amended from time to time. Implementing these changes may take a significant amount of time and may require specific compliance training of our personnel. In the future, we may discover areas of our internal controls that need improvement. If we or our auditors discover a material weakness or significant deficiency, the disclosure of that fact, even if quickly remedied, could reduce the market’s confidence in our financial statements and harm our stock price. Any inability to provide reliable financial reports or prevent fraud could harm our business. We may not be able to effectively and timely implement necessary control changes and employee training to ensure continued compliance with the Sarbanes-Oxley Act and other regulatory and reporting requirements. Our recent growth rate could present challenges to maintain the internal control and disclosure control standards applicable to public companies.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sanctions or investigations by the SEC, or other regulatory authorities. Furthermore, investor perceptions of our company may suffer, and this could cause a decline in the market price of our stock. We cannot assure you that we will be able to fully comply with the requirements of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the Sarbanes-Oxley Act or that our management or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125"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or regulations, may adversely affect our business, investments and results of operations.</w:t>
      </w:r>
    </w:p>
    <w:p>
      <w:pPr>
        <w:spacing w:after="0" w:line="11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1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additional shares under an employee incentive plan. The issuance of additional shares of common or preferred stock:</w:t>
      </w:r>
    </w:p>
    <w:p>
      <w:pPr>
        <w:spacing w:after="0" w:line="9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211"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is issued, which may affect, among other things,</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 forwards, if any, and could result in the resignation or removal of our present officers and directors;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97"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We do not own any real property. We lease corporate office and research and development space in Torrance, California and Dulles, Virginia. We also lease office, research and development, and design center space in Shanghai, Shenzhen and Hangzhou, China. We believe our present facilities are suitable and adequate for our current operating needs. We intend to procure additional space as we add employees and expand geographically.</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Item 15 of Part IV, “Exhibits, Financial Statement Schedules” Note 15 – Commitments and Contingencies, in the accompanying notes to the consolidated financial statements included in this report.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Market Information. </w:t>
      </w:r>
      <w:r>
        <w:rPr>
          <w:rFonts w:ascii="Times New Roman" w:cs="Times New Roman" w:eastAsia="Times New Roman" w:hAnsi="Times New Roman"/>
          <w:sz w:val="18"/>
          <w:szCs w:val="18"/>
          <w:color w:val="auto"/>
        </w:rPr>
        <w:t>Our common stock has been listed on the Nasdaq Global Market under the ticker symbol “NVTS” since October 20, 2021.</w:t>
      </w:r>
    </w:p>
    <w:p>
      <w:pPr>
        <w:spacing w:after="0" w:line="29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i w:val="1"/>
          <w:iCs w:val="1"/>
          <w:color w:val="auto"/>
        </w:rPr>
        <w:t xml:space="preserve">Holders. </w:t>
      </w:r>
      <w:r>
        <w:rPr>
          <w:rFonts w:ascii="Times New Roman" w:cs="Times New Roman" w:eastAsia="Times New Roman" w:hAnsi="Times New Roman"/>
          <w:sz w:val="18"/>
          <w:szCs w:val="18"/>
          <w:color w:val="auto"/>
        </w:rPr>
        <w:t>As of March 28, 2023, there were approximately 229 holders of record of our common stock. The actual number of holders of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9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jc w:val="both"/>
        <w:ind w:firstLine="486"/>
        <w:spacing w:after="0" w:line="33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45"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appearing elsewhere in this annual report on Form 10-K. This discussion contains forward-looking statements that reflect our plans, estimates, and beliefs that involve risks and uncertainties. As a result of many factors, such as those set forth under the “Risk Factors” and “Cautionary Statement About Forward-Looking Statements” sections and elsewhere in this annual report, our actual results may differ materially from those anticipated in these forward-looking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486"/>
        <w:spacing w:after="0" w:line="318" w:lineRule="auto"/>
        <w:rPr>
          <w:sz w:val="20"/>
          <w:szCs w:val="20"/>
          <w:color w:val="auto"/>
        </w:rPr>
      </w:pPr>
      <w:r>
        <w:rPr>
          <w:rFonts w:ascii="Times New Roman" w:cs="Times New Roman" w:eastAsia="Times New Roman" w:hAnsi="Times New Roman"/>
          <w:sz w:val="17"/>
          <w:szCs w:val="17"/>
          <w:color w:val="auto"/>
        </w:rPr>
        <w:t>Founded in 2013, Navitas is a U.S.-based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and the Philippines, with principal executive offices in Torrance, California.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19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spacing w:after="0" w:line="177"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9 of the top world-wide 10 mobile OEMs across smartphone and laptops in development with 10 out of 10. In addition, our supply chain partners have committed manufacturing capacity in excess of what we consider to be necessary to support our continued growth and expansion.</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core strength of our business lies in our industry leading IP position in GaN Power ICs. Navitas invented the first commercial GaN Power ICs.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we have over 185 patents that are issued or pending.</w:t>
      </w:r>
    </w:p>
    <w:p>
      <w:pPr>
        <w:spacing w:after="0" w:line="26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addition to our comprehensive patent portfolio, our biggest proprietary advantage is our process design kit (PDK), the ‘how-to’ guide for Navitas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2021 and 2022, we spent approximately 103% and 141%, respectively, of our revenue on research and development. Navitas’ research and development activities are located primarily in the US and China.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GeneSiC</w:t>
      </w:r>
    </w:p>
    <w:p>
      <w:pPr>
        <w:spacing w:after="0" w:line="295"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August 15, 2022, the Company entered into an Agreement and Plan of Merger (the “Merger Agreement”) to acquire 100% of the outstanding shares of GeneSiC Semiconductor Inc. (“GeneSiC”) for $146.3 million of equity, $99.3 million of cash consideration, and potential future earn-out payments of up to an aggregate of $25.0 million in cash. GeneSiC is a silicon carbide (SiC) pioneer with deep expertise in SiC power device design and process, based in Dulles, Virgnia. The future earn-out payments were fair valued at $0.6 million, for a total merger consideration of $246.2 million. GeneSiC’s net assets and operating results since the merger date are included in the Company’s Consolidated Balance Sheet and Consolidated Statements of Operations as of and for the year ended December 31, 2022.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VDDTech</w:t>
      </w:r>
    </w:p>
    <w:p>
      <w:pPr>
        <w:spacing w:after="0" w:line="281"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Consolidated Balance Sheet and Consolidated Statement of Operations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and Reverse Recapitalization</w:t>
      </w:r>
    </w:p>
    <w:p>
      <w:pPr>
        <w:spacing w:after="0" w:line="162"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May 6, 2021, Navitas Semiconductor Limited (“Navitas Ireland”), a private company limited by shares organized under the Laws of Ireland and domesticated in the State of Delaware as Navitas Semiconductor Ireland, LLC, (“Navitas Delaware”, and together with Navitas Ireland, “Legacy Navitas”) a Delaware limited liability company, entered into a business combination agreement and plan of reorganization (the “Business Combination Agreement” or “BCA”) with Live Oak Acquisition Corp. II, (“Live Oak”). Pursuant to the BCA, Live Oak acquired all of the capital stock of Navitas Ireland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w:t>
      </w:r>
    </w:p>
    <w:p>
      <w:pPr>
        <w:spacing w:after="0" w:line="183"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US GAAP. Under the guidance in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Live Oak was treated as the “acquired” company for financial reporting purposes. We were deemed the accounting predecessor and the post-combination company is the successor SEC registrant, meaning that our financial statements for previous periods were disclosed in our annual report Form 10-K filed with the SEC on March 31, 2022. The Business Combination had a significant impact on our reported financial position and results as a consequence of the reverse recapitalization. The most significant change in our reported financial position and results of operations was net cash proceeds of $298,054 from the merger transaction, which includes $173,000 in gross proceeds from the PIPE financing that was consummated in conjunction with the Business Combination. The increase in cash was offset by transaction costs incurred in connection with the Business Combination of approximately $25 million. Navitas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spacing w:after="0" w:line="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revenues fluctuate in response to a combination of factors, including the following:</w:t>
      </w:r>
    </w:p>
    <w:p>
      <w:pPr>
        <w:spacing w:after="0" w:line="158"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product mix and sales volumes;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market share and design win traction;</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at which technology is adopted in our end markets;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stage of our products in their respective life cycles;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competitive pricing strategies;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specialized field application engineering resources supporting demand creation and end customer adoption of new products;</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acceptable yields and obtaining adequate production capacity from our wafer foundries and assembly and test subcontractors;</w:t>
      </w:r>
    </w:p>
    <w:p>
      <w:pPr>
        <w:spacing w:after="0" w:line="144"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end customers’ products; governmental regulations influencing our markets; and</w:t>
      </w:r>
    </w:p>
    <w:p>
      <w:pPr>
        <w:spacing w:after="0" w:line="15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economic cycles.</w:t>
      </w:r>
    </w:p>
    <w:p>
      <w:pPr>
        <w:spacing w:after="0" w:line="266"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Our product revenue is recognized when the customer obtains control of the product and the timing of recognition is based on the contractual shipping terms of a contract. We provide a non-conformity warranty which is not sold separately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does not represent a separate performance obligation. Our product revenue is well diversified across the United States, Europe, and Asia.</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goods sold also includes compensation related to personnel associated with manufacturing.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Income</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primarily consists of interest income earned from our cash on hand due to the increase of interest rates.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primarily consists of interest under our term loan facility held during the year.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Legacy Navitas is a dual domesticated corporation for Ireland and U.S. federal income tax purposes. Refer to Note 14, Provision for Income Taxes, in our accompanying consolidated financial statements elsewhere in this annual report.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and discussion below summarizes operating data for our consolidated operations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55"/>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4"/>
                <w:szCs w:val="4"/>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6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4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4"/>
        </w:trPr>
        <w:tc>
          <w:tcPr>
            <w:tcW w:w="41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Net revenues (including $1,528 and $435 of related party</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175"/>
        </w:trPr>
        <w:tc>
          <w:tcPr>
            <w:tcW w:w="44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amortization of</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intangibles included below)</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26,979</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1904 %</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135,584</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56,390</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warrants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75"/>
        </w:trPr>
        <w:tc>
          <w:tcPr>
            <w:tcW w:w="440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Gain (loss) from change in fair value of earnout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159,814</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173,712</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(48636)%</w:t>
            </w: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(152,685)</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225,572</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75"/>
        </w:trPr>
        <w:tc>
          <w:tcPr>
            <w:tcW w:w="4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(152,685)</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226,598</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Revenues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revenues for the twelve months ended December 31, 2022 were $37.9 million compared to $23.7 million for the twelve months ended December 31, 2021, an increase of $14.2 million, or 60%. The significant increase was driven by revenues derived from the GeneSiC acquisition and increased unit sales in the home appliance market, partially offset by declines in the China mobile market.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Revenues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Cost of revenues for the twelve months ended December 31, 2022 was $26.0 million, an increase of $12.9 million or 99% compared to the twelve months ended December 31, 2021. The increase was primarily driven by significant revenue growth, including the acquisition of GeneSiC, inventory charges of $2.8 million and higher wafer prices from TSMC.</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Research and development expense for the twelve months ended December 31, 2022 of $50.3 million increased by $22.8 million, or 83%, when compared to the twelve months ended December 31, 2021, primarily driven by increases in stock based compensation of $13.2 million and $8.2 million in higher compensation costs related to growth in headcount as the Company developed products in the home appliances, solar, data center, industrial, and EV markets. We expect research and development expense to continue to increase as we grow our headcount to continue our diversification into new applications.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Expense</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Selling, general and administrative expense for the twelve months ended December 31, 2022 of $78.4 million increased by $27.0 million, or 53%, when compared to the twelve months ended December 31, 2021. The increase is primarily due to a $8.8 million increase in stock-based compensation, along with an increase of $3.0 million in compensation costs related to growth in headcount. In addition, the Company incurred $5.9 million of transaction expenses related to the acquisition of GeneSiC and a $3.7 million increase in costs associated with the operating of a public company. We expect selling, general and administrative costs to increase to support our revenue growth.</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Amortization of Definite-Lived Intangible Assets</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Amortization of definite-lived intangible assets for the twelve months ended December 31, 2022 of $6.9 million increased by $6.6 million, or 1,810%, when compared to the twelve months ended December 31, 2021. The increase is primarily due to business acquisitions that occurred during the fiscal year ended December 31,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(Expense), net</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interest income for the twelve months ended December 31, 2022 of $1.4 million compared to expense of $0.3 million for the twelve months ended December 31, 2021, primarily due to higher interest earned on cash equivalents.</w:t>
      </w:r>
    </w:p>
    <w:p>
      <w:pPr>
        <w:spacing w:after="0" w:line="1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During the twelve months ended December 31, 2022, we recognized a $51.8 million gain from the change in fair value of our warrant liabilities, a $121.7 million decrease in fair value of our earn out liabilities and a $1.1 million loss from equity method investment, as follows:</w:t>
      </w:r>
    </w:p>
    <w:p>
      <w:pPr>
        <w:spacing w:after="0" w:line="203" w:lineRule="exact"/>
        <w:rPr>
          <w:sz w:val="20"/>
          <w:szCs w:val="20"/>
          <w:color w:val="auto"/>
        </w:rPr>
      </w:pPr>
    </w:p>
    <w:p>
      <w:pPr>
        <w:ind w:left="660" w:right="20" w:firstLine="482"/>
        <w:spacing w:after="0" w:line="297" w:lineRule="auto"/>
        <w:tabs>
          <w:tab w:leader="none" w:pos="1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The change in fair value of our warrant liability is due to the Company issuing a notice of redemption on February 4, 2022 and the Company revaluing the liability just before the exercise and redemptions which resulted in a valuation change of $51.8 million.</w:t>
      </w:r>
    </w:p>
    <w:p>
      <w:pPr>
        <w:spacing w:after="0" w:line="189" w:lineRule="exact"/>
        <w:rPr>
          <w:rFonts w:ascii="Times New Roman" w:cs="Times New Roman" w:eastAsia="Times New Roman" w:hAnsi="Times New Roman"/>
          <w:sz w:val="18"/>
          <w:szCs w:val="18"/>
          <w:color w:val="auto"/>
        </w:rPr>
      </w:pPr>
    </w:p>
    <w:p>
      <w:pPr>
        <w:jc w:val="both"/>
        <w:ind w:left="660" w:firstLine="482"/>
        <w:spacing w:after="0" w:line="281" w:lineRule="auto"/>
        <w:tabs>
          <w:tab w:leader="none" w:pos="13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liability: Subsequent to the recognition of the earnout liability upon the consummation of the Business Combination on October 19, 2021, we remeasure the fair value of this liability at each reporting date. The decrease in fair value of our earn-out liability of $121.7 million was primarily a result of the decrease of the closing price of our Class A common stock listed on the Nasdaq, resulting in the decline in the estimated fair value of the earnout shares from $16.09 as of December 31, 2021 to $1.47 as of December 31, 2022.</w:t>
      </w:r>
    </w:p>
    <w:p>
      <w:pPr>
        <w:spacing w:after="0" w:line="218" w:lineRule="exact"/>
        <w:rPr>
          <w:rFonts w:ascii="Times New Roman" w:cs="Times New Roman" w:eastAsia="Times New Roman" w:hAnsi="Times New Roman"/>
          <w:sz w:val="18"/>
          <w:szCs w:val="18"/>
          <w:color w:val="auto"/>
        </w:rPr>
      </w:pPr>
    </w:p>
    <w:p>
      <w:pPr>
        <w:ind w:left="1400" w:hanging="258"/>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primarily reflects our minority interest in the net loss of a joint venture through August 18, 2022.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 (Benefit) Provision</w:t>
      </w:r>
    </w:p>
    <w:p>
      <w:pPr>
        <w:spacing w:after="0" w:line="162" w:lineRule="exact"/>
        <w:rPr>
          <w:sz w:val="20"/>
          <w:szCs w:val="20"/>
          <w:color w:val="auto"/>
        </w:rPr>
      </w:pPr>
    </w:p>
    <w:p>
      <w:pPr>
        <w:ind w:right="200" w:firstLine="486"/>
        <w:spacing w:after="0" w:line="297" w:lineRule="auto"/>
        <w:rPr>
          <w:sz w:val="20"/>
          <w:szCs w:val="20"/>
          <w:color w:val="auto"/>
        </w:rPr>
      </w:pPr>
      <w:r>
        <w:rPr>
          <w:rFonts w:ascii="Times New Roman" w:cs="Times New Roman" w:eastAsia="Times New Roman" w:hAnsi="Times New Roman"/>
          <w:sz w:val="18"/>
          <w:szCs w:val="18"/>
          <w:color w:val="auto"/>
        </w:rPr>
        <w:t>Income tax benefit for the twelve months ended December 31, 2022 was $22.8 million while for the twelve months ended December 31, 2021, income tax expense was not significant. As a result of the GeneSiC Semiconductor Inc. acquisition, (see Note 18, Business Combinations), the Company released $20.5 million of its U.S. federal valuation allowance . The release was primarily attributable to the $23.1 million of net federal deferred tax liability recorded 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GeneSiC’s opening balance sheet that is available to offset most of the U.S. federal deferred tax assets of Navitas. As of December 31, 2022, the Company continues to maintain a valuation allowance on the remaining deferred tax assets as the Company believes that it is not more likely than not that the deferred tax assets will be fully realized.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183"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As December 31, 2022, we had cash and cash equivalents of $110.3 million. We currently expect to fund our cash requirements through the use of cash and cash equivalents on hand. We believe that our current levels of cash and cash equivalents are sufficient to finance our operations, working capital requirements and capital expenditures for the foreseeable future.</w:t>
      </w:r>
    </w:p>
    <w:p>
      <w:pPr>
        <w:spacing w:after="0" w:line="16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periods presented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r>
      <w:tr>
        <w:trPr>
          <w:trHeight w:val="195"/>
        </w:trPr>
        <w:tc>
          <w:tcPr>
            <w:tcW w:w="5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5"/>
        </w:trPr>
        <w:tc>
          <w:tcPr>
            <w:tcW w:w="58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(41,700)</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274,549</w:t>
            </w:r>
          </w:p>
        </w:tc>
      </w:tr>
    </w:tbl>
    <w:p>
      <w:pPr>
        <w:spacing w:after="0" w:line="200" w:lineRule="exact"/>
        <w:rPr>
          <w:sz w:val="20"/>
          <w:szCs w:val="20"/>
          <w:color w:val="auto"/>
        </w:rPr>
      </w:pPr>
    </w:p>
    <w:p>
      <w:pPr>
        <w:spacing w:after="0" w:line="37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We derive liquidity primarily from cash on hand, debt, and equity financing activities. As of December 31, 2022, our balance of cash and cash equivalents was $110.3 million, which is a decrease of $157.9 million or 59% compared to December 31, 2021. As of December 31, 2022 we had no debt outstanding while we had $6.9 million of total debt outstanding at December 31, 2021.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For the year ended December 31, 2022, net cash used in operating activities was $44.5 million, which primarily reflects a net income of $72.9 million, adjusted for non-cash share-based compensation of $63.3 million, non-cash gains of $173.5 million in earnout and warrant liabilities due to changes in fair value and an aggregate cash provided by operating assets and liabilities of $2.7 million. Specifically, $1.3 million decrease in account receivable, $4.7 million increase in inventory, and $7.1 million increase in accounts payable, due to increased sales, partially offset by $1.1 million decrease in operating lease liability.</w:t>
      </w:r>
    </w:p>
    <w:p>
      <w:pPr>
        <w:spacing w:after="0" w:line="177"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For the year ended December 31, 2021, net cash used in operating activities was $41.7 million, which primarily reflects a net loss of $152.7 million, adjusted for non-cash share-based compensation of $41.4 million and non-cash, non-operating losses of $83.7 million and includes an aggregate decrease of $15.2 million due to higher operating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8"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of $107.6 million was primarily due to $96.4 million in business acquisitions, $5.2 million cash funding of a joint venture and $4.6 million for purchases of fixed assets.</w:t>
      </w:r>
    </w:p>
    <w:p>
      <w:pPr>
        <w:spacing w:after="0" w:line="40"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of $3.5 million was primarily due to $0.7 million cash consideration paid for an asset acquisition, $0.7 million cash funding of a joint venture and $2.1 million for purchases of fixed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of $5.8 million was primarily the result of $6.9 million repayment of debt, partially offset by $1.7 million of issuance of common stock in connection with option exercises.</w:t>
      </w:r>
    </w:p>
    <w:p>
      <w:pPr>
        <w:spacing w:after="0" w:line="4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of $274.5 million was primarily the result of $298.1 million in proceeds from the reverse recapitalization and $0.9 million in net proceeds from the issuance and repayment of debt, offset by $25.0 million of stock issuance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may require future cash payments. As of December 31, 2022, our non-cancellable contractual arrangements consisted entirely of a contract to guarantee future production capacity, of which $1.6 million remains outstanding as of year end. Refer to Note 7 - Leases for further information on our minimum future payments related to lease obligations.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we did not have any off-balance sheet arrangements as defined in Item 303(a)(4)(ii) of Regulation S-K.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preparation of our financial statements and related disclosures in accordance with U.S. GAAP requires our management to make judgments, assumptions and estimates that affect the amounts reported in our accompanying consolidated financial statements and the accompanying notes included elsewhere in this annual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spacing w:after="0" w:line="183"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Our most critical accounting estimates include revenue recognition and the assumptions used in the valuation of intangible assets, determination of accounting for earnout shares, and share-based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 xml:space="preserve">Revenue is recognized when a customer obtains control of products or services in an amount that reflects the consideration which we expect to receive in exchange for those goods or services. To determine revenue recognition for arrangements within the scope of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we perform the following five steps: (1) identify the contract(s) with a customer; (2) identify the performance obligations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customers in an amount that reflects the consideration we expect to receive in exchange for such goods or services.</w:t>
      </w:r>
    </w:p>
    <w:p>
      <w:pPr>
        <w:spacing w:after="0" w:line="17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majority of our revenue is derived from the sale of semiconductor products. In determining the transaction price, we evaluate whether the price is subject to refund or adjustment to determine the net consideration to which we expect to be entitled.</w:t>
      </w:r>
    </w:p>
    <w:p>
      <w:pPr>
        <w:spacing w:after="0" w:line="148"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our performance obligation is satisfied), which is defined by the commercial terms of each purchase but typically occurs at shipment. In determining whether control has transferred, we consider if there is a present right to payment and legal title, and whether risks and rewards of ownership have transferred to the customer. Refer to Note 2 to our consolidated financial statements included elsewhere in this annual report for additional discussion of our revenue recognition policy.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identifiable assets acquired and liabilities assumed be recognized and measured at fair value on the acquisition date, which is the date that the acquirer obtains control of the acquired business.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This judgment and determination affects the amount of consideration paid that is allocatable to assets and liabilities acquired in the business purchase transaction. Examples of critical estimates in valuing certain of the intangible assets and goodwill we have acquired include, but are not limited to, future expected cash inflows and outflows, expected technology life cycle, and discount rates. We estimate the useful lives of the intangible assets based on the expected period over which we anticipate generating economic benefit from the asset. Unanticipated events and circumstances may occur that may affect the accuracy or validity of such assumptions, estimates or actual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62" w:lineRule="exact"/>
        <w:rPr>
          <w:sz w:val="20"/>
          <w:szCs w:val="20"/>
          <w:color w:val="auto"/>
        </w:rPr>
      </w:pPr>
    </w:p>
    <w:p>
      <w:pPr>
        <w:ind w:right="200" w:firstLine="486"/>
        <w:spacing w:after="0" w:line="302" w:lineRule="auto"/>
        <w:rPr>
          <w:sz w:val="20"/>
          <w:szCs w:val="20"/>
          <w:color w:val="auto"/>
        </w:rPr>
      </w:pPr>
      <w:r>
        <w:rPr>
          <w:rFonts w:ascii="Times New Roman" w:cs="Times New Roman" w:eastAsia="Times New Roman" w:hAnsi="Times New Roman"/>
          <w:sz w:val="18"/>
          <w:szCs w:val="18"/>
          <w:color w:val="auto"/>
        </w:rPr>
        <w:t>The fair value of stock option awards to employees and, prior to the Business Combination, restricted stock awards to non-employees with service based vesting conditions is estimated using the Black-Scholes option pricing model and for awards with market conditions, incorporate Monte Carlo simulations. The value of an award is recognized as expense over the requisite service period in the consolidated statements of operations. The option pricing model requires management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20"/>
        <w:spacing w:after="0" w:line="325" w:lineRule="auto"/>
        <w:rPr>
          <w:sz w:val="20"/>
          <w:szCs w:val="20"/>
          <w:color w:val="auto"/>
        </w:rPr>
      </w:pPr>
      <w:r>
        <w:rPr>
          <w:rFonts w:ascii="Times New Roman" w:cs="Times New Roman" w:eastAsia="Times New Roman" w:hAnsi="Times New Roman"/>
          <w:sz w:val="17"/>
          <w:szCs w:val="17"/>
          <w:color w:val="auto"/>
        </w:rPr>
        <w:t>make assumptions and to apply judgment in determining fair value of the awards. The most significant assumptions and judgments include the expected volatility, risk-free interest rate, expected dividend rate and expected term of the award, in addition to the fair value of the underlying common stock. We have also granted long term performance stock options (“LTIP Options”) to certain members of senior management. These options vest in increments</w:t>
      </w:r>
    </w:p>
    <w:p>
      <w:pPr>
        <w:spacing w:after="0" w:line="2" w:lineRule="exact"/>
        <w:rPr>
          <w:sz w:val="20"/>
          <w:szCs w:val="20"/>
          <w:color w:val="auto"/>
        </w:rPr>
      </w:pPr>
    </w:p>
    <w:p>
      <w:pPr>
        <w:ind w:right="600"/>
        <w:spacing w:after="0" w:line="329" w:lineRule="auto"/>
        <w:rPr>
          <w:sz w:val="20"/>
          <w:szCs w:val="20"/>
          <w:color w:val="auto"/>
        </w:rPr>
      </w:pPr>
      <w:r>
        <w:rPr>
          <w:rFonts w:ascii="Times New Roman" w:cs="Times New Roman" w:eastAsia="Times New Roman" w:hAnsi="Times New Roman"/>
          <w:sz w:val="18"/>
          <w:szCs w:val="18"/>
          <w:color w:val="auto"/>
        </w:rPr>
        <w:t>subject to certain market and performance conditions over the duration of the defined service period. We have utilized the services of a professional valuation firm to develop the Black-Scholes option pricing model incorporating Monte Carlo simulations for these option awards.</w:t>
      </w:r>
    </w:p>
    <w:p>
      <w:pPr>
        <w:spacing w:after="0" w:line="148"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 xml:space="preserve">Prior to the Business Combination, there was no public market for our common stock and the estimated fair value of our common stock was historically determined by our board of directors, with input from management, and considering our most recently available third-party valuation of our common stock. The board of directors determined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These third-party valuations were performed in accordance with the guidance outlined in the </w:t>
      </w:r>
      <w:r>
        <w:rPr>
          <w:rFonts w:ascii="Times New Roman" w:cs="Times New Roman" w:eastAsia="Times New Roman" w:hAnsi="Times New Roman"/>
          <w:sz w:val="18"/>
          <w:szCs w:val="18"/>
          <w:i w:val="1"/>
          <w:iCs w:val="1"/>
          <w:color w:val="auto"/>
        </w:rPr>
        <w:t>American Institute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Certified Public Accountants Accounting and Valuation Guide, Valuation of Privately Held Company Equity Securities Issued as Compensation</w:t>
      </w:r>
      <w:r>
        <w:rPr>
          <w:rFonts w:ascii="Times New Roman" w:cs="Times New Roman" w:eastAsia="Times New Roman" w:hAnsi="Times New Roman"/>
          <w:sz w:val="18"/>
          <w:szCs w:val="18"/>
          <w:color w:val="auto"/>
        </w:rPr>
        <w:t>.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our common stock was derived by first determining the equity value of our company. The equity value of our company was historically determined using the market approach by reference to the closest round of equity financing, if any, preceding the date of valuation and analysis of the trading values of publicly traded companies deemed comparable to us. In allocating the equity value of our company among various classes of stock, we used an option pricing model (“OPM”). The OPM takes into account our classes of equity, dividend policy and conversion rights to determine how proceeds from a liquidity event shall be distributed among the various ownership classes at a future date. The OPM arrives at a final estimated fair value per share of the common stock before a discount for lack of marketability is applied.</w:t>
      </w:r>
    </w:p>
    <w:p>
      <w:pPr>
        <w:spacing w:after="0" w:line="194"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Beginning with the common stock valuation as of February 2021 and for all subsequent valuations prior to the Business Combination, the equity value of our company was determined using the probability weighted expected return method (“PWERM”) approach, which assigns a probability or weighting to valuations determined under distinct scenarios. The February 12, 2021 valuation incorporated two scenarios under the PWERM method. The first scenario is a stay-private scenario in which the estimated current enterprise value was allocated to the various securities using an OPM, reflecting the rights and preferences for each security (i.e., convertible notes, preferred equity, common equity, options and warrants). The second scenario was a form of PWERM in which a single future exit event, a near-term IPO, was assumed. Under this scenario the future total enterprise value at the near-term IPO date was allocated to various equity and equity-linked securities using a common stock equivalent method reflecting as-converted common stock equivalents for each security class, since, upon an IPO, these outstanding equity-linked securities will convert into common stock. The future value of each security is then discounted to the valuation date.</w:t>
      </w:r>
    </w:p>
    <w:p>
      <w:pPr>
        <w:spacing w:after="0" w:line="19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we considered various objective and subjective factors to determine the fair value of our common stock as of each grant date. The assumptions underlying these valuations represented management’s best estimates, which involved inherent uncertainties and the application of management’s judgment, including the probability and timing of liquidity events. As a result, if we had used significantly different assumptions or estimates, the fair value of our common stock and our stock-based compensation expense could be materially different. The fair value of the Company’s common stock ranged from $1.16 per share in the second half of 2020 to $10.53 per share as of August 25, 2021, the date of the most recent contemporaneous valuation report prior to the Business Combination.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10,000,000 Earnout Shares of the Company’s Class A common stock if the Earnout Milestones are met. The Earnout Milestones represents three independent criteria, which each entitles the eligible stockholders to 3,333,333 earn-out shares per milestone met. Each Earnout Milestone is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considered met if at anytime 150 days following the Business Combination and prior to October 19, 2026, the volume weighted average price of the Company’s Class A common stock is greater than or equal to $12.50, $17.00 or $20.00 for any twenty trading days within any thirty trading day period, respectively</w:t>
      </w:r>
    </w:p>
    <w:p>
      <w:pPr>
        <w:spacing w:after="0" w:line="21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 xml:space="preserve">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 equity shares and upon achievement of the Earnout Milestones. The Vested Shares are classified as liabilities in the consolidated balance sheet and the Unvested Shares are equity-classified share-based compensation to be recognized over time (see Note 7 -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w:t>
      </w:r>
    </w:p>
    <w:p>
      <w:pPr>
        <w:spacing w:after="0" w:line="21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8"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We are pursuing key strategic initiatives, including bringing to market multiple generations of GaN technology that enhance our margin profile and continually evaluating acquisition opportunities that are complementary to our existing portfolio and increase power semiconductor content in our targeted applications. See “</w:t>
      </w:r>
      <w:r>
        <w:rPr>
          <w:rFonts w:ascii="Times New Roman" w:cs="Times New Roman" w:eastAsia="Times New Roman" w:hAnsi="Times New Roman"/>
          <w:sz w:val="18"/>
          <w:szCs w:val="18"/>
          <w:i w:val="1"/>
          <w:iCs w:val="1"/>
          <w:color w:val="auto"/>
        </w:rPr>
        <w:t>Information about Navitas — Company Strategy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62"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annual report for a discussion of accounting pronouncements recently adopted and recently issued accounting pronouncements not yet adopted and their potential impact to our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2"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 xml:space="preserve">Report of Independent Registered Public Accounting Firm </w:t>
            </w:r>
            <w:r>
              <w:rPr>
                <w:rFonts w:ascii="Times New Roman" w:cs="Times New Roman" w:eastAsia="Times New Roman" w:hAnsi="Times New Roman"/>
                <w:sz w:val="18"/>
                <w:szCs w:val="18"/>
                <w:color w:val="000000"/>
                <w:w w:val="99"/>
              </w:rPr>
              <w:t>(PCAOB ID 34)</w:t>
            </w:r>
          </w:p>
        </w:tc>
        <w:tc>
          <w:tcPr>
            <w:tcW w:w="57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40" w:type="dxa"/>
            <w:vAlign w:val="bottom"/>
            <w:tcBorders>
              <w:top w:val="single" w:sz="8" w:color="0000FF"/>
            </w:tcBorders>
            <w:gridSpan w:val="5"/>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640" w:type="dxa"/>
            <w:vAlign w:val="bottom"/>
            <w:gridSpan w:val="5"/>
          </w:tcPr>
          <w:p>
            <w:pPr>
              <w:spacing w:after="0"/>
              <w:rPr>
                <w:sz w:val="24"/>
                <w:szCs w:val="24"/>
                <w:color w:val="auto"/>
              </w:rPr>
            </w:pPr>
          </w:p>
        </w:tc>
        <w:tc>
          <w:tcPr>
            <w:tcW w:w="57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57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2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(Deficit)</w:t>
            </w:r>
          </w:p>
        </w:tc>
        <w:tc>
          <w:tcPr>
            <w:tcW w:w="20" w:type="dxa"/>
            <w:vAlign w:val="bottom"/>
            <w:tcBorders>
              <w:top w:val="single" w:sz="8" w:color="0000FF"/>
            </w:tcBorders>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80" w:type="dxa"/>
            <w:vAlign w:val="bottom"/>
            <w:vMerge w:val="restart"/>
          </w:tcPr>
          <w:p>
            <w:pPr>
              <w:spacing w:after="0"/>
              <w:rPr>
                <w:sz w:val="24"/>
                <w:szCs w:val="24"/>
                <w:color w:val="auto"/>
              </w:rPr>
            </w:pPr>
          </w:p>
        </w:tc>
        <w:tc>
          <w:tcPr>
            <w:tcW w:w="2300" w:type="dxa"/>
            <w:vAlign w:val="bottom"/>
            <w:gridSpan w:val="3"/>
            <w:vMerge w:val="restart"/>
          </w:tcPr>
          <w:p>
            <w:pPr>
              <w:spacing w:after="0"/>
              <w:rPr>
                <w:sz w:val="24"/>
                <w:szCs w:val="24"/>
                <w:color w:val="auto"/>
              </w:rPr>
            </w:pPr>
          </w:p>
        </w:tc>
        <w:tc>
          <w:tcPr>
            <w:tcW w:w="5760" w:type="dxa"/>
            <w:vAlign w:val="bottom"/>
            <w:vMerge w:val="restart"/>
          </w:tcPr>
          <w:p>
            <w:pPr>
              <w:ind w:left="548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80" w:type="dxa"/>
            <w:vAlign w:val="bottom"/>
            <w:gridSpan w:val="3"/>
          </w:tcPr>
          <w:p>
            <w:pPr>
              <w:spacing w:after="0"/>
              <w:rPr>
                <w:sz w:val="5"/>
                <w:szCs w:val="5"/>
                <w:color w:val="auto"/>
              </w:rPr>
            </w:pPr>
          </w:p>
        </w:tc>
        <w:tc>
          <w:tcPr>
            <w:tcW w:w="280" w:type="dxa"/>
            <w:vAlign w:val="bottom"/>
            <w:vMerge w:val="continue"/>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5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7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28"/>
        </w:trPr>
        <w:tc>
          <w:tcPr>
            <w:tcW w:w="20" w:type="dxa"/>
            <w:vAlign w:val="bottom"/>
            <w:tcBorders>
              <w:bottom w:val="single" w:sz="8" w:color="9A9A9A"/>
            </w:tcBorders>
          </w:tcPr>
          <w:p>
            <w:pPr>
              <w:spacing w:after="0"/>
              <w:rPr>
                <w:sz w:val="11"/>
                <w:szCs w:val="11"/>
                <w:color w:val="auto"/>
              </w:rPr>
            </w:pPr>
          </w:p>
        </w:tc>
        <w:tc>
          <w:tcPr>
            <w:tcW w:w="210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57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Navitas Semiconductor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8"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have audited the accompanying consolidated balance sheets of Navitas Semiconductor Corporation and subsidiaries (the "Company") as of December 31, 2022 and 2021, the related consolidated statements of operations, comprehensive income (loss), redeemable convertible preferred stock and stockholders' equity (deficit),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8"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April 3, 2023</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40" w:type="dxa"/>
            <w:vAlign w:val="bottom"/>
          </w:tcPr>
          <w:p>
            <w:pPr>
              <w:spacing w:after="0"/>
              <w:rPr>
                <w:sz w:val="20"/>
                <w:szCs w:val="20"/>
                <w:color w:val="auto"/>
              </w:rPr>
            </w:pPr>
            <w:r>
              <w:rPr>
                <w:rFonts w:ascii="Arial" w:cs="Arial" w:eastAsia="Arial" w:hAnsi="Arial"/>
                <w:sz w:val="18"/>
                <w:szCs w:val="18"/>
                <w:color w:val="auto"/>
              </w:rPr>
              <w:t>We have served as the Company's auditor since 2021</w:t>
            </w:r>
            <w:r>
              <w:rPr>
                <w:rFonts w:ascii="Arial" w:cs="Arial" w:eastAsia="Arial" w:hAnsi="Arial"/>
                <w:sz w:val="19"/>
                <w:szCs w:val="19"/>
                <w:color w:val="auto"/>
              </w:rPr>
              <w:t>.</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87"/>
              </w:rPr>
              <w:t>F-2</w:t>
            </w:r>
          </w:p>
        </w:tc>
        <w:tc>
          <w:tcPr>
            <w:tcW w:w="0" w:type="dxa"/>
            <w:vAlign w:val="bottom"/>
          </w:tcPr>
          <w:p>
            <w:pPr>
              <w:spacing w:after="0"/>
              <w:rPr>
                <w:sz w:val="1"/>
                <w:szCs w:val="1"/>
                <w:color w:val="auto"/>
              </w:rPr>
            </w:pPr>
          </w:p>
        </w:tc>
      </w:tr>
      <w:tr>
        <w:trPr>
          <w:trHeight w:val="98"/>
        </w:trPr>
        <w:tc>
          <w:tcPr>
            <w:tcW w:w="49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par value)</w:t>
            </w:r>
          </w:p>
        </w:tc>
        <w:tc>
          <w:tcPr>
            <w:tcW w:w="12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268,252</w:t>
            </w:r>
          </w:p>
        </w:tc>
        <w:tc>
          <w:tcPr>
            <w:tcW w:w="0" w:type="dxa"/>
            <w:vAlign w:val="bottom"/>
          </w:tcPr>
          <w:p>
            <w:pPr>
              <w:spacing w:after="0"/>
              <w:rPr>
                <w:sz w:val="1"/>
                <w:szCs w:val="1"/>
                <w:color w:val="auto"/>
              </w:rPr>
            </w:pPr>
          </w:p>
        </w:tc>
      </w:tr>
      <w:tr>
        <w:trPr>
          <w:trHeight w:val="213"/>
        </w:trPr>
        <w:tc>
          <w:tcPr>
            <w:tcW w:w="8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0" w:type="dxa"/>
            <w:vAlign w:val="bottom"/>
          </w:tcPr>
          <w:p>
            <w:pPr>
              <w:spacing w:after="0"/>
              <w:rPr>
                <w:sz w:val="1"/>
                <w:szCs w:val="1"/>
                <w:color w:val="auto"/>
              </w:rPr>
            </w:pPr>
          </w:p>
        </w:tc>
      </w:tr>
      <w:tr>
        <w:trPr>
          <w:trHeight w:val="213"/>
        </w:trPr>
        <w:tc>
          <w:tcPr>
            <w:tcW w:w="8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291,370</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105,620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0" w:type="dxa"/>
            <w:vAlign w:val="bottom"/>
          </w:tcPr>
          <w:p>
            <w:pPr>
              <w:spacing w:after="0"/>
              <w:rPr>
                <w:sz w:val="1"/>
                <w:szCs w:val="1"/>
                <w:color w:val="auto"/>
              </w:rPr>
            </w:pPr>
          </w:p>
        </w:tc>
      </w:tr>
      <w:tr>
        <w:trPr>
          <w:trHeight w:val="212"/>
        </w:trPr>
        <w:tc>
          <w:tcPr>
            <w:tcW w:w="8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425,262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295,601</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other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0" w:type="dxa"/>
            <w:vAlign w:val="bottom"/>
          </w:tcPr>
          <w:p>
            <w:pPr>
              <w:spacing w:after="0"/>
              <w:rPr>
                <w:sz w:val="1"/>
                <w:szCs w:val="1"/>
                <w:color w:val="auto"/>
              </w:rPr>
            </w:pPr>
          </w:p>
        </w:tc>
      </w:tr>
      <w:tr>
        <w:trPr>
          <w:trHeight w:val="213"/>
        </w:trPr>
        <w:tc>
          <w:tcPr>
            <w:tcW w:w="8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8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20,351</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81,388</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EARNOUT LIABILITY</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134,173</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230,065</w:t>
            </w:r>
          </w:p>
        </w:tc>
        <w:tc>
          <w:tcPr>
            <w:tcW w:w="0" w:type="dxa"/>
            <w:vAlign w:val="bottom"/>
          </w:tcPr>
          <w:p>
            <w:pPr>
              <w:spacing w:after="0"/>
              <w:rPr>
                <w:sz w:val="1"/>
                <w:szCs w:val="1"/>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380" w:type="dxa"/>
            <w:vAlign w:val="bottom"/>
          </w:tcPr>
          <w:p>
            <w:pPr>
              <w:ind w:left="780"/>
              <w:spacing w:after="0" w:line="162" w:lineRule="exact"/>
              <w:rPr>
                <w:sz w:val="20"/>
                <w:szCs w:val="20"/>
                <w:color w:val="auto"/>
              </w:rPr>
            </w:pPr>
            <w:r>
              <w:rPr>
                <w:rFonts w:ascii="Times New Roman" w:cs="Times New Roman" w:eastAsia="Times New Roman" w:hAnsi="Times New Roman"/>
                <w:sz w:val="16"/>
                <w:szCs w:val="16"/>
                <w:color w:val="auto"/>
              </w:rPr>
              <w:t>Common stock, $0.0001 par value, 750,000,000 and 740,000,000 shares authorized as of December 31, 2022 and</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80" w:type="dxa"/>
            <w:vAlign w:val="bottom"/>
          </w:tcPr>
          <w:p>
            <w:pPr>
              <w:ind w:left="780"/>
              <w:spacing w:after="0" w:line="162" w:lineRule="exact"/>
              <w:rPr>
                <w:sz w:val="20"/>
                <w:szCs w:val="20"/>
                <w:color w:val="auto"/>
              </w:rPr>
            </w:pPr>
            <w:r>
              <w:rPr>
                <w:rFonts w:ascii="Times New Roman" w:cs="Times New Roman" w:eastAsia="Times New Roman" w:hAnsi="Times New Roman"/>
                <w:sz w:val="16"/>
                <w:szCs w:val="16"/>
                <w:color w:val="auto"/>
              </w:rPr>
              <w:t>2021, respectively, 153,628,838 and 117,750,608 shares issued and outstanding at December 31, 2022 and 2021,</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83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535,875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294,190</w:t>
            </w:r>
          </w:p>
        </w:tc>
        <w:tc>
          <w:tcPr>
            <w:tcW w:w="0" w:type="dxa"/>
            <w:vAlign w:val="bottom"/>
          </w:tcPr>
          <w:p>
            <w:pPr>
              <w:spacing w:after="0"/>
              <w:rPr>
                <w:sz w:val="1"/>
                <w:szCs w:val="1"/>
                <w:color w:val="auto"/>
              </w:rPr>
            </w:pPr>
          </w:p>
        </w:tc>
      </w:tr>
      <w:tr>
        <w:trPr>
          <w:trHeight w:val="213"/>
        </w:trPr>
        <w:tc>
          <w:tcPr>
            <w:tcW w:w="8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(154,754)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(228,667)</w:t>
            </w:r>
          </w:p>
        </w:tc>
        <w:tc>
          <w:tcPr>
            <w:tcW w:w="0" w:type="dxa"/>
            <w:vAlign w:val="bottom"/>
          </w:tcPr>
          <w:p>
            <w:pPr>
              <w:spacing w:after="0"/>
              <w:rPr>
                <w:sz w:val="1"/>
                <w:szCs w:val="1"/>
                <w:color w:val="auto"/>
              </w:rPr>
            </w:pPr>
          </w:p>
        </w:tc>
      </w:tr>
      <w:tr>
        <w:trPr>
          <w:trHeight w:val="213"/>
        </w:trPr>
        <w:tc>
          <w:tcPr>
            <w:tcW w:w="83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stockholders’ equity of Navitas Semiconductor Corporation</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381,132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65,536</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384,760</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65,536</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295,601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w:t>
            </w:r>
          </w:p>
        </w:tc>
        <w:tc>
          <w:tcPr>
            <w:tcW w:w="880" w:type="dxa"/>
            <w:vAlign w:val="bottom"/>
          </w:tcPr>
          <w:p>
            <w:pPr>
              <w:spacing w:after="0"/>
              <w:rPr>
                <w:sz w:val="13"/>
                <w:szCs w:val="13"/>
                <w:color w:val="auto"/>
              </w:rPr>
            </w:pPr>
          </w:p>
        </w:tc>
      </w:tr>
      <w:tr>
        <w:trPr>
          <w:trHeight w:val="194"/>
        </w:trPr>
        <w:tc>
          <w:tcPr>
            <w:tcW w:w="8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ded December 31,</w:t>
            </w:r>
          </w:p>
        </w:tc>
        <w:tc>
          <w:tcPr>
            <w:tcW w:w="880" w:type="dxa"/>
            <w:vAlign w:val="bottom"/>
            <w:tcBorders>
              <w:bottom w:val="single" w:sz="8" w:color="auto"/>
            </w:tcBorders>
          </w:tcPr>
          <w:p>
            <w:pPr>
              <w:spacing w:after="0"/>
              <w:rPr>
                <w:sz w:val="16"/>
                <w:szCs w:val="16"/>
                <w:color w:val="auto"/>
              </w:rPr>
            </w:pPr>
          </w:p>
        </w:tc>
      </w:tr>
      <w:tr>
        <w:trPr>
          <w:trHeight w:val="196"/>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(including $1,528 and $435 of related party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amortization of intangibles included below)</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13,050</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78,353</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51,374</w:t>
            </w:r>
          </w:p>
        </w:tc>
      </w:tr>
      <w:tr>
        <w:trPr>
          <w:trHeight w:val="229"/>
        </w:trPr>
        <w:tc>
          <w:tcPr>
            <w:tcW w:w="8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135,584</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79,194</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(123,637)</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(68,508)</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warrants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w:t>
            </w:r>
          </w:p>
        </w:tc>
      </w:tr>
      <w:tr>
        <w:trPr>
          <w:trHeight w:val="230"/>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(38,105)</w:t>
            </w:r>
          </w:p>
        </w:tc>
      </w:tr>
      <w:tr>
        <w:trPr>
          <w:trHeight w:val="22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173,712</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(84,130)</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(152,638)</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(152,685)</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0"/>
        </w:trPr>
        <w:tc>
          <w:tcPr>
            <w:tcW w:w="8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76"/>
        </w:trPr>
        <w:tc>
          <w:tcPr>
            <w:tcW w:w="8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WEIGHTED AVERAGE COMMON SHARES USED IN NET INCOME (LOSS) PER SHARE ATTRIBUTABLE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COMMON STOCKHOLDERS: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0"/>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common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133,668</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39,167</w:t>
            </w:r>
          </w:p>
        </w:tc>
      </w:tr>
      <w:tr>
        <w:trPr>
          <w:trHeight w:val="22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common shares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145,743</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39,167</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w:t>
            </w:r>
          </w:p>
        </w:tc>
        <w:tc>
          <w:tcPr>
            <w:tcW w:w="880" w:type="dxa"/>
            <w:vAlign w:val="bottom"/>
          </w:tcPr>
          <w:p>
            <w:pPr>
              <w:spacing w:after="0"/>
              <w:rPr>
                <w:sz w:val="13"/>
                <w:szCs w:val="13"/>
                <w:color w:val="auto"/>
              </w:rPr>
            </w:pPr>
          </w:p>
        </w:tc>
      </w:tr>
      <w:tr>
        <w:trPr>
          <w:trHeight w:val="194"/>
        </w:trPr>
        <w:tc>
          <w:tcPr>
            <w:tcW w:w="8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ded December 31,</w:t>
            </w:r>
          </w:p>
        </w:tc>
        <w:tc>
          <w:tcPr>
            <w:tcW w:w="880" w:type="dxa"/>
            <w:vAlign w:val="bottom"/>
            <w:tcBorders>
              <w:bottom w:val="single" w:sz="8" w:color="auto"/>
            </w:tcBorders>
          </w:tcPr>
          <w:p>
            <w:pPr>
              <w:spacing w:after="0"/>
              <w:rPr>
                <w:sz w:val="16"/>
                <w:szCs w:val="16"/>
                <w:color w:val="auto"/>
              </w:rPr>
            </w:pPr>
          </w:p>
        </w:tc>
      </w:tr>
      <w:tr>
        <w:trPr>
          <w:trHeight w:val="196"/>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(152,685)</w:t>
            </w:r>
          </w:p>
        </w:tc>
      </w:tr>
      <w:tr>
        <w:trPr>
          <w:trHeight w:val="230"/>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INCLUDING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72,882</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(152,686)</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ATTRIBUTABLE TO CONTROLLING INTEREST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73,908</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partF-5of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Redeemable Convertible Preferred Stock</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840" w:type="dxa"/>
            <w:vAlign w:val="bottom"/>
            <w:gridSpan w:val="3"/>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9"/>
              </w:rPr>
              <w:t>Series B-1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840" w:type="dxa"/>
            <w:vAlign w:val="bottom"/>
            <w:gridSpan w:val="3"/>
          </w:tcPr>
          <w:p>
            <w:pPr>
              <w:jc w:val="center"/>
              <w:ind w:left="1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left="1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5"/>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180" w:type="dxa"/>
            <w:vAlign w:val="bottom"/>
            <w:gridSpan w:val="4"/>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840" w:type="dxa"/>
            <w:vAlign w:val="bottom"/>
            <w:gridSpan w:val="3"/>
          </w:tcPr>
          <w:p>
            <w:pPr>
              <w:jc w:val="center"/>
              <w:ind w:lef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left="13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left="1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convertible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80" w:type="dxa"/>
            <w:vAlign w:val="bottom"/>
          </w:tcPr>
          <w:p>
            <w:pPr>
              <w:spacing w:after="0"/>
              <w:rPr>
                <w:sz w:val="5"/>
                <w:szCs w:val="5"/>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80" w:type="dxa"/>
            <w:vAlign w:val="bottom"/>
            <w:vMerge w:val="restart"/>
          </w:tcPr>
          <w:p>
            <w:pPr>
              <w:spacing w:after="0"/>
              <w:rPr>
                <w:sz w:val="5"/>
                <w:szCs w:val="5"/>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preferred stock</w:t>
            </w:r>
          </w:p>
        </w:tc>
        <w:tc>
          <w:tcPr>
            <w:tcW w:w="80" w:type="dxa"/>
            <w:vAlign w:val="bottom"/>
            <w:vMerge w:val="restart"/>
          </w:tcPr>
          <w:p>
            <w:pPr>
              <w:spacing w:after="0"/>
              <w:rPr>
                <w:sz w:val="5"/>
                <w:szCs w:val="5"/>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100" w:type="dxa"/>
            <w:vAlign w:val="bottom"/>
            <w:vMerge w:val="restart"/>
          </w:tcPr>
          <w:p>
            <w:pPr>
              <w:spacing w:after="0"/>
              <w:rPr>
                <w:sz w:val="5"/>
                <w:szCs w:val="5"/>
                <w:color w:val="auto"/>
              </w:rPr>
            </w:pPr>
          </w:p>
        </w:tc>
        <w:tc>
          <w:tcPr>
            <w:tcW w:w="1060" w:type="dxa"/>
            <w:vAlign w:val="bottom"/>
            <w:gridSpan w:val="4"/>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8"/>
                <w:szCs w:val="8"/>
                <w:color w:val="auto"/>
              </w:rPr>
            </w:pPr>
          </w:p>
        </w:tc>
        <w:tc>
          <w:tcPr>
            <w:tcW w:w="104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80" w:type="dxa"/>
            <w:vAlign w:val="bottom"/>
            <w:tcBorders>
              <w:bottom w:val="single" w:sz="8" w:color="auto"/>
            </w:tcBorders>
            <w:gridSpan w:val="3"/>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paid in</w:t>
            </w:r>
          </w:p>
        </w:tc>
        <w:tc>
          <w:tcPr>
            <w:tcW w:w="84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60" w:type="dxa"/>
            <w:vAlign w:val="bottom"/>
            <w:gridSpan w:val="3"/>
          </w:tcPr>
          <w:p>
            <w:pPr>
              <w:jc w:val="center"/>
              <w:ind w:right="80"/>
              <w:spacing w:after="0" w:line="102" w:lineRule="exact"/>
              <w:rPr>
                <w:sz w:val="20"/>
                <w:szCs w:val="20"/>
                <w:color w:val="auto"/>
              </w:rPr>
            </w:pPr>
            <w:r>
              <w:rPr>
                <w:rFonts w:ascii="Times New Roman" w:cs="Times New Roman" w:eastAsia="Times New Roman" w:hAnsi="Times New Roman"/>
                <w:sz w:val="10"/>
                <w:szCs w:val="10"/>
                <w:b w:val="1"/>
                <w:bCs w:val="1"/>
                <w:color w:val="auto"/>
              </w:rPr>
              <w:t>receivable -</w:t>
            </w:r>
          </w:p>
        </w:tc>
        <w:tc>
          <w:tcPr>
            <w:tcW w:w="94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2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6"/>
                <w:szCs w:val="16"/>
                <w:b w:val="1"/>
                <w:bCs w:val="1"/>
                <w:color w:val="auto"/>
                <w:vertAlign w:val="superscript"/>
              </w:rPr>
              <w:t>1</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6"/>
                <w:szCs w:val="16"/>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2"/>
        </w:trPr>
        <w:tc>
          <w:tcPr>
            <w:tcW w:w="960" w:type="dxa"/>
            <w:vAlign w:val="bottom"/>
            <w:tcBorders>
              <w:top w:val="single" w:sz="8" w:color="CCEEFF"/>
            </w:tcBorders>
            <w:shd w:val="clear" w:color="auto" w:fill="CCEEFF"/>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9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16,620</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$14,970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14,213</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$27,371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5,416</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$14,786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18,199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$ 52,379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 (72,424)</w:t>
            </w: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Issuance of</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under</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w w:val="98"/>
              </w:rPr>
              <w:t>employee stock</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option and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stock award</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6,331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7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9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Reverse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w w:val="99"/>
              </w:rPr>
              <w:t>recapitalization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rPr>
              <w:t>on October 19,</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(16,620)</w:t>
            </w: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(14,970)</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(14,213)</w:t>
            </w: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(27,371)</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(5,416)</w:t>
            </w:r>
          </w:p>
        </w:tc>
        <w:tc>
          <w:tcPr>
            <w:tcW w:w="8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(14,786)</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(18,199)</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(52,379)</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99,375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250,761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250,773</w:t>
            </w:r>
          </w:p>
        </w:tc>
        <w:tc>
          <w:tcPr>
            <w:tcW w:w="0" w:type="dxa"/>
            <w:vAlign w:val="bottom"/>
          </w:tcPr>
          <w:p>
            <w:pPr>
              <w:spacing w:after="0"/>
              <w:rPr>
                <w:sz w:val="1"/>
                <w:szCs w:val="1"/>
                <w:color w:val="auto"/>
              </w:rPr>
            </w:pPr>
          </w:p>
        </w:tc>
      </w:tr>
      <w:tr>
        <w:trPr>
          <w:trHeight w:val="175"/>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2021</w:t>
            </w: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Stock-based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w w:val="99"/>
              </w:rPr>
              <w:t>expense related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to employee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and non-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w w:val="98"/>
              </w:rPr>
              <w:t>employee stock</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39,404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39,404</w:t>
            </w:r>
          </w:p>
        </w:tc>
        <w:tc>
          <w:tcPr>
            <w:tcW w:w="0" w:type="dxa"/>
            <w:vAlign w:val="bottom"/>
          </w:tcPr>
          <w:p>
            <w:pPr>
              <w:spacing w:after="0"/>
              <w:rPr>
                <w:sz w:val="1"/>
                <w:szCs w:val="1"/>
                <w:color w:val="auto"/>
              </w:rPr>
            </w:pPr>
          </w:p>
        </w:tc>
      </w:tr>
      <w:tr>
        <w:trPr>
          <w:trHeight w:val="17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awards</w:t>
            </w: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9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Rescission of</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awards</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Foreign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currency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translation</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4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9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Net (loss)</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(152,685)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(152,685)</w:t>
            </w:r>
          </w:p>
        </w:tc>
        <w:tc>
          <w:tcPr>
            <w:tcW w:w="0" w:type="dxa"/>
            <w:vAlign w:val="bottom"/>
          </w:tcPr>
          <w:p>
            <w:pPr>
              <w:spacing w:after="0"/>
              <w:rPr>
                <w:sz w:val="1"/>
                <w:szCs w:val="1"/>
                <w:color w:val="auto"/>
              </w:rPr>
            </w:pPr>
          </w:p>
        </w:tc>
      </w:tr>
      <w:tr>
        <w:trPr>
          <w:trHeight w:val="102"/>
        </w:trPr>
        <w:tc>
          <w:tcPr>
            <w:tcW w:w="960" w:type="dxa"/>
            <w:vAlign w:val="bottom"/>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96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117,751</w:t>
            </w:r>
          </w:p>
        </w:tc>
        <w:tc>
          <w:tcPr>
            <w:tcW w:w="10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294,190</w:t>
            </w:r>
          </w:p>
        </w:tc>
        <w:tc>
          <w:tcPr>
            <w:tcW w:w="1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(228,667)</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$ 65,536</w:t>
            </w: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Issuance of</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common stock</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rPr>
              <w:t>under</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6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w w:val="98"/>
              </w:rPr>
              <w:t>employee stock</w:t>
            </w: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option and</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rPr>
              <w:t>stock award</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3,781</w:t>
            </w:r>
          </w:p>
        </w:tc>
        <w:tc>
          <w:tcPr>
            <w:tcW w:w="0" w:type="dxa"/>
            <w:vAlign w:val="bottom"/>
          </w:tcPr>
          <w:p>
            <w:pPr>
              <w:spacing w:after="0"/>
              <w:rPr>
                <w:sz w:val="1"/>
                <w:szCs w:val="1"/>
                <w:color w:val="auto"/>
              </w:rPr>
            </w:pPr>
          </w:p>
        </w:tc>
      </w:tr>
      <w:tr>
        <w:trPr>
          <w:trHeight w:val="175"/>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5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Stock-based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w w:val="99"/>
              </w:rPr>
              <w:t>expense related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to employee</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and non-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w w:val="98"/>
              </w:rPr>
              <w:t>employee stock</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60,436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5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60,436</w:t>
            </w:r>
          </w:p>
        </w:tc>
        <w:tc>
          <w:tcPr>
            <w:tcW w:w="0" w:type="dxa"/>
            <w:vAlign w:val="bottom"/>
          </w:tcPr>
          <w:p>
            <w:pPr>
              <w:spacing w:after="0"/>
              <w:rPr>
                <w:sz w:val="1"/>
                <w:szCs w:val="1"/>
                <w:color w:val="auto"/>
              </w:rPr>
            </w:pPr>
          </w:p>
        </w:tc>
      </w:tr>
      <w:tr>
        <w:trPr>
          <w:trHeight w:val="17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awards</w:t>
            </w: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9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Repurchase of</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Exercise of</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warrants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29,641</w:t>
            </w: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Shares issued</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for business</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acquisitions</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147,380</w:t>
            </w:r>
          </w:p>
        </w:tc>
        <w:tc>
          <w:tcPr>
            <w:tcW w:w="0" w:type="dxa"/>
            <w:vAlign w:val="bottom"/>
          </w:tcPr>
          <w:p>
            <w:pPr>
              <w:spacing w:after="0"/>
              <w:rPr>
                <w:sz w:val="1"/>
                <w:szCs w:val="1"/>
                <w:color w:val="auto"/>
              </w:rPr>
            </w:pPr>
          </w:p>
        </w:tc>
      </w:tr>
      <w:tr>
        <w:trPr>
          <w:trHeight w:val="121"/>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Shares issued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for transaction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fees</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Change in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ind w:left="140"/>
              <w:spacing w:after="0" w:line="131" w:lineRule="exact"/>
              <w:rPr>
                <w:sz w:val="20"/>
                <w:szCs w:val="20"/>
                <w:color w:val="auto"/>
              </w:rPr>
            </w:pPr>
            <w:r>
              <w:rPr>
                <w:rFonts w:ascii="Times New Roman" w:cs="Times New Roman" w:eastAsia="Times New Roman" w:hAnsi="Times New Roman"/>
                <w:sz w:val="13"/>
                <w:szCs w:val="13"/>
                <w:color w:val="auto"/>
              </w:rPr>
              <w:t>noncontrolling</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4,654</w:t>
            </w:r>
          </w:p>
        </w:tc>
        <w:tc>
          <w:tcPr>
            <w:tcW w:w="0" w:type="dxa"/>
            <w:vAlign w:val="bottom"/>
          </w:tcPr>
          <w:p>
            <w:pPr>
              <w:spacing w:after="0"/>
              <w:rPr>
                <w:sz w:val="1"/>
                <w:szCs w:val="1"/>
                <w:color w:val="auto"/>
              </w:rPr>
            </w:pPr>
          </w:p>
        </w:tc>
      </w:tr>
      <w:tr>
        <w:trPr>
          <w:trHeight w:val="122"/>
        </w:trPr>
        <w:tc>
          <w:tcPr>
            <w:tcW w:w="9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Foreign</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6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currency</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auto"/>
              </w:rPr>
              <w:t>translation</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0"/>
                <w:szCs w:val="10"/>
                <w:color w:val="auto"/>
              </w:rPr>
            </w:pP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0"/>
                <w:szCs w:val="10"/>
                <w:color w:val="auto"/>
              </w:rPr>
            </w:pPr>
          </w:p>
        </w:tc>
        <w:tc>
          <w:tcPr>
            <w:tcW w:w="4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0"/>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w:t>
            </w: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9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Net (loss)</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73,913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72,887</w:t>
            </w:r>
          </w:p>
        </w:tc>
        <w:tc>
          <w:tcPr>
            <w:tcW w:w="0" w:type="dxa"/>
            <w:vAlign w:val="bottom"/>
          </w:tcPr>
          <w:p>
            <w:pPr>
              <w:spacing w:after="0"/>
              <w:rPr>
                <w:sz w:val="1"/>
                <w:szCs w:val="1"/>
                <w:color w:val="auto"/>
              </w:rPr>
            </w:pPr>
          </w:p>
        </w:tc>
      </w:tr>
      <w:tr>
        <w:trPr>
          <w:trHeight w:val="102"/>
        </w:trPr>
        <w:tc>
          <w:tcPr>
            <w:tcW w:w="960" w:type="dxa"/>
            <w:vAlign w:val="bottom"/>
          </w:tcPr>
          <w:p>
            <w:pPr>
              <w:ind w:left="140"/>
              <w:spacing w:after="0" w:line="102"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96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w w:val="76"/>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4"/>
              </w:rPr>
              <w:t>153,629</w:t>
            </w:r>
          </w:p>
        </w:tc>
        <w:tc>
          <w:tcPr>
            <w:tcW w:w="10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535,875</w:t>
            </w:r>
          </w:p>
        </w:tc>
        <w:tc>
          <w:tcPr>
            <w:tcW w:w="10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(154,754)</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3,628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$ 384,760</w:t>
            </w:r>
          </w:p>
        </w:tc>
        <w:tc>
          <w:tcPr>
            <w:tcW w:w="0" w:type="dxa"/>
            <w:vAlign w:val="bottom"/>
          </w:tcPr>
          <w:p>
            <w:pPr>
              <w:spacing w:after="0"/>
              <w:rPr>
                <w:sz w:val="1"/>
                <w:szCs w:val="1"/>
                <w:color w:val="auto"/>
              </w:rPr>
            </w:pPr>
          </w:p>
        </w:tc>
      </w:tr>
      <w:tr>
        <w:trPr>
          <w:trHeight w:val="155"/>
        </w:trPr>
        <w:tc>
          <w:tcPr>
            <w:tcW w:w="9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14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6"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Retroactively restated to give effect to the October 19, 2021 reverse recapitalization.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w:t>
            </w:r>
          </w:p>
        </w:tc>
        <w:tc>
          <w:tcPr>
            <w:tcW w:w="940" w:type="dxa"/>
            <w:vAlign w:val="bottom"/>
          </w:tcPr>
          <w:p>
            <w:pPr>
              <w:spacing w:after="0"/>
              <w:rPr>
                <w:sz w:val="13"/>
                <w:szCs w:val="13"/>
                <w:color w:val="auto"/>
              </w:rPr>
            </w:pPr>
          </w:p>
        </w:tc>
      </w:tr>
      <w:tr>
        <w:trPr>
          <w:trHeight w:val="194"/>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ded December 31,</w:t>
            </w:r>
          </w:p>
        </w:tc>
        <w:tc>
          <w:tcPr>
            <w:tcW w:w="940" w:type="dxa"/>
            <w:vAlign w:val="bottom"/>
            <w:tcBorders>
              <w:bottom w:val="single" w:sz="8" w:color="auto"/>
            </w:tcBorders>
          </w:tcPr>
          <w:p>
            <w:pPr>
              <w:spacing w:after="0"/>
              <w:rPr>
                <w:sz w:val="16"/>
                <w:szCs w:val="16"/>
                <w:color w:val="auto"/>
              </w:rPr>
            </w:pPr>
          </w:p>
        </w:tc>
      </w:tr>
      <w:tr>
        <w:trPr>
          <w:trHeight w:val="19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72,887</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(152,685)</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rent</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41,404</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warrants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45,625</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from change in fair value of earnout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38,105</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accrued compensation and other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1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(41,700)</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acquisition</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preferred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Receipts on notes receivable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1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reverse recapitalization</w:t>
            </w:r>
          </w:p>
        </w:tc>
        <w:tc>
          <w:tcPr>
            <w:tcW w:w="3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298,066</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stock issuance costs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of warrants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in connection stock option exercises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23"/>
        </w:trPr>
        <w:tc>
          <w:tcPr>
            <w:tcW w:w="81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274,549</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229,383</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38,869</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268,252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891"/>
        </w:trPr>
        <w:tc>
          <w:tcPr>
            <w:tcW w:w="814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F-7</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29"/>
        </w:trPr>
        <w:tc>
          <w:tcPr>
            <w:tcW w:w="81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 through change in control of joint venture</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Payable for investment contribution</w:t>
            </w:r>
          </w:p>
        </w:tc>
        <w:tc>
          <w:tcPr>
            <w:tcW w:w="1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Recognition of earn-out consideration</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Recognition of warrant liabilities</w:t>
            </w:r>
          </w:p>
        </w:tc>
        <w:tc>
          <w:tcPr>
            <w:tcW w:w="1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35,763</w:t>
            </w: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preferred stock</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109,506</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for business acquisition</w:t>
            </w:r>
          </w:p>
        </w:tc>
        <w:tc>
          <w:tcPr>
            <w:tcW w:w="1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147,380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for transaction fees</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 ("Navitas").</w:t>
      </w:r>
    </w:p>
    <w:p>
      <w:pPr>
        <w:spacing w:after="0" w:line="84"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References to the “Company” in these financial statements refer to Legacy Navitas and its predecessors before the consummation of the Business Combination, or to Navitas Semiconductor Corporation after the Business Combination, as the context suggests.</w:t>
      </w:r>
    </w:p>
    <w:p>
      <w:pPr>
        <w:spacing w:after="0" w:line="68" w:lineRule="exact"/>
        <w:rPr>
          <w:sz w:val="20"/>
          <w:szCs w:val="20"/>
          <w:color w:val="auto"/>
        </w:rPr>
      </w:pPr>
    </w:p>
    <w:p>
      <w:pPr>
        <w:ind w:right="260" w:firstLine="486"/>
        <w:spacing w:after="0" w:line="297" w:lineRule="auto"/>
        <w:rPr>
          <w:sz w:val="20"/>
          <w:szCs w:val="20"/>
          <w:color w:val="auto"/>
        </w:rPr>
      </w:pPr>
      <w:r>
        <w:rPr>
          <w:rFonts w:ascii="Times New Roman" w:cs="Times New Roman" w:eastAsia="Times New Roman" w:hAnsi="Times New Roman"/>
          <w:sz w:val="18"/>
          <w:szCs w:val="18"/>
          <w:color w:val="auto"/>
        </w:rPr>
        <w:t>The Company was founded in 2013 and has since been developing next-generation power semiconductors including gallium nitride (GaN) power integrated circuits (ICs), silicon carbide (SiC) and associated high-speed silicon system controllers and digital isolators used in power conversion and charging. The Company presently operates as a product design house that contracts the manufacturing of its chips and packaging to partner suppliers. Navitas maintains its operations around the world, including the United States, Ireland, Germany, Italy, Belgium, China, Taiwan, Thailand and the Philippines, with principal executive offices in Torrance, California.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Reorganization</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Navitas Semiconductor USA, Inc. (f/k/a Navitas Semiconductor, Inc., “Navitas U.S.”) was incorporated in the State of Delaware on October 25,</w:t>
      </w:r>
    </w:p>
    <w:p>
      <w:pPr>
        <w:spacing w:after="0" w:line="5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2013. In 2020 Navitas U.S. initiated a restructuring to streamline its worldwide legal entity structure and more efficiently align its business operations (the “Restructuring”). The Restructuring introduced wholly owned subsidiaries in Hong Kong and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14, Provision for Income Taxes, for more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Pursuant to the terms of the BCA, the Business Combination was consummated (the “Closing”) on October 19, 2021 (the Closing Date”) by means of (i) a tender offer to acquire the entire issued share capital of Navitas Ireland (other than Navitas Ireland Restricted Shares (as defined below)) in exchange for the Tender Offer Consideration (as defined below) (the “Tender Offer”) and (ii) the merger of a wholly owned subsidiary of Live Oak (“Merger Sub”) with and into Navitas Delaware (the “Merger”), with Navitas Delaware surviving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GAAP. Under this method of accounting, although Live Oak issued shares for outstanding equity interests of Legacy Navitas in the Business Combination, Live Oak was treated as the “acquired” company for financial reporting purposes. Accordingly, the Business Combination was treated as the equivalent of Legacy Navitas issuing stock for the net assets of Live Oak, accompanied by a recapitalization. The net assets of Live Oak were stated at historical cost, with no goodwill or other intangible assets recorded. Operations prior to the Business Combination are those of Navitas.</w:t>
      </w:r>
    </w:p>
    <w:p>
      <w:pPr>
        <w:spacing w:after="0" w:line="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all periods presented, unless stated otherwise, references to Legacy Navitas common shares and options for common shares outstanding before the Closing and related per share amounts have been retroactively restated to give effect to the reverse recapitalization, specifically, the Exchange Ratio of 1.0944 shares to 1 at Closing. References to share quantities for Legacy Navitas convertible preferred stock and warrants related to balances or activity before the Closing reflect the historical quantities and are not adjusted for the Exchange Ratio.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36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In June 2022, the Company acquired VDDTech for $1.9 million in cash and stock, and in August 2022 the Company acquired GeneSiC for $246.2 million in cash and stock. See Note 18, Business Combinations, for more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60"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(“GAAP”).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308"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 former Joint Venture, an entity in which the Company has a controlling interest (see Note 19, Noncontrolling Interest). The Company reports noncontrolling interests of the consolidated entities as a component of equity separate from the Company’s equity. All material intercompany transactions between and among the Company and its consolidated subsidiaries have been eliminated in the consolidation. The Company’s net income (loss) excludes income (loss) attributable to the noncontrolling interests.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spacing w:after="0" w:line="169"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On an ongoing basis, management evaluates the assumptions used in making estimates, including those related to (i) the collectability of accounts receivable; (ii) write-down for excess and obsolete inventory; (iii) warranty obligations; (iv) the value assigned to and estimated useful lives of long-lived assets; (v) the realization of tax assets and estimates of tax liabilities and tax reserves; (vi) recoverability of intangible assets; (vii) the computation of share-based compensation; (viii) accrued compensation and other expenses; and (ix) the recognition of revenue.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 engages third-party valuation specialists to assist with estimates related to the valuation of intangible assets, stock options, restricted common stock awards, Earnout Shares and warrants. Such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estimates often require the selection of appropriate valuation methodologies and models, and significant judgment in evaluating ranges of assumptions and financial inputs. Actual results could differ from those estimates.</w:t>
      </w:r>
    </w:p>
    <w:p>
      <w:pPr>
        <w:spacing w:after="0" w:line="252" w:lineRule="exact"/>
        <w:rPr>
          <w:sz w:val="20"/>
          <w:szCs w:val="20"/>
          <w:color w:val="auto"/>
        </w:rPr>
      </w:pPr>
    </w:p>
    <w:p>
      <w:pPr>
        <w:ind w:right="3280" w:firstLine="8"/>
        <w:spacing w:after="0" w:line="415" w:lineRule="auto"/>
        <w:tabs>
          <w:tab w:leader="none" w:pos="1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AND RECENT ACCOUNTING PRONOUNCEMENTS Significant Accounting Policies and Estimates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60" w:lineRule="exact"/>
        <w:rPr>
          <w:sz w:val="20"/>
          <w:szCs w:val="20"/>
          <w:color w:val="auto"/>
        </w:rPr>
      </w:pPr>
    </w:p>
    <w:p>
      <w:pPr>
        <w:jc w:val="both"/>
        <w:ind w:right="20" w:firstLine="486"/>
        <w:spacing w:after="0" w:line="305" w:lineRule="auto"/>
        <w:rPr>
          <w:sz w:val="20"/>
          <w:szCs w:val="20"/>
          <w:color w:val="auto"/>
        </w:rPr>
      </w:pPr>
      <w:r>
        <w:rPr>
          <w:rFonts w:ascii="Times New Roman" w:cs="Times New Roman" w:eastAsia="Times New Roman" w:hAnsi="Times New Roman"/>
          <w:sz w:val="18"/>
          <w:szCs w:val="18"/>
          <w:color w:val="auto"/>
        </w:rPr>
        <w:t>The Company is organized and operates as one reportable segment, the design, development, manufacture and marketing of integrated circuits and related components for use primarily in mobile device and other markets. The Company’s Chief Operating Decision Maker, the Chief Executive Officer, reviews financial information presented on a consolidated basis for purposes of making operating decisions and assessing financial performance.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revenue under the core principle of depicting the transfer of control to the Company’s customers in an amount reflecting the consideration to which the Company expects to be entitled.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9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Product revenues consist of sales to distributors, original equipment manufacturers, or OEMs, and merchant power supply manufacturers. The Company considers customer purchase orders, which in some cases are governed by master sales agreements, to be the contracts with a customer. In situations where sales are to a distributor, the Company has concluded that its contracts are with the distributor as the Company holds a contract bearing enforceable rights and obligations only with the distributor. As part of its consideration of the contract, the Company evaluates certain factors including the customer’s ability to pay (or credit risk). If the Company concludes that the customer has the ability to pay, a contract has been established. 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 As the Company’s standard payment terms are less than one year, the Company has elected the practical expedient to not assess whether a contract has a significant financing component. The Company has entered into warrant agreements for preferred and common stock with certain investors who are downstream users of the Company’s products. The Company considers the warrants, which are subject to the achievement of revenue-based performance incentives, to be a form of consideration payable to customers. Accordingly, any value attributable to the warrants is accounted for as a reduction of the transaction price.</w:t>
      </w:r>
    </w:p>
    <w:p>
      <w:pPr>
        <w:spacing w:after="0" w:line="18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allocates the transaction price to each distinct performance obligation based on their relative standalone selling price. The product price as specified on the purchase order is considered the standalone selling price as it is an observable input which depicts the price as if sold to a similar customer in similar circumstances. Revenue is recognized when control of the product is transferred to the customer (i.e., when the Company’s performance obligation is satisfied), which typically occurs at shipment. Further, in determining whether control has transferred, the Company considers if there is a present right to payment and legal title, along with risks and rewards of ownership having transferred to the customer.</w:t>
      </w:r>
    </w:p>
    <w:p>
      <w:pPr>
        <w:spacing w:after="0" w:line="191"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When the Company receives orders for products to be delivered over multiple dates that may extend across several reporting periods, the Company invoices for each delivery upon shipment and recognizes revenues for each distinct product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delivered. The Company has also elected the practical expedient to expense commissions when incurred as the amortization period of the commission asset the Company would have otherwise recognized is less than one year.</w:t>
      </w:r>
    </w:p>
    <w:p>
      <w:pPr>
        <w:spacing w:after="0" w:line="14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majority of sales to international customers that are shipped from the Company’s or its vendor’s facility outside of the United States are pursuant to EX Works, or EXW, shipping terms, meaning that control of the product transfers to the customer upon shipment from the Company’s or its vendors’ foreign warehouse.</w:t>
      </w:r>
    </w:p>
    <w:p>
      <w:pPr>
        <w:spacing w:after="0" w:line="18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Sales to most distributors are made under terms allowing certain limited rights of return (known as “stock rotation”) of the Company’s products held in their inventory or upon sale to their end customers. Revenue from sales to distributors is recognized upon the transfer of control to the distributor. Stock rotation rights grant the distributor the ability to return certain specified amounts of inventory. Stock rotation adjustments are a form of variable consideration and are estimated using the expected value method based on historical return rates. Historically, distributor stock rotation adjustments have been insignificant.</w:t>
      </w:r>
    </w:p>
    <w:p>
      <w:pPr>
        <w:spacing w:after="0" w:line="177"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generally provides an assurance warranty that its products will substantially conform to the published specifications for twelve months from the date of shipment. The Company’s liability is limited to either a credit equal to the purchase price or replacement of the defective part. Returns under warranty have historically not been material. As such, the Company does not record a specific warranty reserve.</w:t>
      </w:r>
    </w:p>
    <w:p>
      <w:pPr>
        <w:spacing w:after="0" w:line="183"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Revenue received from customers in advance of the Company shipping the related product is considered a contract liability and is included in deferred revenue on the Company’s consolidated balance sheets.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68"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acquisition method requires identifiable assets acquired and liabilities assumed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w:t>
      </w:r>
    </w:p>
    <w:p>
      <w:pPr>
        <w:spacing w:after="0" w:line="219"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 xml:space="preserve">The determination of estimated fair value requires us to make significant estimates and assumptions. These fair value determinations require judgment and involve the use of significant estimates and assumptions, including assumptions with respect to future cash inflows and outflows, discount rates, and asset lives, among other items. As a result, we may record adjustments to the fair values of assets acquired and liabilities assumed within the measurement period (up to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year from the acquisition date) with the corresponding offset to goodwill.</w:t>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Transaction costs associated with business combinations are expensed as they are incurred.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Contingent Consideration Resulting from a Business Combination</w:t>
      </w:r>
    </w:p>
    <w:p>
      <w:pPr>
        <w:spacing w:after="0" w:line="308" w:lineRule="exact"/>
        <w:rPr>
          <w:sz w:val="20"/>
          <w:szCs w:val="20"/>
          <w:color w:val="auto"/>
        </w:rPr>
      </w:pPr>
    </w:p>
    <w:p>
      <w:pPr>
        <w:jc w:val="both"/>
        <w:ind w:firstLine="486"/>
        <w:spacing w:after="0" w:line="287" w:lineRule="auto"/>
        <w:rPr>
          <w:sz w:val="20"/>
          <w:szCs w:val="20"/>
          <w:color w:val="auto"/>
        </w:rPr>
      </w:pPr>
      <w:r>
        <w:rPr>
          <w:rFonts w:ascii="Times New Roman" w:cs="Times New Roman" w:eastAsia="Times New Roman" w:hAnsi="Times New Roman"/>
          <w:sz w:val="18"/>
          <w:szCs w:val="18"/>
          <w:color w:val="auto"/>
        </w:rPr>
        <w:t>In connection with certain acquisitions, we may be required to pay future consideration that is contingent upon the achievement of specified milestone events. We record contingent consideration resulting from a business combination at its fair value on the acquisition date. Each quarter thereafter, we revalue these obligations and record increases or decreases in their fair value within our Statement of Operations until such time as the specified milestone achievement period is complete.</w:t>
      </w:r>
    </w:p>
    <w:p>
      <w:pPr>
        <w:spacing w:after="0" w:line="198"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Increases or decreases in fair value of the contingent consideration liabilities can result from updates to assumptions such as the expected timing or probability of achieving the specified milestones. Significant judgment is employed 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determining these assumptions as of the acquisition date and for each subsequent period. Updates to assumptions could have a significant impact on our results of operations in any given period. Actual results may differ from estimates.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Inventory (which consist of costs associated with the purchases of wafers from foundries and of packaged components from offshore assembly manufacturers, as well as internal labor and overhead, including depreciation and amortization, associated with the testing of both wafers and packaged components) are stated at the lower of cost (first-in, first-out) or market. The Company periodically reviews inventory for potential obsolescence based upon an aging analysis of the inventory on hand, specifically known inventory-related risks, and assumptions about future demand and market conditions. Inventory items determined to be impaired are reduced to their net realizable values.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stock-based awards based on the grant date fair value of the awards. The Company recognizes compensation expense over the requisite service period in the consolidated statements of operations for restricted stock awards. The fair value of restricted stock unit grants is typically determined using the Monte Carlo simulation method.</w:t>
      </w:r>
    </w:p>
    <w:p>
      <w:pPr>
        <w:spacing w:after="0" w:line="183"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fair value of stock option awards to employees and to non-employees with service based vesting conditions is estimated using the Black-Scholes option pricing model. The value of an award is recognized as expense over the requisite service period in the consolidated statements of operations.</w:t>
      </w:r>
    </w:p>
    <w:p>
      <w:pPr>
        <w:spacing w:after="0" w:line="148"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w:t>
      </w:r>
    </w:p>
    <w:p>
      <w:pPr>
        <w:spacing w:after="0" w:line="14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expected volatility of the awards is typically based on historical volatility of selected public companies within the Company’s industry. The risk-free interest rate is based on the implied yield currently available on U.S. Treasury notes with a term approximately equal to the expected term of the awards. The expected dividend rate is zero as the Company currently has no history or expectation of cash dividends on its common stock. The Company has adopted the practical expedient for determining the expected term of stock option awards, which is the midpoint between the end of the vesting term and the expiration of the award. The Company has elected to account for forfeitures as they occur.</w:t>
      </w:r>
    </w:p>
    <w:p>
      <w:pPr>
        <w:spacing w:after="0" w:line="191"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elected to treat share-based payment awards with graded vesting schedules and time-based service conditions as a single award and recognize compensation expense on a straight-line basis over the requisite service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 and debt discounts</w:t>
      </w:r>
    </w:p>
    <w:p>
      <w:pPr>
        <w:spacing w:after="0" w:line="146"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The Company records debt issuance costs and debt discounts, net of accumulated amortization, as direct deductions from the principal balance of its long-term debt to which they relate. Amortization is reported as a component of interest expense and is computed using the effective interest method.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Current income tax expense is an estimate of current income taxes payable or refundable in the current fiscal year based on reported income before income taxes. Deferred income taxes reflect the effect of temporary differences and carry-forwards that are recognized for financial reporting and income tax purposes.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 The Company recognizes valuation allowances to reduce any deferred tax assets to the amount that it estimates will more likely than not be realized based on available evidence and management’s judgment. In the event that the Company determines, based on available evidence and management judgment, that all or part of the net deferred tax assets will not be realized in the future, it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the Company’s results of operations and financial position.</w:t>
      </w:r>
    </w:p>
    <w:p>
      <w:pPr>
        <w:spacing w:after="0" w:line="17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has no unrecognized tax benefits at December 31, 2022 and 2021. The Company’s federal and state income tax returns since inception are open and management continually evaluates expiring statutes of limitations, audits, proposed settlements, changes in tax law and new authoritative rulings. When necessary, the Company recognizes interest and penalties associated with tax matters as part of the income tax provision and includes accrued interest and penalties with the related tax liability in the balance sheet. The Company had no accrued interest and penalties at December 31, 2022 and 2021.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Accounts receivable are reported as the amount management expects to collect from outstanding balances. Management performs an analysis of the current status of each individual customer account to determine the appropriate level for the allowance for doubtful accounts. Balances that are still outstanding after management has used reasonable collection efforts are written off against the allowance for doubtful accounts. As of December 31, 2022 and 2021, all receivables were considered collectible.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360"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as the exchange price that would be received for an asset or paid to transfer a liability in an orderly transaction between market participants at the measurement date. The Company categorizes its financial assets and liabilities measured at fair value into a hierarchy that categorizes fair value measurements into the following three levels based on the types of inputs used in measuring their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quoted market prices in active markets for identical assets or liabilities;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Company’s own assumptions.</w:t>
      </w:r>
    </w:p>
    <w:p>
      <w:pPr>
        <w:spacing w:after="0" w:line="26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10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classification of derivative instruments, including whether such instruments should be recorded as liabilities or as equity, is re-assessed at the end of each reporting period.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8"/>
          <w:szCs w:val="18"/>
          <w:color w:val="auto"/>
        </w:rPr>
        <w:t>The 8,433,333 warrants issued in connection with Live Oak’s Initial Public Offering (the “Public Warrants”), the 4,666,667 Private Placement Warrants and the Earnout Shares associated with Vested Shares are recognized as derivative liabilities in accordance with ASC 815. Accordingly, the Company recognizes the warrant instruments and earnout shares as liabilities at fair value and adjusts the instruments to fair value at each reporting period. The liabilities are subject to re-measurement at each balance sheet date until exercised. The Public Warrant quoted market price was used as the fair value for the Public Warrants and the Private Placement Warrants as of each relevant date. The Earnout shares were valued using a Monte Carlo analysis. Derivative warrant liabilities are classified as non-current liabilities as their liquidation is not reasonably expected to require the use of significant current assets or require the creation of current liabilities. There were no outstanding warrants as of December 31,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Long-lived assets, such as property and equipment and intangible assets with finite lives,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68"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tangible and intangible assets acquired. The carrying value of goodwill is reviewed for possible impairment in accordance with the authoritative guidance on goodwill, intangibles and other. The Company assesses possible impairments to goodwill at least annually, or more frequently when events or changes in circumstances would more likely than not reduce the fair value of a reporting unit below its carrying value.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The Company considers cash invested in highly liquid financial instruments with maturities of three months or less at the date of purchase to be cash equivalents.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 and Foreign Currency Translation</w:t>
      </w:r>
    </w:p>
    <w:p>
      <w:pPr>
        <w:spacing w:after="0" w:line="146"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As of December 31, 2021, the Company’s primary transactional currency was U.S. Dollars. Gains and losses arising from the remeasurement of non-functional currency balances are recorded in selling, general and administrative expenses in the accompanying consolidated statements of operations. The Company realized a foreign exchange transaction net loss of $0.1 million in both 2022 and 2021.</w:t>
      </w:r>
    </w:p>
    <w:p>
      <w:pPr>
        <w:spacing w:after="0" w:line="183"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functional currencies of the Company’s non-U.S. subsidiaries are the U.S. Dollar. Accordingly, all monetary assets and liabilities are translated into U.S. Dollars at the current exchange rates as of the applicable balance sheet date. Non-monetary assets and liabilities into U.S. Dollars at the applicable historical rates. Revenues and expenses are translated at either the average exchange rate prevailing during the period or historical rates as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60"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Advertising costs, which are included in selling, general and administrative expenses, are expensed as incurred and amounted to $0.1 million and $0.3 million in 2022 and 2021,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contracted non-recurring engineering services. These expenses include employee compensation, benefits and related costs of sustaining our engineering teams, project material costs, third party fees paid to consultants, prototype development expenses, and other costs incurred in the product and technology design and development processes.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6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4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under ASC 842, and also issued subsequent amendments under ASU No. 2019-10 and ASU No. 2020-05 (collectively ASC 842), which supersedes lease accounting and disclosure requirements in ASC 840. On January 1, 2022, the Company adopted ASC 842 and the related amendments. ASC 842 requires lessees to (i) recognize a right of use asset and a lease liability that is measured at the present value of the remaining lease payments, on the consolidated balance sheets, (ii) recognize a single lease cost, calculated over the lease term on a straight-line basis and (iii) classify lease related cash payments within operating and financing activities. The Company recognized approximately $1.6 million of operating lease right-of-use assets and $1.7 million operating lease liabilities on the consolidated balance sheets upon adoption on January 1, 2022.</w:t>
      </w:r>
    </w:p>
    <w:p>
      <w:pPr>
        <w:spacing w:after="0" w:line="72"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Upon adoption, the Company elected practical expedients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See Note 7 – Leases for additional information and incremental disclosures related to the adoption of this standard.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9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June 2016, the FASB amended guidance related to impairment of financial instruments as part of ASU No. 2016-13,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w:t>
      </w:r>
      <w:r>
        <w:rPr>
          <w:rFonts w:ascii="Times New Roman" w:cs="Times New Roman" w:eastAsia="Times New Roman" w:hAnsi="Times New Roman"/>
          <w:sz w:val="18"/>
          <w:szCs w:val="18"/>
          <w:color w:val="auto"/>
        </w:rPr>
        <w:t>under ASC 326, which replaces the incurred loss impairment methodology with an expected credit loss model for which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consolidated financial statements and related disclosures.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23"/>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8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For the years ended December 31, 2022 and 2021, depreciation expense was $1.0 million and $0.4 million, respectively, and was determined using the straight-line method over the following estimated useful lives: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980" w:type="dxa"/>
            <w:vAlign w:val="bottom"/>
            <w:tcBorders>
              <w:bottom w:val="single" w:sz="8" w:color="CCEEFF"/>
            </w:tcBorders>
            <w:shd w:val="clear" w:color="auto" w:fill="CCEEFF"/>
          </w:tcPr>
          <w:p>
            <w:pPr>
              <w:ind w:left="3920"/>
              <w:spacing w:after="0"/>
              <w:rPr>
                <w:sz w:val="20"/>
                <w:szCs w:val="20"/>
                <w:color w:val="auto"/>
              </w:rPr>
            </w:pPr>
            <w:r>
              <w:rPr>
                <w:rFonts w:ascii="Times New Roman" w:cs="Times New Roman" w:eastAsia="Times New Roman" w:hAnsi="Times New Roman"/>
                <w:sz w:val="22"/>
                <w:szCs w:val="22"/>
                <w:color w:val="auto"/>
                <w:w w:val="97"/>
              </w:rPr>
              <w:t>3 — 7 years</w:t>
            </w:r>
          </w:p>
        </w:tc>
      </w:tr>
      <w:tr>
        <w:trPr>
          <w:trHeight w:val="33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other equipment</w:t>
            </w:r>
          </w:p>
        </w:tc>
        <w:tc>
          <w:tcPr>
            <w:tcW w:w="4980" w:type="dxa"/>
            <w:vAlign w:val="bottom"/>
          </w:tcPr>
          <w:p>
            <w:pPr>
              <w:ind w:left="3920"/>
              <w:spacing w:after="0"/>
              <w:rPr>
                <w:sz w:val="20"/>
                <w:szCs w:val="20"/>
                <w:color w:val="auto"/>
              </w:rPr>
            </w:pPr>
            <w:r>
              <w:rPr>
                <w:rFonts w:ascii="Times New Roman" w:cs="Times New Roman" w:eastAsia="Times New Roman" w:hAnsi="Times New Roman"/>
                <w:sz w:val="22"/>
                <w:szCs w:val="22"/>
                <w:color w:val="auto"/>
                <w:w w:val="97"/>
              </w:rPr>
              <w:t>2 — 5 years</w:t>
            </w:r>
          </w:p>
        </w:tc>
      </w:tr>
      <w:tr>
        <w:trPr>
          <w:trHeight w:val="42"/>
        </w:trPr>
        <w:tc>
          <w:tcPr>
            <w:tcW w:w="6240" w:type="dxa"/>
            <w:vAlign w:val="bottom"/>
          </w:tcPr>
          <w:p>
            <w:pPr>
              <w:spacing w:after="0"/>
              <w:rPr>
                <w:sz w:val="3"/>
                <w:szCs w:val="3"/>
                <w:color w:val="auto"/>
              </w:rPr>
            </w:pPr>
          </w:p>
        </w:tc>
        <w:tc>
          <w:tcPr>
            <w:tcW w:w="4980" w:type="dxa"/>
            <w:vAlign w:val="bottom"/>
          </w:tcPr>
          <w:p>
            <w:pPr>
              <w:spacing w:after="0"/>
              <w:rPr>
                <w:sz w:val="3"/>
                <w:szCs w:val="3"/>
                <w:color w:val="auto"/>
              </w:rPr>
            </w:pPr>
          </w:p>
        </w:tc>
      </w:tr>
      <w:tr>
        <w:trPr>
          <w:trHeight w:val="3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98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22"/>
                <w:szCs w:val="22"/>
                <w:color w:val="auto"/>
                <w:w w:val="97"/>
              </w:rPr>
              <w:t>2 — 5 years</w:t>
            </w:r>
          </w:p>
        </w:tc>
      </w:tr>
      <w:tr>
        <w:trPr>
          <w:trHeight w:val="42"/>
        </w:trPr>
        <w:tc>
          <w:tcPr>
            <w:tcW w:w="6240" w:type="dxa"/>
            <w:vAlign w:val="bottom"/>
            <w:shd w:val="clear" w:color="auto" w:fill="CCEEFF"/>
          </w:tcPr>
          <w:p>
            <w:pPr>
              <w:spacing w:after="0"/>
              <w:rPr>
                <w:sz w:val="3"/>
                <w:szCs w:val="3"/>
                <w:color w:val="auto"/>
              </w:rPr>
            </w:pPr>
          </w:p>
        </w:tc>
        <w:tc>
          <w:tcPr>
            <w:tcW w:w="49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ASSETS AND LIABILITIES</w:t>
      </w:r>
    </w:p>
    <w:p>
      <w:pPr>
        <w:spacing w:after="0" w:line="162"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short-term nature of the Company’s cash and cash equivalents, accounts receivable, debt and current liabilities causes each of their carrying values to approximate fair value for all periods presented. Cash equivalents classified as Level 1 instruments were not material for December 31, 2022 and $159.6 million as of and December 31, 2021.</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1" w:name="page82"/>
    <w:bookmarkEnd w:id="8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2022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0"/>
                <w:szCs w:val="20"/>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0"/>
                <w:szCs w:val="20"/>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60" w:type="dxa"/>
            <w:vAlign w:val="bottom"/>
          </w:tcPr>
          <w:p>
            <w:pPr>
              <w:spacing w:after="0"/>
              <w:rPr>
                <w:sz w:val="19"/>
                <w:szCs w:val="19"/>
                <w:color w:val="auto"/>
              </w:rPr>
            </w:pPr>
          </w:p>
        </w:tc>
      </w:tr>
      <w:tr>
        <w:trPr>
          <w:trHeight w:val="270"/>
        </w:trPr>
        <w:tc>
          <w:tcPr>
            <w:tcW w:w="53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60" w:type="dxa"/>
            <w:vAlign w:val="bottom"/>
          </w:tcPr>
          <w:p>
            <w:pPr>
              <w:spacing w:after="0"/>
              <w:rPr>
                <w:sz w:val="19"/>
                <w:szCs w:val="19"/>
                <w:color w:val="auto"/>
              </w:rPr>
            </w:pPr>
          </w:p>
        </w:tc>
      </w:tr>
      <w:tr>
        <w:trPr>
          <w:trHeight w:val="21"/>
        </w:trPr>
        <w:tc>
          <w:tcPr>
            <w:tcW w:w="53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800" w:type="dxa"/>
            <w:vAlign w:val="bottom"/>
            <w:gridSpan w:val="11"/>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financial liabilities as of December 31, 2021: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1"/>
                <w:szCs w:val="21"/>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1"/>
                <w:szCs w:val="21"/>
                <w:color w:val="auto"/>
              </w:rPr>
            </w:pP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52,361</w:t>
            </w:r>
          </w:p>
        </w:tc>
        <w:tc>
          <w:tcPr>
            <w:tcW w:w="6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6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134,173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134,173</w:t>
            </w:r>
          </w:p>
        </w:tc>
        <w:tc>
          <w:tcPr>
            <w:tcW w:w="60" w:type="dxa"/>
            <w:vAlign w:val="bottom"/>
          </w:tcPr>
          <w:p>
            <w:pPr>
              <w:spacing w:after="0"/>
              <w:rPr>
                <w:sz w:val="19"/>
                <w:szCs w:val="19"/>
                <w:color w:val="auto"/>
              </w:rPr>
            </w:pPr>
          </w:p>
        </w:tc>
      </w:tr>
      <w:tr>
        <w:trPr>
          <w:trHeight w:val="270"/>
        </w:trPr>
        <w:tc>
          <w:tcPr>
            <w:tcW w:w="53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134,173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215,561</w:t>
            </w:r>
          </w:p>
        </w:tc>
        <w:tc>
          <w:tcPr>
            <w:tcW w:w="60" w:type="dxa"/>
            <w:vAlign w:val="bottom"/>
            <w:tcBorders>
              <w:bottom w:val="single" w:sz="8" w:color="auto"/>
            </w:tcBorders>
          </w:tcPr>
          <w:p>
            <w:pPr>
              <w:spacing w:after="0"/>
              <w:rPr>
                <w:sz w:val="19"/>
                <w:szCs w:val="19"/>
                <w:color w:val="auto"/>
              </w:rPr>
            </w:pPr>
          </w:p>
        </w:tc>
      </w:tr>
      <w:tr>
        <w:trPr>
          <w:trHeight w:val="21"/>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transfer any investments between level 1 and level 2 of the fair value hierarchy in the years ended December 31, 2022 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(in thousands):</w:t>
      </w:r>
    </w:p>
    <w:p>
      <w:pPr>
        <w:spacing w:after="0" w:line="28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91502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15025" cy="15430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1502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1502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Impairment of goodwill</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spacing w:after="0"/>
        <w:tabs>
          <w:tab w:leader="none" w:pos="1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8"/>
          <w:szCs w:val="18"/>
          <w:color w:val="auto"/>
        </w:rPr>
        <w:t>161,527</w:t>
      </w:r>
    </w:p>
    <w:p>
      <w:pPr>
        <w:spacing w:after="0" w:line="2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138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1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161,527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wp:posOffset>
            </wp:positionV>
            <wp:extent cx="138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43180</wp:posOffset>
            </wp:positionV>
            <wp:extent cx="13887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6440" w:space="720"/>
            <w:col w:w="3980"/>
          </w:cols>
          <w:pgMar w:left="320" w:top="144" w:right="4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Business Combinations, for further details.</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 by asset class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3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80" w:type="dxa"/>
            <w:vAlign w:val="bottom"/>
          </w:tcPr>
          <w:p>
            <w:pPr>
              <w:spacing w:after="0"/>
              <w:rPr>
                <w:sz w:val="13"/>
                <w:szCs w:val="13"/>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5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18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5-15 years</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8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37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113,119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105,620</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intangible asset balance (in thousands):</w:t>
      </w:r>
    </w:p>
    <w:p>
      <w:pPr>
        <w:spacing w:after="0" w:line="4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81215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12155" cy="15430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12155"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1215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112,309</w:t>
            </w:r>
          </w:p>
        </w:tc>
      </w:tr>
      <w:tr>
        <w:trPr>
          <w:trHeight w:val="234"/>
        </w:trPr>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(6,859)</w:t>
            </w:r>
          </w:p>
        </w:tc>
      </w:tr>
      <w:tr>
        <w:trPr>
          <w:trHeight w:val="223"/>
        </w:trPr>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105,620</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144" w:right="339" w:bottom="1440" w:gutter="0" w:footer="0" w:header="0"/>
          <w:type w:val="continuous"/>
        </w:sectPr>
      </w:pPr>
    </w:p>
    <w:p>
      <w:pPr>
        <w:spacing w:after="0" w:line="1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amortization expense was $6.9 million for the fiscal years ended December 31, 2022 and was not material the fiscal year ended December 31 2021. There were no impairment charges for the fiscal years ended December 31, 2022 or 2021.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0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commercial buildings. These leases have terms which range from 0.7 to 5.9 years. As of December 31, 2022 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December 31, 2022, finance leases were not significant and all leases recorded on the Company’s consolidated balance sheets were operating leases.</w:t>
      </w:r>
    </w:p>
    <w:p>
      <w:pPr>
        <w:spacing w:after="0" w:line="83"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Upon adoption of ASC 842 on January 1, 2022, the Company recorded operating lease assets of $1.6 million and lease liabilities of $1.7 million in the Company’s consolidated balance sheets. The adoption of this standard did not have a material impact on retained earnings, the consolidated statement of operations, or cash flows. The Company obtained $5.9 million in additional right-of-use assets in exchange for lease obligations during the fiscal year ended December 31, 2022. The Company has made the accounting policy election to use certain ongoing practical expedients made available by ASC 842 to: (i) not separate lease components from nonlease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spacing w:after="0" w:line="71"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Rent expense, including short-term lease cost, was $2.1 million and $1.3 million for the fiscal years ended December 31, 2022 and 2021, respectively. In addition to rent payments, the Company’s leases include real estate taxes, common area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maintenance, utilities, and management fees, which are not fixed. The Company accounts for these costs as variable payments and does not include such costs as a lease component. Total variable expense was $0.2 million for the fiscal year ended December 31, 2022. There were no leases that had not yet commenced as of December 31, 2022, that will create significant additional rights and obligations for the Company.</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related to the Company right-of-use assets and related operating lease liabilities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80" w:type="dxa"/>
            <w:vAlign w:val="bottom"/>
          </w:tcPr>
          <w:p>
            <w:pPr>
              <w:jc w:val="right"/>
              <w:ind w:right="1297"/>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3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9"/>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cost</w:t>
            </w:r>
          </w:p>
        </w:tc>
        <w:tc>
          <w:tcPr>
            <w:tcW w:w="7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r>
      <w:tr>
        <w:trPr>
          <w:trHeight w:val="230"/>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right-of-use assets obtained in exchange for new operating lease obligations</w:t>
            </w:r>
          </w:p>
        </w:tc>
        <w:tc>
          <w:tcPr>
            <w:tcW w:w="740" w:type="dxa"/>
            <w:vAlign w:val="bottom"/>
            <w:shd w:val="clear" w:color="auto" w:fill="CCEEFF"/>
          </w:tcPr>
          <w:p>
            <w:pPr>
              <w:spacing w:after="0"/>
              <w:rPr>
                <w:sz w:val="19"/>
                <w:szCs w:val="19"/>
                <w:color w:val="auto"/>
              </w:rPr>
            </w:pP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4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Weight-average discount rate</w:t>
            </w: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 - 5.5%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and lease liabilities consisted of the following (in thousands):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9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Maturities of lease liabilities (in thousands) due in 12-month period ending December 31,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9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0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9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information for comparative periods</w:t>
      </w:r>
    </w:p>
    <w:p>
      <w:pPr>
        <w:spacing w:after="0" w:line="295"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As of December 31, 2021 prior to the adoption of ASC 842, minimum payments under operating leases having initial or remaining non-cancelable lease terms in excess of one year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81"/>
        </w:trPr>
        <w:tc>
          <w:tcPr>
            <w:tcW w:w="9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81"/>
        </w:trPr>
        <w:tc>
          <w:tcPr>
            <w:tcW w:w="9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4"/>
                <w:szCs w:val="24"/>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81"/>
        </w:trPr>
        <w:tc>
          <w:tcPr>
            <w:tcW w:w="9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24"/>
                <w:szCs w:val="2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81"/>
        </w:trPr>
        <w:tc>
          <w:tcPr>
            <w:tcW w:w="9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8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1"/>
        </w:trPr>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p>
      <w:pPr>
        <w:spacing w:after="0" w:line="14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April 29, 2020, the Company entered into a loan and security agreement with a new bank (the “Term Loan”), which provided for term advances up to $8.0 million. As of December 31, 2022, this loan had been paid in full.</w:t>
      </w:r>
    </w:p>
    <w:p>
      <w:pPr>
        <w:spacing w:after="0" w:line="189"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In connection with execution of the Term Loan, the Company issued warrants to the bank (see Note 10. Warrant Liability). The fair value of the warrants at the date of issuance was not material and was recorded as debt discount, subject to amortization using the effective interest rate method over the term of the loan. All warrants were redeemed by December 31, 2022, and amortization of debt discount and issuance costs was not significant for the years ended December 31, 2022 or 2021.</w:t>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carrying value of long-term debt as of December 31, 2022 and 2021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 payable</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30"/>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08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10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0"/>
        </w:trPr>
        <w:tc>
          <w:tcPr>
            <w:tcW w:w="8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 BASED COMPENSATION: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75"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Under the terms of the 2020 Plan, the Company is authorized to issue 18,899,285 shares of common stock pursuant to awards under the 2020 Plan. As of October 19, 2021, the Company has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69"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 As of December 31, 2022, the Company has issued 9,750,000 non-statutory stock options under the 2021 Plan.</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62"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spacing w:after="0" w:line="61"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recognizes the fair value of stock-based compensation in its financial statements over the requisite service period of the individual grants, which generally equals a four-year vesting period, except for Long-Term Incentive Plan Stock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3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for the years ended December 31, 2022 and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1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41,404</w:t>
            </w: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F-22</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8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36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169" w:lineRule="exact"/>
        <w:rPr>
          <w:sz w:val="20"/>
          <w:szCs w:val="20"/>
          <w:color w:val="auto"/>
        </w:rPr>
      </w:pPr>
    </w:p>
    <w:p>
      <w:pPr>
        <w:jc w:val="both"/>
        <w:ind w:firstLine="486"/>
        <w:spacing w:after="0" w:line="304" w:lineRule="auto"/>
        <w:rPr>
          <w:sz w:val="20"/>
          <w:szCs w:val="20"/>
          <w:color w:val="auto"/>
        </w:rPr>
      </w:pPr>
      <w:r>
        <w:rPr>
          <w:rFonts w:ascii="Times New Roman" w:cs="Times New Roman" w:eastAsia="Times New Roman" w:hAnsi="Times New Roman"/>
          <w:sz w:val="18"/>
          <w:szCs w:val="18"/>
          <w:color w:val="auto"/>
        </w:rPr>
        <w:t>The Company did not grant any stock options during the fiscal year ended December 31, 2022, except for Long-term Incentive Plan Stock Options discussed below. The fair value of incentive stock options and non-statutory stock options issued was estimated using the Black-Scholes model with the following weighted-average assumptions used during the year ended December 31, 2021:</w:t>
      </w:r>
    </w:p>
    <w:tbl>
      <w:tblPr>
        <w:tblLayout w:type="fixed"/>
        <w:tblInd w:w="0" w:type="dxa"/>
        <w:tblCellMar>
          <w:top w:w="0" w:type="dxa"/>
          <w:left w:w="0" w:type="dxa"/>
          <w:bottom w:w="0" w:type="dxa"/>
          <w:right w:w="0" w:type="dxa"/>
        </w:tblCellMar>
      </w:tblPr>
      <w:tr>
        <w:trPr>
          <w:trHeight w:val="191"/>
        </w:trPr>
        <w:tc>
          <w:tcPr>
            <w:tcW w:w="50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0.48</w:t>
            </w: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stock options outstanding as of December 31, 2022, and activity during the two years then ended,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120" w:type="dxa"/>
            <w:vAlign w:val="bottom"/>
            <w:vMerge w:val="restart"/>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97"/>
              </w:rPr>
              <w:t>7.9</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(1,105)</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12,981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780" w:type="dxa"/>
            <w:vAlign w:val="bottom"/>
            <w:tcBorders>
              <w:top w:val="single" w:sz="8" w:color="CCEEFF"/>
            </w:tcBorders>
            <w:gridSpan w:val="2"/>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(1,611)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11,253</w:t>
            </w:r>
          </w:p>
        </w:tc>
        <w:tc>
          <w:tcPr>
            <w:tcW w:w="80" w:type="dxa"/>
            <w:vAlign w:val="bottom"/>
          </w:tcPr>
          <w:p>
            <w:pPr>
              <w:spacing w:after="0"/>
              <w:rPr>
                <w:sz w:val="19"/>
                <w:szCs w:val="19"/>
                <w:color w:val="auto"/>
              </w:rPr>
            </w:pPr>
          </w:p>
        </w:tc>
        <w:tc>
          <w:tcPr>
            <w:tcW w:w="128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78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(4,356)</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780" w:type="dxa"/>
            <w:vAlign w:val="bottom"/>
            <w:tcBorders>
              <w:bottom w:val="single" w:sz="8" w:color="CCEEFF"/>
            </w:tcBorders>
            <w:gridSpan w:val="2"/>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exercisable at December 31, 2022</w:t>
            </w: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5,331</w:t>
            </w:r>
          </w:p>
        </w:tc>
        <w:tc>
          <w:tcPr>
            <w:tcW w:w="80" w:type="dxa"/>
            <w:vAlign w:val="bottom"/>
          </w:tcPr>
          <w:p>
            <w:pPr>
              <w:spacing w:after="0"/>
              <w:rPr>
                <w:sz w:val="17"/>
                <w:szCs w:val="17"/>
                <w:color w:val="auto"/>
              </w:rPr>
            </w:pPr>
          </w:p>
        </w:tc>
        <w:tc>
          <w:tcPr>
            <w:tcW w:w="1280" w:type="dxa"/>
            <w:vAlign w:val="bottom"/>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1780" w:type="dxa"/>
            <w:vAlign w:val="bottom"/>
            <w:gridSpan w:val="2"/>
          </w:tcPr>
          <w:p>
            <w:pPr>
              <w:jc w:val="right"/>
              <w:ind w:right="1370"/>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During the years ended both December 31, 2022 and 2021, the Company recognized $0.6 million of stock-based compensation expense for the vesting of outstanding stock options, excluding $6.0 million and $0.1 million, respectively, related to the LTIP Options described below. At December 31, 2022, unrecognized compensation cost related to unvested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totaled $0.8 million. The weighted-average period over which this remaining compensation cost will be recognized is 1.4 years.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Plan Stock Options</w:t>
      </w:r>
    </w:p>
    <w:p>
      <w:pPr>
        <w:spacing w:after="0" w:line="1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 awarded a total of 6,500,000 performance stock options (“LTIP Options”) to certain members of senior management on December 29,</w:t>
      </w:r>
    </w:p>
    <w:p>
      <w:pPr>
        <w:spacing w:after="0" w:line="6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2021 pursuant to the 2021 Plan. These non-statutory options are intended to be the only equity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$8.13 based on the Black-Scholes model and a Monte Carlo simulation incorporating 500,000 scenarios. The weighted average contractual period remaining is 9.0 years. The Company utilized the services of a professional valuation firm to finalize these assumptions during the fiscal year ended December 31, 2022. The valuation model utilized the following assumptions: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68"/>
        </w:trPr>
        <w:tc>
          <w:tcPr>
            <w:tcW w:w="4640" w:type="dxa"/>
            <w:vAlign w:val="bottom"/>
            <w:shd w:val="clear" w:color="auto" w:fill="CCEEFF"/>
          </w:tcPr>
          <w:p>
            <w:pPr>
              <w:spacing w:after="0"/>
              <w:rPr>
                <w:sz w:val="5"/>
                <w:szCs w:val="5"/>
                <w:color w:val="auto"/>
              </w:rPr>
            </w:pPr>
          </w:p>
        </w:tc>
        <w:tc>
          <w:tcPr>
            <w:tcW w:w="2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2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68"/>
        </w:trPr>
        <w:tc>
          <w:tcPr>
            <w:tcW w:w="464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68"/>
        </w:trPr>
        <w:tc>
          <w:tcPr>
            <w:tcW w:w="4640" w:type="dxa"/>
            <w:vAlign w:val="bottom"/>
            <w:shd w:val="clear" w:color="auto" w:fill="CCEEFF"/>
          </w:tcPr>
          <w:p>
            <w:pPr>
              <w:spacing w:after="0"/>
              <w:rPr>
                <w:sz w:val="5"/>
                <w:szCs w:val="5"/>
                <w:color w:val="auto"/>
              </w:rPr>
            </w:pPr>
          </w:p>
        </w:tc>
        <w:tc>
          <w:tcPr>
            <w:tcW w:w="2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4251960" cy="2400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1960" cy="240030"/>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68"/>
        </w:trPr>
        <w:tc>
          <w:tcPr>
            <w:tcW w:w="492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recognized $5.7 million and $0.1 million of stock-based compensation expense for the years ended December 31, 2022 and 2021, respectively. The unrecognized compensation expense related to these LTIP options is $47.2 million as of December 31, 2022, compensation expense will be recognized over 3.4 years.</w:t>
      </w:r>
    </w:p>
    <w:p>
      <w:pPr>
        <w:spacing w:after="0" w:line="210"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awarded a total of 3,250,000 performance stock options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$2.51. The weighted average contractual period remaining is 9.6 years. The Black-Scholes model and a Monte Carlo simulation incorporated 100,000 scenarios. The valuation model utilized the following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rates</w:t>
            </w:r>
          </w:p>
        </w:tc>
        <w:tc>
          <w:tcPr>
            <w:tcW w:w="3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29"/>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 rates</w:t>
            </w: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3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equity (for derived service period)</w:t>
            </w:r>
          </w:p>
        </w:tc>
        <w:tc>
          <w:tcPr>
            <w:tcW w:w="3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14.64 %</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grant date fair value of options</w:t>
            </w:r>
          </w:p>
        </w:tc>
        <w:tc>
          <w:tcPr>
            <w:tcW w:w="3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r>
    </w:tbl>
    <w:p>
      <w:pPr>
        <w:spacing w:after="0" w:line="319" w:lineRule="exact"/>
        <w:rPr>
          <w:sz w:val="20"/>
          <w:szCs w:val="20"/>
          <w:color w:val="auto"/>
        </w:rPr>
      </w:pPr>
    </w:p>
    <w:p>
      <w:pPr>
        <w:ind w:right="20" w:firstLine="486"/>
        <w:spacing w:after="0" w:line="362" w:lineRule="auto"/>
        <w:rPr>
          <w:sz w:val="20"/>
          <w:szCs w:val="20"/>
          <w:color w:val="auto"/>
        </w:rPr>
      </w:pPr>
      <w:r>
        <w:rPr>
          <w:rFonts w:ascii="Times New Roman" w:cs="Times New Roman" w:eastAsia="Times New Roman" w:hAnsi="Times New Roman"/>
          <w:sz w:val="17"/>
          <w:szCs w:val="17"/>
          <w:color w:val="auto"/>
        </w:rPr>
        <w:t>The Company recognized $0.4 million of stock-based compensation expense for the fiscal year ended December 31, 2022. The unrecognized compensation expense related to these LTIP Options is $7.8 million as of December 31, 2022, and compensation expense will be recognized over 4.0 years.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Common Stock</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In 2020, the Company awarded 531,834 common shares to an investor as consideration for consulting services. The Company recognized no expense and $0.3 million of stock-based compensation expense for vesting during the years ended December 31, 2022 and 2021, respectively, based on grant date fair value per share of $1.06. As of December 31, 2021, the awards were fully vested.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On August 25, 2021, the Company granted an aggregate of 4,135,000 Legacy Navitas RSU’s under the 2020 Plan to certain members of senior management pursuant to restricted stock unit agreements (collectively, the “RSU Agreements”). Each RSU represents the right to receive one share of common stock of the Company, subject to the vesting and other terms and conditions set forth in the RSU Agreements and the Plan. Up to 3,500,000 of these RSU awards vest in three equal installments over a three-year period subject to the occurrence of an IPO (which includes the Business Combination) and certain valuation targets, subject to an accelerated vesting schedule based on the satisfaction of certain stock price targets. Up to 500,000 RSUs vest on the six-month anniversary of the grant date, subject to the occurrence of an IPO and certain valuation targets. Up to 52,500 RSUs vest upon the occurrence of an IPO, while the remaining 82,500 RSUs vest as specified by an RSU Agreement over a period of approximately three years. As of October 19, 2021, the IPO performance condition had been met due to the Business Combination.</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Additionally, the Company regularly grants RSUs to employees as a component of their compensation. A summary of RSUs outstanding as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activity during the year then ended, is presented below:</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16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Restricted Stock Unit Awards</w:t>
            </w: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right"/>
              <w:ind w:right="3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5160" w:type="dxa"/>
            <w:vAlign w:val="bottom"/>
            <w:vMerge w:val="continue"/>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6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51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3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$41.9 million and $35.0 million, respectively, of stock-based compensation expense for the vesting of RSUs. At December 31, 2022, unrecognized compensation cost related to unvested RSU awards totaled $64.8 million. The weighted-average period over which this remaining compensation cost is expected be recognized is 2.8 years.</w:t>
      </w:r>
    </w:p>
    <w:p>
      <w:pPr>
        <w:spacing w:after="0" w:line="183" w:lineRule="exact"/>
        <w:rPr>
          <w:sz w:val="20"/>
          <w:szCs w:val="20"/>
          <w:color w:val="auto"/>
        </w:rPr>
      </w:pPr>
    </w:p>
    <w:p>
      <w:pPr>
        <w:jc w:val="both"/>
        <w:ind w:firstLine="486"/>
        <w:spacing w:after="0" w:line="260" w:lineRule="auto"/>
        <w:rPr>
          <w:sz w:val="20"/>
          <w:szCs w:val="20"/>
          <w:color w:val="auto"/>
        </w:rPr>
      </w:pPr>
      <w:r>
        <w:rPr>
          <w:rFonts w:ascii="Times New Roman" w:cs="Times New Roman" w:eastAsia="Times New Roman" w:hAnsi="Times New Roman"/>
          <w:sz w:val="18"/>
          <w:szCs w:val="18"/>
          <w:color w:val="auto"/>
        </w:rPr>
        <w:t>The Company implemented a yearly stock-based bonus plan in 2021 and plans to settle accrued bonus liabilities of $2.8 million related to fiscal year 2022 (included in accrued compensation expense liability on the balance sheet), by issuing a variable number of fully-vested restricted stock units to its employees in 2023. Based on the closing share price of the Company’s Class A Common Stock of $3.51 on December 31, 2022, approximately 785,442 shares would be issued, however the actual number of shares will be based on the share price at the date of settlement</w:t>
      </w:r>
      <w:r>
        <w:rPr>
          <w:rFonts w:ascii="Calibri" w:cs="Calibri" w:eastAsia="Calibri" w:hAnsi="Calibri"/>
          <w:sz w:val="19"/>
          <w:szCs w:val="19"/>
          <w:color w:val="auto"/>
        </w:rPr>
        <w: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Unvested Earnout Shares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A portion of the earnout shares may be issued to individuals with unvested equity awards. While the release of these shares require achievement of the Earn-out Milestones,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share). During the years ended December 31, 2022 and 2021, the Company recognized $11.9 million and $5.2 million, respectively, of stock-based compensation expense for the vesting of earnout shares. At December 31, 2022, unrecognized compensation cost related to unvested earnout shares totaled $0.3 million. The weighted-average period over which this remaining compensation cost is expected be recognized is 0.2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 LIABILITY</w:t>
      </w:r>
    </w:p>
    <w:p>
      <w:pPr>
        <w:spacing w:after="0" w:line="148"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Live Oak Class A ordinary shares automatically received Class A Common Stock of the Company, and holders of Live Oak warrants automatically received 13,100,000 warrants of the Company with substantially identical terms (“the Warrants”). At the Closing, 8,433,333 Live Oak public warrants automatically converted into 8,433,333 warrants to purchase one share of the Company’s Class A Common Stock at $11.50 per share (the “Public Warrants”), and 4,666,667 Private Placement Warrants held by the Sponsor and certain permitted transferees,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spacing w:after="0" w:line="210"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8"/>
          <w:szCs w:val="18"/>
          <w:color w:val="auto"/>
        </w:rPr>
        <w:t>The Warrants were exercisable only during the period commencing December 7, 2021 (12 months after the consummation of Live Oak’s initial public offering) and ending on the earlier of October 19, 2026 (five years after the Closing of the Business Combination) or, in the event of redemption, the corresponding redemption date. The Company had the right to redeem not less than all of the outstanding Public Warrants on 30 days’ notice, at a redemption price of $0.01 per Warrant, if the reported closing price of the Common Stock was at least $18.00 per share for any 20 of 30 trading days ending three business days before the notice of redemption, subject to certain other conditions. The Company also had the right to redeem not less than all of the outstanding Public Warrants on 30 days’ notice, at a redemption price of $0.10 per Warrant, if the reported closing price of the Common Stock was at least $10.00 per share for any 20 of 30 trading days ending three business days before the notice of redemption, subject to certain other conditions. If the Company elected to exercise the latter right to redeem the Public Warrants for $0.10 per Warrant, and the reported closing price of the Common Stock was less than $18.00 per share for any 20 of 30 trading days ending three business days before the notice of redemption, the Company was required by the terms of the Public Warrants to concurrently redeem the Private Placement Warrants on the same terms. In addition, in such event, holders of Warrants subject to redemption would have the right to exercise their Warrants on a “cashless” basis, whereby they would receive a fractional number of shares of Common Stock per Warrant exercised before the redemption date, based on the volume weighted average price of the Common Stock for the 10 trading days following notice of redemption (the “Redemption Fair Market Value”) and the time period between the redemption date and the original expiration of the Warrants in the absence of redemption.</w:t>
      </w:r>
    </w:p>
    <w:p>
      <w:pPr>
        <w:spacing w:after="0" w:line="80"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8"/>
          <w:szCs w:val="18"/>
          <w:color w:val="0A0A0A"/>
          <w:highlight w:val="white"/>
        </w:rPr>
        <w:t xml:space="preserve">On February 4, 2022, the Company issued a notice of redemption that it would redeem, at 5:00 p.m. New York City time on March 7, 2022 (the “Redemption </w:t>
      </w:r>
      <w:r>
        <w:rPr>
          <w:rFonts w:ascii="Times New Roman" w:cs="Times New Roman" w:eastAsia="Times New Roman" w:hAnsi="Times New Roman"/>
          <w:sz w:val="18"/>
          <w:szCs w:val="18"/>
          <w:color w:val="0A0A0A"/>
        </w:rPr>
        <w:t>Date”),</w:t>
      </w:r>
      <w:r>
        <w:rPr>
          <w:rFonts w:ascii="Times New Roman" w:cs="Times New Roman" w:eastAsia="Times New Roman" w:hAnsi="Times New Roman"/>
          <w:sz w:val="18"/>
          <w:szCs w:val="18"/>
          <w:color w:val="0A0A0A"/>
          <w:highlight w:val="white"/>
        </w:rPr>
        <w:t xml:space="preserve"> all of the Company’s outstanding Public Warrants and Private Placement Warrants to purchase shares of the Company’s Class A Common Stock that were governed by the Warrant Agreement, dated as of December 2, 2020 (the “</w:t>
      </w:r>
      <w:r>
        <w:rPr>
          <w:rFonts w:ascii="Times New Roman" w:cs="Times New Roman" w:eastAsia="Times New Roman" w:hAnsi="Times New Roman"/>
          <w:sz w:val="18"/>
          <w:szCs w:val="18"/>
          <w:color w:val="0A0A0A"/>
        </w:rPr>
        <w:t>Warrant Agreement”),</w:t>
      </w:r>
      <w:r>
        <w:rPr>
          <w:rFonts w:ascii="Times New Roman" w:cs="Times New Roman" w:eastAsia="Times New Roman" w:hAnsi="Times New Roman"/>
          <w:sz w:val="18"/>
          <w:szCs w:val="18"/>
          <w:color w:val="0A0A0A"/>
          <w:highlight w:val="white"/>
        </w:rPr>
        <w:t xml:space="preserve"> between the Company and Continental Stock Transfer &amp; Trust Company, as warrant agent (the “Warrant Agent”), at a redemption price of $0.10 per Warrant (the “</w:t>
      </w:r>
      <w:r>
        <w:rPr>
          <w:rFonts w:ascii="Times New Roman" w:cs="Times New Roman" w:eastAsia="Times New Roman" w:hAnsi="Times New Roman"/>
          <w:sz w:val="18"/>
          <w:szCs w:val="18"/>
          <w:color w:val="0A0A0A"/>
        </w:rPr>
        <w:t>Redemption</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A0A0A"/>
        </w:rPr>
        <w:t>Price”)</w:t>
      </w:r>
      <w:r>
        <w:rPr>
          <w:rFonts w:ascii="Times New Roman" w:cs="Times New Roman" w:eastAsia="Times New Roman" w:hAnsi="Times New Roman"/>
          <w:sz w:val="18"/>
          <w:szCs w:val="18"/>
          <w:color w:val="0A0A0A"/>
          <w:highlight w:val="white"/>
        </w:rPr>
        <w:t>. On February 22, 2022, the Company issued a notice that the “Redemption Fair Market Value,” determined in accordance with the Warrant</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A0A0A"/>
          <w:highlight w:val="white"/>
        </w:rPr>
        <w:t xml:space="preserve">Agreement based on the </w:t>
      </w:r>
      <w:r>
        <w:rPr>
          <w:rFonts w:ascii="Times New Roman" w:cs="Times New Roman" w:eastAsia="Times New Roman" w:hAnsi="Times New Roman"/>
          <w:sz w:val="18"/>
          <w:szCs w:val="18"/>
          <w:color w:val="000000"/>
        </w:rPr>
        <w:t>volume weighted average price of the Common Stock for the 10 trading days immediately following the date on which notice of</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 xml:space="preserve">redemption was sent, was </w:t>
      </w:r>
      <w:r>
        <w:rPr>
          <w:rFonts w:ascii="Times New Roman" w:cs="Times New Roman" w:eastAsia="Times New Roman" w:hAnsi="Times New Roman"/>
          <w:sz w:val="18"/>
          <w:szCs w:val="18"/>
          <w:color w:val="0A0A0A"/>
          <w:highlight w:val="white"/>
        </w:rPr>
        <w:t>$10.33 and, accordingly, that holders exercising Warrants on a “cashless” basis before the Redemption Date would receive 0.261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A0A0A"/>
          <w:highlight w:val="white"/>
        </w:rPr>
        <w:t xml:space="preserve">shares of Common Stock per Warrant exercised. 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Times New Roman" w:cs="Times New Roman" w:eastAsia="Times New Roman" w:hAnsi="Times New Roman"/>
          <w:sz w:val="18"/>
          <w:szCs w:val="18"/>
          <w:color w:val="000000"/>
        </w:rPr>
        <w:t>Between December 7, 2021 (the date the Warrants became</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exercisable) and the Redemption Date, an aggregate of 12,722,773 Warrants were exercised (including 17,785 on a cash basis and 12,704,988 on a “cashless” basis); an aggregate of 3,333,650 shares of Common Stock were issued upon exercise of the Warrants (including 17,785 shares in respect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cash exercises and 3,315,865 shares in respect of “cashless” exercises). A total of 377,187 Warrants remained outstanding and unexercised at the Redemption Date and were redeemed for an aggregate Redemption Price of $38. Prior to the redemption date, the warrants had an aggregate fair value of $81.4 million which resulted in a gain of $51.8 million due to the decrease in the fair value of the warrant liability in fiscal year ended December 31, 2022. There were no outstanding warrants as of December 31,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EARNOUT LIABILITY</w:t>
      </w:r>
    </w:p>
    <w:p>
      <w:pPr>
        <w:spacing w:after="0" w:line="148"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Certain of the Company’s stockholders are entitled to receive up to 10,000,000 Earnout Shares of the Company’s Class A common stock if the Earnout Milestones are met. The Earnout Milestones represents three independent criteria, each of which entitles the eligible stockholders to 3,333,333 earn-out shares per milestone met. Each Earnout Milestone is considered met if at any time 150 days following the Business Combination and prior to October 19, 2026, the volume 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spacing w:after="0" w:line="230"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8"/>
          <w:szCs w:val="18"/>
          <w:color w:val="auto"/>
        </w:rPr>
        <w:t xml:space="preserve">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 equity shares and upon achievement of the Earnout Milestones. The Vested Shares are classified as liabilities in the consolidated balance sheet and the Unvested Shares are equity-classified share-based compensation to be recognized over time (see Note 9 -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w:t>
      </w:r>
    </w:p>
    <w:p>
      <w:pPr>
        <w:spacing w:after="0" w:line="210" w:lineRule="exact"/>
        <w:rPr>
          <w:sz w:val="20"/>
          <w:szCs w:val="20"/>
          <w:color w:val="auto"/>
        </w:rPr>
      </w:pPr>
    </w:p>
    <w:p>
      <w:pPr>
        <w:jc w:val="both"/>
        <w:ind w:firstLine="486"/>
        <w:spacing w:after="0" w:line="280" w:lineRule="auto"/>
        <w:rPr>
          <w:sz w:val="20"/>
          <w:szCs w:val="20"/>
          <w:color w:val="auto"/>
        </w:rPr>
      </w:pPr>
      <w:r>
        <w:rPr>
          <w:rFonts w:ascii="Times New Roman" w:cs="Times New Roman" w:eastAsia="Times New Roman" w:hAnsi="Times New Roman"/>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25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1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23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2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4"/>
        </w:trPr>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volatility rate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65.00 %</w:t>
            </w: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55.00 %</w:t>
            </w:r>
          </w:p>
        </w:tc>
      </w:tr>
    </w:tbl>
    <w:p>
      <w:pPr>
        <w:spacing w:after="0" w:line="328" w:lineRule="exact"/>
        <w:rPr>
          <w:sz w:val="20"/>
          <w:szCs w:val="20"/>
          <w:color w:val="auto"/>
        </w:rPr>
      </w:pPr>
    </w:p>
    <w:p>
      <w:pPr>
        <w:jc w:val="both"/>
        <w:ind w:right="20" w:firstLine="486"/>
        <w:spacing w:after="0" w:line="281" w:lineRule="auto"/>
        <w:rPr>
          <w:sz w:val="20"/>
          <w:szCs w:val="20"/>
          <w:color w:val="auto"/>
        </w:rPr>
      </w:pPr>
      <w:r>
        <w:rPr>
          <w:rFonts w:ascii="Times New Roman" w:cs="Times New Roman" w:eastAsia="Times New Roman" w:hAnsi="Times New Roman"/>
          <w:sz w:val="18"/>
          <w:szCs w:val="18"/>
          <w:color w:val="auto"/>
        </w:rPr>
        <w:t>At the closing of the Business Combination on October 19, 2021, the earnout liability had an initial fair value of $96.1 million, which was recorded as a long-term liability and a reduction to additional paid in capital in the consolidated balance sheet. As of December 31, 2022 and 2021, the earnout liability had a fair value of $12.5 million and $134.2 million, respectively, which resulted in a gain in the fair value of the earnout liability of $121.7 million during the fiscal year ended December 31, 2022 due to the decrease in the fair value of the earnout liability during fiscal year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GeneSiC Earnout Liability</w:t>
      </w:r>
    </w:p>
    <w:p>
      <w:pPr>
        <w:spacing w:after="0" w:line="281"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In connection with the merger agreement of GeneSiC Semiconductor as discussed in Note 18, the Company will pay additional contingent consideration of up to $25.0 million, in the form of cash earnout payments to the Sellers and certain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employees of GeneSiC, conditioned on the achievement of substantial revenue and gross profit margin targets for the GeneSiC business over the four fiscal quarters beginning on October 1, 2022 and ending on September 30, 2023. The estimated fair value of the earnout liability was determined using a Monte Carlo analysis of 20,000 simulations assuming that GeneSiC’s revenue and gross profit margins follow a geometric Browian motion over the earnout period. The valuation model utilized an assumption on the risk-free interest rate of 3.1% and equity volatility rate of 99.9%. As of December 31, 2022, the GeneSiC Earnout probability is considered remote, and a liability of $0.6 million is recorded in Earnout Liability on the Company’s Consolidated Balance Sheets.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SIGNIFICANT CUSTOMERS AND CREDIT CONCENTRATIONS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46" w:lineRule="exact"/>
        <w:rPr>
          <w:sz w:val="20"/>
          <w:szCs w:val="20"/>
          <w:color w:val="auto"/>
        </w:rPr>
      </w:pPr>
    </w:p>
    <w:p>
      <w:pPr>
        <w:jc w:val="both"/>
        <w:ind w:right="20" w:firstLine="486"/>
        <w:spacing w:after="0" w:line="329" w:lineRule="auto"/>
        <w:rPr>
          <w:sz w:val="20"/>
          <w:szCs w:val="20"/>
          <w:color w:val="auto"/>
        </w:rPr>
      </w:pPr>
      <w:r>
        <w:rPr>
          <w:rFonts w:ascii="Times New Roman" w:cs="Times New Roman" w:eastAsia="Times New Roman" w:hAnsi="Times New Roman"/>
          <w:sz w:val="18"/>
          <w:szCs w:val="18"/>
          <w:color w:val="auto"/>
        </w:rPr>
        <w:t>A majority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net revenues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5"/>
              </w:rPr>
              <w:t>Year e</w:t>
            </w:r>
          </w:p>
        </w:tc>
        <w:tc>
          <w:tcPr>
            <w:tcW w:w="1140" w:type="dxa"/>
            <w:vAlign w:val="bottom"/>
          </w:tcPr>
          <w:p>
            <w:pPr>
              <w:spacing w:after="0"/>
              <w:rPr>
                <w:sz w:val="17"/>
                <w:szCs w:val="17"/>
                <w:color w:val="auto"/>
              </w:rPr>
            </w:pPr>
          </w:p>
        </w:tc>
      </w:tr>
      <w:tr>
        <w:trPr>
          <w:trHeight w:val="238"/>
        </w:trPr>
        <w:tc>
          <w:tcPr>
            <w:tcW w:w="7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ded December 31,</w:t>
            </w:r>
          </w:p>
        </w:tc>
        <w:tc>
          <w:tcPr>
            <w:tcW w:w="1140" w:type="dxa"/>
            <w:vAlign w:val="bottom"/>
            <w:tcBorders>
              <w:bottom w:val="single" w:sz="8" w:color="auto"/>
            </w:tcBorders>
          </w:tcPr>
          <w:p>
            <w:pPr>
              <w:spacing w:after="0"/>
              <w:rPr>
                <w:sz w:val="20"/>
                <w:szCs w:val="20"/>
                <w:color w:val="auto"/>
              </w:rPr>
            </w:pPr>
          </w:p>
        </w:tc>
      </w:tr>
      <w:tr>
        <w:trPr>
          <w:trHeight w:val="22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8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F</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G</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Total customer net revenues was less than 10% of total net revenues.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considers the domicile of its end customers, rather than the distributors it sells to directly, to be the basis for attributing revenues from external customers to individual countries. Revenues for the twelve months ended December 31, 2022 and 2021, were attributable to end customers in the following countries: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3"/>
          </w:tcPr>
          <w:p>
            <w:pPr>
              <w:ind w:left="1400"/>
              <w:spacing w:after="0"/>
              <w:rPr>
                <w:sz w:val="20"/>
                <w:szCs w:val="20"/>
                <w:color w:val="auto"/>
              </w:rPr>
            </w:pPr>
            <w:r>
              <w:rPr>
                <w:rFonts w:ascii="Times New Roman" w:cs="Times New Roman" w:eastAsia="Times New Roman" w:hAnsi="Times New Roman"/>
                <w:sz w:val="18"/>
                <w:szCs w:val="18"/>
                <w:b w:val="1"/>
                <w:bCs w:val="1"/>
                <w:color w:val="auto"/>
              </w:rPr>
              <w:t>Year e</w:t>
            </w:r>
          </w:p>
        </w:tc>
        <w:tc>
          <w:tcPr>
            <w:tcW w:w="1180" w:type="dxa"/>
            <w:vAlign w:val="bottom"/>
          </w:tcPr>
          <w:p>
            <w:pPr>
              <w:spacing w:after="0"/>
              <w:rPr>
                <w:sz w:val="18"/>
                <w:szCs w:val="18"/>
                <w:color w:val="auto"/>
              </w:rPr>
            </w:pPr>
          </w:p>
        </w:tc>
      </w:tr>
      <w:tr>
        <w:trPr>
          <w:trHeight w:val="238"/>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ded December 31,</w:t>
            </w:r>
          </w:p>
        </w:tc>
      </w:tr>
      <w:tr>
        <w:trPr>
          <w:trHeight w:val="228"/>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1220" w:firstLine="648"/>
        <w:spacing w:after="0" w:line="415" w:lineRule="auto"/>
        <w:rPr>
          <w:sz w:val="20"/>
          <w:szCs w:val="20"/>
          <w:color w:val="auto"/>
        </w:rPr>
      </w:pPr>
      <w:r>
        <w:rPr>
          <w:rFonts w:ascii="Times New Roman" w:cs="Times New Roman" w:eastAsia="Times New Roman" w:hAnsi="Times New Roman"/>
          <w:sz w:val="18"/>
          <w:szCs w:val="18"/>
          <w:i w:val="1"/>
          <w:iCs w:val="1"/>
          <w:color w:val="auto"/>
        </w:rPr>
        <w:t>*Impractical to disclose the revenue percentages by individual countries within Europe and therefore Europe is presented in total. Concentration of Credit Risk</w:t>
      </w:r>
    </w:p>
    <w:p>
      <w:pPr>
        <w:spacing w:after="0" w:line="2" w:lineRule="exact"/>
        <w:rPr>
          <w:sz w:val="20"/>
          <w:szCs w:val="20"/>
          <w:color w:val="auto"/>
        </w:rPr>
      </w:pPr>
    </w:p>
    <w:p>
      <w:pPr>
        <w:jc w:val="both"/>
        <w:ind w:right="20" w:firstLine="486"/>
        <w:spacing w:after="0" w:line="31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The following customers represented 10% or more of the Company’s accounts receivable:</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1"/>
        </w:trPr>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40" w:type="dxa"/>
            <w:vAlign w:val="bottom"/>
            <w:tcBorders>
              <w:bottom w:val="single" w:sz="8" w:color="auto"/>
            </w:tcBorders>
          </w:tcPr>
          <w:p>
            <w:pPr>
              <w:spacing w:after="0"/>
              <w:rPr>
                <w:sz w:val="24"/>
                <w:szCs w:val="24"/>
                <w:color w:val="auto"/>
              </w:rPr>
            </w:pPr>
          </w:p>
        </w:tc>
      </w:tr>
      <w:tr>
        <w:trPr>
          <w:trHeight w:val="22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7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Distributor 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customer accounts receivable was less than 10% of total net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Supplier Risk</w:t>
      </w:r>
    </w:p>
    <w:p>
      <w:pPr>
        <w:spacing w:after="0" w:line="146"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8"/>
          <w:szCs w:val="18"/>
          <w:color w:val="auto"/>
        </w:rPr>
        <w:t>The Company currently relies on a single foundry to produce wafers for GaN ICs and a separate single foundry to produce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148" w:lineRule="exact"/>
        <w:rPr>
          <w:sz w:val="20"/>
          <w:szCs w:val="20"/>
          <w:color w:val="auto"/>
        </w:rPr>
      </w:pPr>
    </w:p>
    <w:p>
      <w:pPr>
        <w:jc w:val="both"/>
        <w:ind w:firstLine="486"/>
        <w:spacing w:after="0" w:line="293" w:lineRule="auto"/>
        <w:rPr>
          <w:sz w:val="20"/>
          <w:szCs w:val="20"/>
          <w:color w:val="auto"/>
        </w:rPr>
      </w:pPr>
      <w:r>
        <w:rPr>
          <w:rFonts w:ascii="Times New Roman" w:cs="Times New Roman" w:eastAsia="Times New Roman" w:hAnsi="Times New Roman"/>
          <w:sz w:val="18"/>
          <w:szCs w:val="18"/>
          <w:color w:val="auto"/>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are eligible to receive all dividends declared on the Company’s common shares during the vesting period; however, such dividends are not paid until the restrictions lapse. The Company has no plans to declare dividends.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net income (loss) per share calculation is as follows (in thousands, except per share amounts):</w:t>
      </w:r>
    </w:p>
    <w:p>
      <w:pPr>
        <w:spacing w:after="0" w:line="28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Year e</w:t>
      </w:r>
    </w:p>
    <w:p>
      <w:pPr>
        <w:spacing w:after="0" w:line="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income (loss) per common share: (1)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(152,685)</w:t>
            </w:r>
          </w:p>
        </w:tc>
      </w:tr>
      <w:tr>
        <w:trPr>
          <w:trHeight w:val="223"/>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basic common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39,167</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diluted common shares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39,167</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common stockholders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common stockholders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340" w:hanging="332"/>
        <w:spacing w:after="0" w:line="305"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potentially dilutive securities, which include unexercised stock options, unvested shares, preferred shares, earnout shares, and warrants for common and preferred shares, have been excluded from the computation of diluted net loss per share as the effect would be to reduce the net loss per share for the fiscal year ended December 31, 2021.</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excluded from diluted weighted-average shares (in thousands):</w:t>
      </w:r>
    </w:p>
    <w:p>
      <w:pPr>
        <w:spacing w:after="0" w:line="70"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Year e</w:t>
      </w:r>
    </w:p>
    <w:p>
      <w:pPr>
        <w:spacing w:after="0" w:line="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4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Warrants to purchase common shares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w:t>
            </w: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shares (potentially issuable common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Unvested restricted stock units and 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r>
      <w:tr>
        <w:trPr>
          <w:trHeight w:val="230"/>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Stock options potentially exercisable for common shares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w:t>
            </w:r>
          </w:p>
        </w:tc>
      </w:tr>
      <w:tr>
        <w:trPr>
          <w:trHeight w:val="248"/>
        </w:trPr>
        <w:tc>
          <w:tcPr>
            <w:tcW w:w="8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PROVISION FOR INCOME TAXES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U.S. and foreign components of income (loss) before income taxes were (in thousands):</w:t>
      </w:r>
    </w:p>
    <w:p>
      <w:pPr>
        <w:spacing w:after="0" w:line="28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Year e</w:t>
      </w:r>
    </w:p>
    <w:p>
      <w:pPr>
        <w:spacing w:after="0" w:line="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ded 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2"/>
        </w:trPr>
        <w:tc>
          <w:tcPr>
            <w:tcW w:w="434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8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(101,146)</w:t>
            </w:r>
          </w:p>
        </w:tc>
        <w:tc>
          <w:tcPr>
            <w:tcW w:w="20" w:type="dxa"/>
            <w:vAlign w:val="bottom"/>
          </w:tcPr>
          <w:p>
            <w:pPr>
              <w:spacing w:after="0"/>
              <w:rPr>
                <w:sz w:val="19"/>
                <w:szCs w:val="19"/>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3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(51,492)</w:t>
            </w:r>
          </w:p>
        </w:tc>
        <w:tc>
          <w:tcPr>
            <w:tcW w:w="20" w:type="dxa"/>
            <w:vAlign w:val="bottom"/>
          </w:tcPr>
          <w:p>
            <w:pPr>
              <w:spacing w:after="0"/>
              <w:rPr>
                <w:sz w:val="19"/>
                <w:szCs w:val="19"/>
                <w:color w:val="auto"/>
              </w:rPr>
            </w:pP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3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(152,638)</w:t>
            </w:r>
          </w:p>
        </w:tc>
        <w:tc>
          <w:tcPr>
            <w:tcW w:w="20" w:type="dxa"/>
            <w:vAlign w:val="bottom"/>
          </w:tcPr>
          <w:p>
            <w:pPr>
              <w:spacing w:after="0"/>
              <w:rPr>
                <w:sz w:val="21"/>
                <w:szCs w:val="2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1"/>
        </w:trPr>
        <w:tc>
          <w:tcPr>
            <w:tcW w:w="4340" w:type="dxa"/>
            <w:vAlign w:val="bottom"/>
          </w:tcPr>
          <w:p>
            <w:pPr>
              <w:spacing w:after="0"/>
              <w:rPr>
                <w:sz w:val="24"/>
                <w:szCs w:val="24"/>
                <w:color w:val="auto"/>
              </w:rPr>
            </w:pPr>
          </w:p>
        </w:tc>
        <w:tc>
          <w:tcPr>
            <w:tcW w:w="418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F-30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340" w:type="dxa"/>
            <w:vAlign w:val="bottom"/>
            <w:tcBorders>
              <w:bottom w:val="single" w:sz="8" w:color="9A9A9A"/>
            </w:tcBorders>
          </w:tcPr>
          <w:p>
            <w:pPr>
              <w:spacing w:after="0"/>
              <w:rPr>
                <w:sz w:val="12"/>
                <w:szCs w:val="12"/>
                <w:color w:val="auto"/>
              </w:rPr>
            </w:pPr>
          </w:p>
        </w:tc>
        <w:tc>
          <w:tcPr>
            <w:tcW w:w="38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are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20" w:type="dxa"/>
            <w:vAlign w:val="bottom"/>
          </w:tcPr>
          <w:p>
            <w:pPr>
              <w:spacing w:after="0"/>
              <w:rPr>
                <w:sz w:val="16"/>
                <w:szCs w:val="16"/>
                <w:color w:val="auto"/>
              </w:rPr>
            </w:pPr>
          </w:p>
        </w:tc>
      </w:tr>
      <w:tr>
        <w:trPr>
          <w:trHeight w:val="203"/>
        </w:trPr>
        <w:tc>
          <w:tcPr>
            <w:tcW w:w="8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provision (benefit):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47</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486"/>
        <w:spacing w:after="0" w:line="360" w:lineRule="auto"/>
        <w:rPr>
          <w:sz w:val="20"/>
          <w:szCs w:val="20"/>
          <w:color w:val="auto"/>
        </w:rPr>
      </w:pPr>
      <w:r>
        <w:rPr>
          <w:rFonts w:ascii="Times New Roman" w:cs="Times New Roman" w:eastAsia="Times New Roman" w:hAnsi="Times New Roman"/>
          <w:sz w:val="18"/>
          <w:szCs w:val="18"/>
          <w:color w:val="auto"/>
        </w:rPr>
        <w:t>The provision (benefit) for income taxes differs from the amount that would result by applying the applicable federal income tax rate to income before income taxes, as follows:</w:t>
      </w:r>
    </w:p>
    <w:p>
      <w:pPr>
        <w:spacing w:after="0" w:line="161"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Year e</w:t>
      </w:r>
    </w:p>
    <w:p>
      <w:pPr>
        <w:jc w:val="center"/>
        <w:ind w:left="7880"/>
        <w:spacing w:after="0"/>
        <w:rPr>
          <w:sz w:val="20"/>
          <w:szCs w:val="20"/>
          <w:color w:val="auto"/>
        </w:rPr>
      </w:pPr>
      <w:r>
        <w:rPr>
          <w:rFonts w:ascii="Times New Roman" w:cs="Times New Roman" w:eastAsia="Times New Roman" w:hAnsi="Times New Roman"/>
          <w:sz w:val="14"/>
          <w:szCs w:val="14"/>
          <w:b w:val="1"/>
          <w:bCs w:val="1"/>
          <w:color w:val="auto"/>
        </w:rPr>
        <w:t>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3"/>
        </w:trPr>
        <w:tc>
          <w:tcPr>
            <w:tcW w:w="7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computed at Federal statutory rate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19"/>
                <w:szCs w:val="19"/>
                <w:color w:val="auto"/>
              </w:rPr>
            </w:pP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income tax rate and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permanent differences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19"/>
                <w:szCs w:val="19"/>
                <w:color w:val="auto"/>
              </w:rPr>
            </w:pP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 deductible executive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deductible expenses - mark to market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(72.8)%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net of federal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19"/>
                <w:szCs w:val="19"/>
                <w:color w:val="auto"/>
              </w:rPr>
            </w:pP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asset and liability adjustment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23"/>
        </w:trPr>
        <w:tc>
          <w:tcPr>
            <w:tcW w:w="8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r>
      <w:tr>
        <w:trPr>
          <w:trHeight w:val="21"/>
        </w:trPr>
        <w:tc>
          <w:tcPr>
            <w:tcW w:w="7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890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79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300"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At December 31, 2022 and 2021, deferred tax assets and liabilities consisted of the following (in thousands):</w:t>
      </w: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03"/>
        </w:trPr>
        <w:tc>
          <w:tcPr>
            <w:tcW w:w="8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28,052</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of tax credit carry-forwards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Start up costs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(32,382)</w:t>
            </w:r>
          </w:p>
        </w:tc>
      </w:tr>
      <w:tr>
        <w:trPr>
          <w:trHeight w:val="223"/>
        </w:trPr>
        <w:tc>
          <w:tcPr>
            <w:tcW w:w="8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(23,704)</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balance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41"/>
        <w:spacing w:after="0" w:line="295" w:lineRule="auto"/>
        <w:rPr>
          <w:sz w:val="20"/>
          <w:szCs w:val="20"/>
          <w:color w:val="auto"/>
        </w:rPr>
      </w:pPr>
      <w:r>
        <w:rPr>
          <w:rFonts w:ascii="Times New Roman" w:cs="Times New Roman" w:eastAsia="Times New Roman" w:hAnsi="Times New Roman"/>
          <w:sz w:val="18"/>
          <w:szCs w:val="18"/>
          <w:color w:val="auto"/>
        </w:rPr>
        <w:t>During the fiscal years ended December 31, 2022 and 2021, the valuation allowance increased by $7.8 million and $13.0 million,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the event that the Company determines, based on available evidence and management judgment, that all or part of the net deferred tax assets will not be realized in the future, the Company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its results of operations and financial position.</w:t>
      </w:r>
    </w:p>
    <w:p>
      <w:pPr>
        <w:spacing w:after="0" w:line="192" w:lineRule="exact"/>
        <w:rPr>
          <w:sz w:val="20"/>
          <w:szCs w:val="20"/>
          <w:color w:val="auto"/>
        </w:rPr>
      </w:pPr>
    </w:p>
    <w:p>
      <w:pPr>
        <w:jc w:val="both"/>
        <w:ind w:firstLine="486"/>
        <w:spacing w:after="0" w:line="291" w:lineRule="auto"/>
        <w:rPr>
          <w:sz w:val="20"/>
          <w:szCs w:val="20"/>
          <w:color w:val="auto"/>
        </w:rPr>
      </w:pPr>
      <w:r>
        <w:rPr>
          <w:rFonts w:ascii="Times New Roman" w:cs="Times New Roman" w:eastAsia="Times New Roman" w:hAnsi="Times New Roman"/>
          <w:sz w:val="18"/>
          <w:szCs w:val="18"/>
          <w:color w:val="auto"/>
        </w:rPr>
        <w:t>The Company has approximately $146.9 million and $100.1 million of federal net operating loss (“NOL”) carryforwards and approximately $4.6 million and $5.8 million of tax-effected state NOL carryforwards as of December 31, 2022 and 2021, respectively, expiring in varying amounts through 2038, with the exception Federal NOLs arising from the years ended after December 31, 2017 that may be carried forward indefinitely. Realization of the NOL carryforwards is dependent on the Company generating sufficient taxable income prior to expiration of the NOL carryforwards and these NOLs could also potentially be subject to usage limitations to the extent there are future changes in the Company’s ownership. As of December 31, 2021, the Company had a full valuation allowance on its net deferred tax assets. As a result of the 2022 acquisition of GeneSiC Semiconductor Inc. (see Note 18, Business Combinations), during 2022, the Company released $20.5 million of its U.S. federal valuation allowance. The release was primarily attributable to the $23.1 million of net federal deferred tax liability recorded on GeneSiC’s opening balance sheets that is available to offset most of the U.S. federal deferred tax assets of Navitas. As of December 31, 2022, the Company continues to maintain a valuation allowance on the remaining deferred tax assets as the Company believes that it is not more likely than not that the deferred tax assets will be fully realized. The Company also has foreign net operating loss carry forwards of $111.9 million and $4.8 million as of December 31, 2022 and 2021, respectively. Of the foreign NOLs, $111.7 million are in Ireland and the deferred tax asset has a full valuation allowance as a result of the historical losses in the country.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86"/>
        <w:spacing w:after="0" w:line="305" w:lineRule="auto"/>
        <w:rPr>
          <w:sz w:val="20"/>
          <w:szCs w:val="20"/>
          <w:color w:val="auto"/>
        </w:rPr>
      </w:pPr>
      <w:r>
        <w:rPr>
          <w:rFonts w:ascii="Times New Roman" w:cs="Times New Roman" w:eastAsia="Times New Roman" w:hAnsi="Times New Roman"/>
          <w:sz w:val="18"/>
          <w:szCs w:val="18"/>
          <w:color w:val="auto"/>
        </w:rPr>
        <w:t>The Company had no unrecognized tax benefits for the years ended December 31, 2022 or December 31, 2021. The Company recognizes interest and penalties related to unrecognized tax benefits in operating expenses. No such interest and penalties were recognized during the years ended December 31, 2022 and 2021.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6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At December 31, 2022, the Company’s non-cancellable contractual arrangements consisted entirely of a contract to guarantee future production capacity, of which $1.6 million remains outstanding as of year end, and lease obligations.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46" w:lineRule="exact"/>
        <w:rPr>
          <w:sz w:val="20"/>
          <w:szCs w:val="20"/>
          <w:color w:val="auto"/>
        </w:rPr>
      </w:pPr>
    </w:p>
    <w:p>
      <w:pPr>
        <w:jc w:val="both"/>
        <w:ind w:firstLine="486"/>
        <w:spacing w:after="0" w:line="302" w:lineRule="auto"/>
        <w:rPr>
          <w:sz w:val="20"/>
          <w:szCs w:val="20"/>
          <w:color w:val="auto"/>
        </w:rPr>
      </w:pPr>
      <w:r>
        <w:rPr>
          <w:rFonts w:ascii="Times New Roman" w:cs="Times New Roman" w:eastAsia="Times New Roman" w:hAnsi="Times New Roman"/>
          <w:sz w:val="18"/>
          <w:szCs w:val="18"/>
          <w:color w:val="auto"/>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$2.1 million. At December 31, 2022 and 2021, no terminations have occurred or are expected to occur pursuant to these arrangements and, accordingly, no termination benefits have been accrued.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178"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December 31, 2022.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w:t>
      </w:r>
    </w:p>
    <w:p>
      <w:pPr>
        <w:spacing w:after="0" w:line="162"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sponsors a 401(k) tax-deferred savings plan for all employees in the United States who meet certain eligibility requirements. Participants may contribute up to the amount allowable as a deduction for federal income tax purposes. The Company contributes a certain percentage of employee annual salaries on a discretionary basis, not to exceed an established threshold. For the fiscal years ended December 31, 2022 and 2021, the Company made $0.5 million and $0.3 million, respectively, in matching contributions to the 401(k) plan.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w:t>
      </w:r>
    </w:p>
    <w:p>
      <w:pPr>
        <w:spacing w:after="0" w:line="160"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Company had outstanding interest-bearing notes receivable from an employee. The notes had various maturity dates through May 1, 2023 and bore interest at rates ranging from 1% to 2.76%. As of December 31, 2022, Note 1 has been forgiven for a loss of $0.1 million and Note 2 has been paid off in the amount of $0.1 million. The Company did not recognize significant interest income from the notes for the fiscal years ended December 31, 2022 or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8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w:t>
      </w:r>
    </w:p>
    <w:p>
      <w:pPr>
        <w:spacing w:after="0" w:line="146"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 2021, Navitas entered into a partnership with a manufacturer of power management ICs to develop products and technology relating to AC/DC converters. Structured as a joint venture, Navitas’ initial contribution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The Company accounted for the investment in the joint venture as an equity-method investment. Total related party revenues recognized by the Company as a result of arrangements with its joint venture were $0.7 million and $0.4 million for the fiscal years ended December 31, 2022 and 2021, respectively, and are included in Net Revenues in the Consolidated Statements of Operations. See Note 19, Noncontrolling Interest,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License Revenue</w:t>
      </w:r>
    </w:p>
    <w:p>
      <w:pPr>
        <w:spacing w:after="0" w:line="281"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8"/>
          <w:szCs w:val="18"/>
          <w:color w:val="auto"/>
        </w:rPr>
        <w:t>During the second quarter of 2022, Navitas entered into a Patent License Agreement with an entity under common control with the Company’s partner in the joint venture described above. In consideration of the license rights granted, the Company recorded license fee revenue of $0.9 million during the fiscal year ended December 31, 2022. Such amounts are included in Net Revenues in the Consolidated Statement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Investment</w:t>
      </w:r>
    </w:p>
    <w:p>
      <w:pPr>
        <w:spacing w:after="0" w:line="281"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 xml:space="preserve">During the third quarter of 2022, Navitas made a $1.5 million investment in preferred interests of an entity under common control with the Company’s partner in the joint venture described above. Such investment is included in Other Assets in the consolidated balance sheet as of December 31, 2022 and is accounted for as an equity investment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The Company also entered into a Patent License Agreement with this entity as described above under related party license revenue.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Advance</w:t>
      </w:r>
    </w:p>
    <w:p>
      <w:pPr>
        <w:spacing w:after="0" w:line="160" w:lineRule="exact"/>
        <w:rPr>
          <w:sz w:val="20"/>
          <w:szCs w:val="20"/>
          <w:color w:val="auto"/>
        </w:rPr>
      </w:pPr>
    </w:p>
    <w:p>
      <w:pPr>
        <w:ind w:firstLine="486"/>
        <w:spacing w:after="0" w:line="313" w:lineRule="auto"/>
        <w:rPr>
          <w:sz w:val="20"/>
          <w:szCs w:val="20"/>
          <w:color w:val="auto"/>
        </w:rPr>
      </w:pPr>
      <w:r>
        <w:rPr>
          <w:rFonts w:ascii="Times New Roman" w:cs="Times New Roman" w:eastAsia="Times New Roman" w:hAnsi="Times New Roman"/>
          <w:sz w:val="18"/>
          <w:szCs w:val="18"/>
          <w:color w:val="auto"/>
        </w:rPr>
        <w:t>During the third quarter of 2022, Navitas made a $1.0 million advance to its partner in the joint venture described above in order to facilitate orders of raw materials. The outstanding amount of $0.5 million is included in Prepaid Expenses and Other Current Assets as of December 31,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w:t>
      </w:r>
    </w:p>
    <w:p>
      <w:pPr>
        <w:spacing w:after="0" w:line="268" w:lineRule="exact"/>
        <w:rPr>
          <w:sz w:val="20"/>
          <w:szCs w:val="20"/>
          <w:color w:val="auto"/>
        </w:rPr>
      </w:pPr>
    </w:p>
    <w:p>
      <w:pPr>
        <w:jc w:val="both"/>
        <w:ind w:right="120" w:firstLine="486"/>
        <w:spacing w:after="0" w:line="289" w:lineRule="auto"/>
        <w:rPr>
          <w:sz w:val="20"/>
          <w:szCs w:val="20"/>
          <w:color w:val="auto"/>
        </w:rPr>
      </w:pPr>
      <w:r>
        <w:rPr>
          <w:rFonts w:ascii="Times New Roman" w:cs="Times New Roman" w:eastAsia="Times New Roman" w:hAnsi="Times New Roman"/>
          <w:sz w:val="18"/>
          <w:szCs w:val="18"/>
          <w:color w:val="auto"/>
        </w:rPr>
        <w:t>The Company leases certain property from an entity that it is owned by an executive of the Company, which expires in September 2023. During the year 2022, the Company paid an immaterial amount in rental payments in relation to this lease. These payments were made at standard market rates in the ordinary course of business. The total rent obligation as of December 31, 2022 was $0.1 million through September 30,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BUSINESS COMBINATIONS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VDDTech srl</w:t>
      </w:r>
    </w:p>
    <w:p>
      <w:pPr>
        <w:spacing w:after="0" w:line="295"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Consolidated Statement of Operations for the fiscal year ended December 31, 2022, and were not material.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w:t>
      </w:r>
    </w:p>
    <w:p>
      <w:pPr>
        <w:spacing w:after="0" w:line="223"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The Company recorded a preliminary allocation of the purchase price to tangible assets acquired and liabilities assumed based on their fair values as of the acquisition date. The excess of the purchase price over the fair value of tangible assets and liabilities of $1.2 million was recorded as goodwill as of June 30, 2022. Subsequent to June 30, 2022, a preliminary valuation of the intangible assets acquired was calculated at $1.2 million. During the third quarter of fiscal year 2022 the Company reclassed the goodwill to an intangible asset. Upon a final determination of the purchase price and the final valuation of the intangible assets acquired, primarily including in-process R&amp;D, the Company will allocate the purchase price to tangible and intangible assets acquired and liabilities assumed, and adjust the excess purchase price allocated to goodwill as needed.</w:t>
      </w:r>
    </w:p>
    <w:p>
      <w:pPr>
        <w:spacing w:after="0" w:line="220" w:lineRule="exact"/>
        <w:rPr>
          <w:sz w:val="20"/>
          <w:szCs w:val="20"/>
          <w:color w:val="auto"/>
        </w:rPr>
      </w:pPr>
    </w:p>
    <w:p>
      <w:pPr>
        <w:jc w:val="both"/>
        <w:ind w:firstLine="567"/>
        <w:spacing w:after="0" w:line="297" w:lineRule="auto"/>
        <w:rPr>
          <w:sz w:val="20"/>
          <w:szCs w:val="20"/>
          <w:color w:val="auto"/>
        </w:rPr>
      </w:pPr>
      <w:r>
        <w:rPr>
          <w:rFonts w:ascii="Times New Roman" w:cs="Times New Roman" w:eastAsia="Times New Roman" w:hAnsi="Times New Roman"/>
          <w:sz w:val="18"/>
          <w:szCs w:val="18"/>
          <w:color w:val="auto"/>
        </w:rPr>
        <w:t>The fair value of the in-process R&amp;D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18% to determine the fair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GeneSiC Semiconductor Inc.</w:t>
      </w:r>
    </w:p>
    <w:p>
      <w:pPr>
        <w:spacing w:after="0" w:line="28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August 15, 2022, the Company entered into an Agreement and Plan of Merger (the “Merger Agreement”) to acquire 100% of the outstanding shares of GeneSiC Semiconductor Inc., a silicon carbide (“SiC”) pioneer with deep expertise in SiC power device design and process, based in Dulles, Virginia. Total merger consideration was $244.0 million and consisted of approximately $146.3 million of common stock, $97.1 million of cash consideration, and potential future cash earn-out payments of up to an aggregate of $25.0 million which were fair valued at $0.6 million. The acquisition was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9" w:name="page100"/>
    <w:bookmarkEnd w:id="9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331" w:lineRule="auto"/>
        <w:rPr>
          <w:sz w:val="20"/>
          <w:szCs w:val="20"/>
          <w:color w:val="auto"/>
        </w:rPr>
      </w:pPr>
      <w:r>
        <w:rPr>
          <w:rFonts w:ascii="Times New Roman" w:cs="Times New Roman" w:eastAsia="Times New Roman" w:hAnsi="Times New Roman"/>
          <w:sz w:val="18"/>
          <w:szCs w:val="18"/>
          <w:color w:val="auto"/>
        </w:rPr>
        <w:t xml:space="preserve">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determined preliminary fair values of the assets acquired and liabilities assumed. These values are subject to change as the Company performs additional reviews of the assumptions used.</w:t>
      </w:r>
    </w:p>
    <w:p>
      <w:pPr>
        <w:spacing w:after="0" w:line="174" w:lineRule="exact"/>
        <w:rPr>
          <w:sz w:val="20"/>
          <w:szCs w:val="20"/>
          <w:color w:val="auto"/>
        </w:rPr>
      </w:pPr>
    </w:p>
    <w:p>
      <w:pPr>
        <w:jc w:val="both"/>
        <w:ind w:right="20" w:firstLine="648"/>
        <w:spacing w:after="0" w:line="297" w:lineRule="auto"/>
        <w:rPr>
          <w:sz w:val="20"/>
          <w:szCs w:val="20"/>
          <w:color w:val="auto"/>
        </w:rPr>
      </w:pPr>
      <w:r>
        <w:rPr>
          <w:rFonts w:ascii="Times New Roman" w:cs="Times New Roman" w:eastAsia="Times New Roman" w:hAnsi="Times New Roman"/>
          <w:sz w:val="18"/>
          <w:szCs w:val="18"/>
          <w:color w:val="auto"/>
        </w:rPr>
        <w:t>The primary areas of the preliminary purchase price allocation that are not yet finalized relate to the fair values of certain tangible assets and liabilities acquired, certain legal matters, amounts for income taxes including deferred tax accounts, amounts for uncertain tax positions, and net operating loss carryforwards inclusive of associated limitations and valuation allowances, the determination of identifiable intangible assets and the final allocation of purchase price to goodwill. The Company expects to continue to obtain information to assist it in determining the fair values of the net assets acquired at the acquisition date during the measurement period.</w:t>
      </w:r>
    </w:p>
    <w:p>
      <w:pPr>
        <w:spacing w:after="0" w:line="218" w:lineRule="exact"/>
        <w:rPr>
          <w:sz w:val="20"/>
          <w:szCs w:val="20"/>
          <w:color w:val="auto"/>
        </w:rPr>
      </w:pPr>
    </w:p>
    <w:p>
      <w:pPr>
        <w:jc w:val="both"/>
        <w:ind w:right="40" w:firstLine="648"/>
        <w:spacing w:after="0" w:line="297" w:lineRule="auto"/>
        <w:rPr>
          <w:sz w:val="20"/>
          <w:szCs w:val="20"/>
          <w:color w:val="auto"/>
        </w:rPr>
      </w:pPr>
      <w:r>
        <w:rPr>
          <w:rFonts w:ascii="Times New Roman" w:cs="Times New Roman" w:eastAsia="Times New Roman" w:hAnsi="Times New Roman"/>
          <w:sz w:val="18"/>
          <w:szCs w:val="18"/>
          <w:color w:val="auto"/>
        </w:rPr>
        <w:t>The following tables summarize the preliminary purchase consideration and the preliminary purchase price allocation to estimated fair values of the identifiable assets acquired and liabilities assumed (in thousands):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24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Merger Consideration</w:t>
            </w:r>
          </w:p>
        </w:tc>
        <w:tc>
          <w:tcPr>
            <w:tcW w:w="300" w:type="dxa"/>
            <w:vAlign w:val="bottom"/>
            <w:tcBorders>
              <w:top w:val="single" w:sz="8" w:color="auto"/>
            </w:tcBorders>
          </w:tcPr>
          <w:p>
            <w:pPr>
              <w:spacing w:after="0"/>
              <w:rPr>
                <w:sz w:val="21"/>
                <w:szCs w:val="21"/>
                <w:color w:val="auto"/>
              </w:rPr>
            </w:pPr>
          </w:p>
        </w:tc>
        <w:tc>
          <w:tcPr>
            <w:tcW w:w="2720" w:type="dxa"/>
            <w:vAlign w:val="bottom"/>
            <w:tcBorders>
              <w:top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Fair Value ( in thousands)</w:t>
            </w:r>
          </w:p>
        </w:tc>
      </w:tr>
      <w:tr>
        <w:trPr>
          <w:trHeight w:val="223"/>
        </w:trPr>
        <w:tc>
          <w:tcPr>
            <w:tcW w:w="814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at closing</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top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97,116</w:t>
            </w: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Equity consideration at closing</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146,314</w:t>
            </w:r>
          </w:p>
        </w:tc>
      </w:tr>
      <w:tr>
        <w:trPr>
          <w:trHeight w:val="249"/>
        </w:trPr>
        <w:tc>
          <w:tcPr>
            <w:tcW w:w="8240" w:type="dxa"/>
            <w:vAlign w:val="bottom"/>
            <w:tcBorders>
              <w:left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earn-out</w:t>
            </w:r>
          </w:p>
        </w:tc>
        <w:tc>
          <w:tcPr>
            <w:tcW w:w="300" w:type="dxa"/>
            <w:vAlign w:val="bottom"/>
            <w:tcBorders>
              <w:bottom w:val="single" w:sz="8" w:color="auto"/>
            </w:tcBorders>
            <w:shd w:val="clear" w:color="auto" w:fill="CCEEFF"/>
          </w:tcPr>
          <w:p>
            <w:pPr>
              <w:spacing w:after="0"/>
              <w:rPr>
                <w:sz w:val="21"/>
                <w:szCs w:val="21"/>
                <w:color w:val="auto"/>
              </w:rPr>
            </w:pPr>
          </w:p>
        </w:tc>
        <w:tc>
          <w:tcPr>
            <w:tcW w:w="2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03"/>
        </w:trPr>
        <w:tc>
          <w:tcPr>
            <w:tcW w:w="8240" w:type="dxa"/>
            <w:vAlign w:val="bottom"/>
            <w:tcBorders>
              <w:left w:val="single" w:sz="8" w:color="auto"/>
            </w:tcBorders>
            <w:gridSpan w:val="2"/>
          </w:tcPr>
          <w:p>
            <w:pPr>
              <w:ind w:left="4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right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244,030</w:t>
            </w:r>
          </w:p>
        </w:tc>
      </w:tr>
      <w:tr>
        <w:trPr>
          <w:trHeight w:val="20"/>
        </w:trPr>
        <w:tc>
          <w:tcPr>
            <w:tcW w:w="8140" w:type="dxa"/>
            <w:vAlign w:val="bottom"/>
            <w:tcBorders>
              <w:left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tcBorders>
              <w:left w:val="single" w:sz="8" w:color="auto"/>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Preliminary estimate of purchase price allocation</w:t>
            </w:r>
          </w:p>
        </w:tc>
        <w:tc>
          <w:tcPr>
            <w:tcW w:w="300" w:type="dxa"/>
            <w:vAlign w:val="bottom"/>
            <w:shd w:val="clear" w:color="auto" w:fill="CCEEFF"/>
          </w:tcPr>
          <w:p>
            <w:pPr>
              <w:spacing w:after="0"/>
              <w:rPr>
                <w:sz w:val="17"/>
                <w:szCs w:val="17"/>
                <w:color w:val="auto"/>
              </w:rPr>
            </w:pPr>
          </w:p>
        </w:tc>
        <w:tc>
          <w:tcPr>
            <w:tcW w:w="2720" w:type="dxa"/>
            <w:vAlign w:val="bottom"/>
            <w:tcBorders>
              <w:right w:val="single" w:sz="8" w:color="auto"/>
            </w:tcBorders>
            <w:shd w:val="clear" w:color="auto" w:fill="CCEEFF"/>
          </w:tcPr>
          <w:p>
            <w:pPr>
              <w:spacing w:after="0"/>
              <w:rPr>
                <w:sz w:val="17"/>
                <w:szCs w:val="17"/>
                <w:color w:val="auto"/>
              </w:rPr>
            </w:pP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1,539</w:t>
            </w:r>
          </w:p>
        </w:tc>
      </w:tr>
      <w:tr>
        <w:trPr>
          <w:trHeight w:val="230"/>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110,100</w:t>
            </w:r>
          </w:p>
        </w:tc>
      </w:tr>
      <w:tr>
        <w:trPr>
          <w:trHeight w:val="229"/>
        </w:trPr>
        <w:tc>
          <w:tcPr>
            <w:tcW w:w="8240" w:type="dxa"/>
            <w:vAlign w:val="bottom"/>
            <w:tcBorders>
              <w:left w:val="single" w:sz="8" w:color="auto"/>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157,699</w:t>
            </w:r>
          </w:p>
        </w:tc>
      </w:tr>
      <w:tr>
        <w:trPr>
          <w:trHeight w:val="223"/>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271,343</w:t>
            </w:r>
          </w:p>
        </w:tc>
      </w:tr>
      <w:tr>
        <w:trPr>
          <w:trHeight w:val="229"/>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r>
      <w:tr>
        <w:trPr>
          <w:trHeight w:val="230"/>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bearing debt</w:t>
            </w:r>
          </w:p>
        </w:tc>
        <w:tc>
          <w:tcPr>
            <w:tcW w:w="300" w:type="dxa"/>
            <w:vAlign w:val="bottom"/>
            <w:shd w:val="clear" w:color="auto" w:fill="CCEEFF"/>
          </w:tcPr>
          <w:p>
            <w:pPr>
              <w:spacing w:after="0"/>
              <w:rPr>
                <w:sz w:val="19"/>
                <w:szCs w:val="19"/>
                <w:color w:val="auto"/>
              </w:rPr>
            </w:pPr>
          </w:p>
        </w:tc>
        <w:tc>
          <w:tcPr>
            <w:tcW w:w="2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2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2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30"/>
        </w:trPr>
        <w:tc>
          <w:tcPr>
            <w:tcW w:w="82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w:t>
            </w:r>
          </w:p>
        </w:tc>
      </w:tr>
      <w:tr>
        <w:trPr>
          <w:trHeight w:val="223"/>
        </w:trPr>
        <w:tc>
          <w:tcPr>
            <w:tcW w:w="8240" w:type="dxa"/>
            <w:vAlign w:val="bottom"/>
            <w:tcBorders>
              <w:left w:val="single" w:sz="8" w:color="auto"/>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acquired</w:t>
            </w: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27,313</w:t>
            </w:r>
          </w:p>
        </w:tc>
      </w:tr>
      <w:tr>
        <w:trPr>
          <w:trHeight w:val="223"/>
        </w:trPr>
        <w:tc>
          <w:tcPr>
            <w:tcW w:w="8240" w:type="dxa"/>
            <w:vAlign w:val="bottom"/>
            <w:tcBorders>
              <w:left w:val="single" w:sz="8" w:color="auto"/>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 of 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244,030</w:t>
            </w:r>
          </w:p>
        </w:tc>
      </w:tr>
    </w:tbl>
    <w:p>
      <w:pPr>
        <w:spacing w:after="0" w:line="400" w:lineRule="exact"/>
        <w:rPr>
          <w:sz w:val="20"/>
          <w:szCs w:val="20"/>
          <w:color w:val="auto"/>
        </w:rPr>
      </w:pPr>
    </w:p>
    <w:p>
      <w:pPr>
        <w:jc w:val="both"/>
        <w:ind w:right="20" w:firstLine="567"/>
        <w:spacing w:after="0" w:line="271" w:lineRule="auto"/>
        <w:rPr>
          <w:sz w:val="20"/>
          <w:szCs w:val="20"/>
          <w:color w:val="auto"/>
        </w:rPr>
      </w:pPr>
      <w:r>
        <w:rPr>
          <w:rFonts w:ascii="Times New Roman" w:cs="Times New Roman" w:eastAsia="Times New Roman" w:hAnsi="Times New Roman"/>
          <w:sz w:val="18"/>
          <w:szCs w:val="18"/>
          <w:color w:val="auto"/>
        </w:rPr>
        <w:t>Goodwill represents the excess of the merger price over the amounts assigned to the fair value of the assets acquired and the liabilities assumed, the final amount of the goodwill recorded could differ materially from the amount presented. Goodwill is primarily attributable to assembled workforce, market and expansion capabilities, expected synergies from integration and streamlining operational activities and other factors. Goodwill is not expected to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0" w:name="page101"/>
    <w:bookmarkEnd w:id="10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preliminary fair values of the identifiable intangible assets acquired at the date of Acquisition are as follows (in thousands):</w:t>
      </w: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940" w:type="dxa"/>
            <w:vAlign w:val="bottom"/>
            <w:tcBorders>
              <w:top w:val="single" w:sz="8" w:color="auto"/>
              <w:left w:val="single" w:sz="8" w:color="auto"/>
            </w:tcBorders>
            <w:gridSpan w:val="2"/>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5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2"/>
          </w:tcPr>
          <w:p>
            <w:pPr>
              <w:ind w:left="340"/>
              <w:spacing w:after="0" w:line="189"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700" w:type="dxa"/>
            <w:vAlign w:val="bottom"/>
            <w:tcBorders>
              <w:top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0" w:type="dxa"/>
            <w:vAlign w:val="bottom"/>
          </w:tcPr>
          <w:p>
            <w:pPr>
              <w:spacing w:after="0"/>
              <w:rPr>
                <w:sz w:val="1"/>
                <w:szCs w:val="1"/>
                <w:color w:val="auto"/>
              </w:rPr>
            </w:pPr>
          </w:p>
        </w:tc>
      </w:tr>
      <w:tr>
        <w:trPr>
          <w:trHeight w:val="243"/>
        </w:trPr>
        <w:tc>
          <w:tcPr>
            <w:tcW w:w="4940" w:type="dxa"/>
            <w:vAlign w:val="bottom"/>
            <w:tcBorders>
              <w:left w:val="single" w:sz="8" w:color="auto"/>
            </w:tcBorders>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Method</w:t>
            </w:r>
          </w:p>
        </w:tc>
        <w:tc>
          <w:tcPr>
            <w:tcW w:w="17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6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5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18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9"/>
        </w:trPr>
        <w:tc>
          <w:tcPr>
            <w:tcW w:w="49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5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29"/>
        </w:trPr>
        <w:tc>
          <w:tcPr>
            <w:tcW w:w="49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180" w:type="dxa"/>
            <w:vAlign w:val="bottom"/>
          </w:tcPr>
          <w:p>
            <w:pPr>
              <w:spacing w:after="0"/>
              <w:rPr>
                <w:sz w:val="19"/>
                <w:szCs w:val="19"/>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r>
        <w:trPr>
          <w:trHeight w:val="230"/>
        </w:trPr>
        <w:tc>
          <w:tcPr>
            <w:tcW w:w="49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5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 line</w:t>
            </w:r>
          </w:p>
        </w:tc>
        <w:tc>
          <w:tcPr>
            <w:tcW w:w="17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4720" w:type="dxa"/>
            <w:vAlign w:val="bottom"/>
            <w:tcBorders>
              <w:left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110,100</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567"/>
        <w:spacing w:after="0" w:line="271" w:lineRule="auto"/>
        <w:rPr>
          <w:sz w:val="20"/>
          <w:szCs w:val="20"/>
          <w:color w:val="auto"/>
        </w:rPr>
      </w:pPr>
      <w:r>
        <w:rPr>
          <w:rFonts w:ascii="Times New Roman" w:cs="Times New Roman" w:eastAsia="Times New Roman" w:hAnsi="Times New Roman"/>
          <w:sz w:val="18"/>
          <w:szCs w:val="18"/>
          <w:color w:val="auto"/>
        </w:rPr>
        <w:t>The valuations of intangible assets incorporate significant unobservable inputs and require significant judgment and estimates, including the amount and timing of future cash flows. The Company recognized approximately $5.9 million of transaction costs in the fiscal year ended December 31, 2022. These costs are recorded in “Selling, general and administrative expense” in the consolidated statements of operations. The financial results of GeneSiC have been included in the Company’s consolidated financial statements since the date of the acquisition.</w:t>
      </w:r>
    </w:p>
    <w:p>
      <w:pPr>
        <w:spacing w:after="0" w:line="199" w:lineRule="exact"/>
        <w:rPr>
          <w:sz w:val="20"/>
          <w:szCs w:val="20"/>
          <w:color w:val="auto"/>
        </w:rPr>
      </w:pPr>
    </w:p>
    <w:p>
      <w:pPr>
        <w:jc w:val="both"/>
        <w:ind w:right="20" w:firstLine="567"/>
        <w:spacing w:after="0" w:line="271" w:lineRule="auto"/>
        <w:rPr>
          <w:sz w:val="20"/>
          <w:szCs w:val="20"/>
          <w:color w:val="auto"/>
        </w:rPr>
      </w:pPr>
      <w:r>
        <w:rPr>
          <w:rFonts w:ascii="Times New Roman" w:cs="Times New Roman" w:eastAsia="Times New Roman" w:hAnsi="Times New Roman"/>
          <w:sz w:val="18"/>
          <w:szCs w:val="18"/>
          <w:color w:val="auto"/>
        </w:rPr>
        <w:t>The fair value of developed technology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15% to determine the fair value.</w:t>
      </w:r>
    </w:p>
    <w:p>
      <w:pPr>
        <w:spacing w:after="0" w:line="199" w:lineRule="exact"/>
        <w:rPr>
          <w:sz w:val="20"/>
          <w:szCs w:val="20"/>
          <w:color w:val="auto"/>
        </w:rPr>
      </w:pPr>
    </w:p>
    <w:p>
      <w:pPr>
        <w:jc w:val="both"/>
        <w:ind w:right="20" w:firstLine="567"/>
        <w:spacing w:after="0" w:line="271" w:lineRule="auto"/>
        <w:rPr>
          <w:sz w:val="20"/>
          <w:szCs w:val="20"/>
          <w:color w:val="auto"/>
        </w:rPr>
      </w:pPr>
      <w:r>
        <w:rPr>
          <w:rFonts w:ascii="Times New Roman" w:cs="Times New Roman" w:eastAsia="Times New Roman" w:hAnsi="Times New Roman"/>
          <w:sz w:val="18"/>
          <w:szCs w:val="18"/>
          <w:color w:val="auto"/>
        </w:rPr>
        <w:t>The fair value of customer relationships was estimated using the distributor method, an income level approach (Level 3), which estimates the value of an asset based upon costs avoided through ownership of the asset. Estimated costs on projected revenues were made using historical data pertaining to sales to new and existing customers. The cash flow impact of projected cost savings, primarily avoidance of legal costs pertaining to new customers and lower commission rates applicable to existing customers than new customers, were discounted at a rate of 16% to determine the fair value.</w:t>
      </w:r>
    </w:p>
    <w:p>
      <w:pPr>
        <w:spacing w:after="0" w:line="213"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The fair value of the trade name and trademarks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1% to determine the fair value.</w:t>
      </w:r>
    </w:p>
    <w:p>
      <w:pPr>
        <w:spacing w:after="0" w:line="216"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The fair value of the patents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5% to determine the fair value.</w:t>
      </w:r>
    </w:p>
    <w:p>
      <w:pPr>
        <w:spacing w:after="0" w:line="216" w:lineRule="exact"/>
        <w:rPr>
          <w:sz w:val="20"/>
          <w:szCs w:val="20"/>
          <w:color w:val="auto"/>
        </w:rPr>
      </w:pPr>
    </w:p>
    <w:p>
      <w:pPr>
        <w:jc w:val="both"/>
        <w:ind w:right="20" w:firstLine="567"/>
        <w:spacing w:after="0" w:line="274" w:lineRule="auto"/>
        <w:rPr>
          <w:sz w:val="20"/>
          <w:szCs w:val="20"/>
          <w:color w:val="auto"/>
        </w:rPr>
      </w:pPr>
      <w:r>
        <w:rPr>
          <w:rFonts w:ascii="Times New Roman" w:cs="Times New Roman" w:eastAsia="Times New Roman" w:hAnsi="Times New Roman"/>
          <w:sz w:val="18"/>
          <w:szCs w:val="18"/>
          <w:color w:val="auto"/>
        </w:rPr>
        <w:t>The value of the non-competition agreement was estimated using the lost income method (Level 3). Because the non-competition agreement prohibits the covenantor from competing with the Company, the fair value of the non-competition agreement can be determined by estimating cash flows that would be lost if the covenantors were to compete. Based on this method we estimated a discount rate of 16% to determine the fair value.</w:t>
      </w:r>
    </w:p>
    <w:p>
      <w:pPr>
        <w:spacing w:after="0" w:line="196" w:lineRule="exact"/>
        <w:rPr>
          <w:sz w:val="20"/>
          <w:szCs w:val="20"/>
          <w:color w:val="auto"/>
        </w:rPr>
      </w:pPr>
    </w:p>
    <w:p>
      <w:pPr>
        <w:jc w:val="both"/>
        <w:ind w:right="20" w:firstLine="567"/>
        <w:spacing w:after="0" w:line="271" w:lineRule="auto"/>
        <w:rPr>
          <w:sz w:val="20"/>
          <w:szCs w:val="20"/>
          <w:color w:val="auto"/>
        </w:rPr>
      </w:pPr>
      <w:r>
        <w:rPr>
          <w:rFonts w:ascii="Times New Roman" w:cs="Times New Roman" w:eastAsia="Times New Roman" w:hAnsi="Times New Roman"/>
          <w:sz w:val="18"/>
          <w:szCs w:val="18"/>
          <w:color w:val="auto"/>
        </w:rPr>
        <w:t>Discount rates for each respective intangible asset were determined by accounting for the risk associated with each asset, including required technology development and customer acquisition required to support respective projections, the uncertainty of market success and the risk inherent with projected financial results. The estimated useful lives were determined by evaluating the expected economic and useful lives of the assets and of similar intangible assets from</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comparable business combinations and adjusting accordingly after taking into account circumstances that may be unique to GeneSiC. Net tangible assets and intangibles assets assumed as well as goodwill recognized are presented as continuing operations in the consolidated balance sheets.</w:t>
      </w:r>
    </w:p>
    <w:p>
      <w:pPr>
        <w:spacing w:after="0" w:line="200" w:lineRule="exact"/>
        <w:rPr>
          <w:sz w:val="20"/>
          <w:szCs w:val="20"/>
          <w:color w:val="auto"/>
        </w:rPr>
      </w:pPr>
    </w:p>
    <w:p>
      <w:pPr>
        <w:spacing w:after="0" w:line="219" w:lineRule="exact"/>
        <w:rPr>
          <w:sz w:val="20"/>
          <w:szCs w:val="20"/>
          <w:color w:val="auto"/>
        </w:rPr>
      </w:pPr>
    </w:p>
    <w:p>
      <w:pPr>
        <w:jc w:val="both"/>
        <w:ind w:firstLine="567"/>
        <w:spacing w:after="0" w:line="274"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presented in the table below is provided for illustrative purposes only and is based on the historical financial statements of the Company and presents the Company’s results as if the business combination had occurred as of January 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6789420" cy="10972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89420" cy="1097280"/>
                    </a:xfrm>
                    <a:prstGeom prst="rect">
                      <a:avLst/>
                    </a:prstGeom>
                    <a:noFill/>
                  </pic:spPr>
                </pic:pic>
              </a:graphicData>
            </a:graphic>
          </wp:anchor>
        </w:drawing>
      </w:r>
    </w:p>
    <w:p>
      <w:pPr>
        <w:spacing w:after="0" w:line="23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4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 e</w:t>
            </w: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48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3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ded December 31,</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800" w:type="dxa"/>
            <w:vAlign w:val="bottom"/>
          </w:tcPr>
          <w:p>
            <w:pPr>
              <w:spacing w:after="0"/>
              <w:rPr>
                <w:sz w:val="16"/>
                <w:szCs w:val="16"/>
                <w:color w:val="auto"/>
              </w:rPr>
            </w:pPr>
          </w:p>
        </w:tc>
        <w:tc>
          <w:tcPr>
            <w:tcW w:w="3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3"/>
        </w:trPr>
        <w:tc>
          <w:tcPr>
            <w:tcW w:w="48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48,615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38,145</w:t>
            </w:r>
          </w:p>
        </w:tc>
        <w:tc>
          <w:tcPr>
            <w:tcW w:w="20" w:type="dxa"/>
            <w:vAlign w:val="bottom"/>
          </w:tcPr>
          <w:p>
            <w:pPr>
              <w:spacing w:after="0"/>
              <w:rPr>
                <w:sz w:val="19"/>
                <w:szCs w:val="19"/>
                <w:color w:val="auto"/>
              </w:rPr>
            </w:pPr>
          </w:p>
        </w:tc>
      </w:tr>
      <w:tr>
        <w:trPr>
          <w:trHeight w:val="229"/>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40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72,279</w:t>
            </w:r>
          </w:p>
        </w:tc>
        <w:tc>
          <w:tcPr>
            <w:tcW w:w="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(162,744)</w:t>
            </w:r>
          </w:p>
        </w:tc>
        <w:tc>
          <w:tcPr>
            <w:tcW w:w="20" w:type="dxa"/>
            <w:vAlign w:val="bottom"/>
          </w:tcPr>
          <w:p>
            <w:pPr>
              <w:spacing w:after="0"/>
              <w:rPr>
                <w:sz w:val="19"/>
                <w:szCs w:val="19"/>
                <w:color w:val="auto"/>
              </w:rPr>
            </w:pPr>
          </w:p>
        </w:tc>
      </w:tr>
      <w:tr>
        <w:trPr>
          <w:trHeight w:val="230"/>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40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0.54</w:t>
            </w:r>
          </w:p>
        </w:tc>
        <w:tc>
          <w:tcPr>
            <w:tcW w:w="6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9"/>
                <w:szCs w:val="19"/>
                <w:color w:val="auto"/>
              </w:rPr>
            </w:pPr>
          </w:p>
        </w:tc>
      </w:tr>
      <w:tr>
        <w:trPr>
          <w:trHeight w:val="229"/>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40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0.50</w:t>
            </w:r>
          </w:p>
        </w:tc>
        <w:tc>
          <w:tcPr>
            <w:tcW w:w="64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bottom w:val="single" w:sz="8" w:color="auto"/>
            </w:tcBorders>
          </w:tcPr>
          <w:p>
            <w:pPr>
              <w:spacing w:after="0"/>
              <w:rPr>
                <w:sz w:val="19"/>
                <w:szCs w:val="19"/>
                <w:color w:val="auto"/>
              </w:rPr>
            </w:pPr>
          </w:p>
        </w:tc>
      </w:tr>
    </w:tbl>
    <w:p>
      <w:pPr>
        <w:spacing w:after="0" w:line="306" w:lineRule="exact"/>
        <w:rPr>
          <w:sz w:val="20"/>
          <w:szCs w:val="20"/>
          <w:color w:val="auto"/>
        </w:rPr>
      </w:pPr>
    </w:p>
    <w:p>
      <w:pPr>
        <w:jc w:val="both"/>
        <w:ind w:firstLine="567"/>
        <w:spacing w:after="0" w:line="274" w:lineRule="auto"/>
        <w:rPr>
          <w:sz w:val="20"/>
          <w:szCs w:val="20"/>
          <w:color w:val="auto"/>
        </w:rPr>
      </w:pPr>
      <w:r>
        <w:rPr>
          <w:rFonts w:ascii="Times New Roman" w:cs="Times New Roman" w:eastAsia="Times New Roman" w:hAnsi="Times New Roman"/>
          <w:sz w:val="18"/>
          <w:szCs w:val="18"/>
          <w:color w:val="auto"/>
        </w:rPr>
        <w:t>The unaudited pro forma financial information may not be indicative of the results of operations that the Company would have attained had the business combination occurred as of January 1, 2021, nor is the pro forma financial information indicative of the results of operations that may occur in the future.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NONCONTROLLING INTEREST</w:t>
      </w:r>
    </w:p>
    <w:p>
      <w:pPr>
        <w:spacing w:after="0" w:line="270" w:lineRule="exact"/>
        <w:rPr>
          <w:sz w:val="20"/>
          <w:szCs w:val="20"/>
          <w:color w:val="auto"/>
        </w:rPr>
      </w:pPr>
    </w:p>
    <w:p>
      <w:pPr>
        <w:jc w:val="both"/>
        <w:ind w:firstLine="486"/>
        <w:spacing w:after="0" w:line="313" w:lineRule="auto"/>
        <w:rPr>
          <w:sz w:val="20"/>
          <w:szCs w:val="20"/>
          <w:color w:val="auto"/>
        </w:rPr>
      </w:pPr>
      <w:r>
        <w:rPr>
          <w:rFonts w:ascii="Times New Roman" w:cs="Times New Roman" w:eastAsia="Times New Roman" w:hAnsi="Times New Roman"/>
          <w:sz w:val="18"/>
          <w:szCs w:val="18"/>
          <w:color w:val="auto"/>
        </w:rPr>
        <w:t>In July 2021, the Company formed a joint venture for the purpose of conducting research and development on technology in the area of AC/DC converters for chargers and adapters.</w:t>
      </w:r>
    </w:p>
    <w:p>
      <w:pPr>
        <w:spacing w:after="0" w:line="176"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8"/>
          <w:szCs w:val="18"/>
          <w:color w:val="auto"/>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preliminary estimates. The Company’s net income (loss) excludes income (loss) attributable to the noncontrolling interests. The preliminary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 Goodwill of $3.1 million was recorded in connection with this transaction.</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the non-controlling interest as of December 31, 2022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20" w:type="dxa"/>
            <w:vAlign w:val="bottom"/>
          </w:tcPr>
          <w:p>
            <w:pPr>
              <w:spacing w:after="0"/>
              <w:rPr>
                <w:sz w:val="13"/>
                <w:szCs w:val="13"/>
                <w:color w:val="auto"/>
              </w:rPr>
            </w:pPr>
          </w:p>
        </w:tc>
        <w:tc>
          <w:tcPr>
            <w:tcW w:w="2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 Value of Non-Controlling</w:t>
            </w:r>
          </w:p>
        </w:tc>
        <w:tc>
          <w:tcPr>
            <w:tcW w:w="23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loss Attributable to the Non-</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 of Non-Controlling</w:t>
            </w:r>
          </w:p>
        </w:tc>
        <w:tc>
          <w:tcPr>
            <w:tcW w:w="0" w:type="dxa"/>
            <w:vAlign w:val="bottom"/>
          </w:tcPr>
          <w:p>
            <w:pPr>
              <w:spacing w:after="0"/>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 as of August 19, 2022</w:t>
            </w:r>
          </w:p>
        </w:tc>
        <w:tc>
          <w:tcPr>
            <w:tcW w:w="300" w:type="dxa"/>
            <w:vAlign w:val="bottom"/>
          </w:tcPr>
          <w:p>
            <w:pPr>
              <w:spacing w:after="0"/>
              <w:rPr>
                <w:sz w:val="17"/>
                <w:szCs w:val="17"/>
                <w:color w:val="auto"/>
              </w:rPr>
            </w:pPr>
          </w:p>
        </w:tc>
        <w:tc>
          <w:tcPr>
            <w:tcW w:w="20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Controlling Interest</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as of December 31, 2022</w:t>
            </w:r>
          </w:p>
        </w:tc>
        <w:tc>
          <w:tcPr>
            <w:tcW w:w="0" w:type="dxa"/>
            <w:vAlign w:val="bottom"/>
          </w:tcPr>
          <w:p>
            <w:pPr>
              <w:spacing w:after="0"/>
              <w:rPr>
                <w:sz w:val="1"/>
                <w:szCs w:val="1"/>
                <w:color w:val="auto"/>
              </w:rPr>
            </w:pPr>
          </w:p>
        </w:tc>
      </w:tr>
      <w:tr>
        <w:trPr>
          <w:trHeight w:val="229"/>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Joint Venture</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31" w:lineRule="exact"/>
        <w:rPr>
          <w:sz w:val="20"/>
          <w:szCs w:val="20"/>
          <w:color w:val="auto"/>
        </w:rPr>
      </w:pPr>
    </w:p>
    <w:p>
      <w:pPr>
        <w:ind w:right="260" w:firstLine="486"/>
        <w:spacing w:after="0" w:line="260" w:lineRule="auto"/>
        <w:rPr>
          <w:sz w:val="20"/>
          <w:szCs w:val="20"/>
          <w:color w:val="auto"/>
        </w:rPr>
      </w:pPr>
      <w:r>
        <w:rPr>
          <w:rFonts w:ascii="Times New Roman" w:cs="Times New Roman" w:eastAsia="Times New Roman" w:hAnsi="Times New Roman"/>
          <w:sz w:val="18"/>
          <w:szCs w:val="18"/>
          <w:color w:val="auto"/>
        </w:rPr>
        <w:t>On January 19, 2023, the Company announced an agreement to acquire the remaining minority interest in its silicon control IC joint venture from Halo Microelectronics for a purchase price of $20 million in Navitas stock (see Note 19,</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2" w:name="page103"/>
    <w:bookmarkEnd w:id="10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in thousands, except per share amounts and where noted)</w:t>
      </w:r>
    </w:p>
    <w:p>
      <w:pPr>
        <w:spacing w:after="0" w:line="200" w:lineRule="exact"/>
        <w:rPr>
          <w:sz w:val="20"/>
          <w:szCs w:val="20"/>
          <w:color w:val="auto"/>
        </w:rPr>
      </w:pPr>
    </w:p>
    <w:p>
      <w:pPr>
        <w:spacing w:after="0" w:line="3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Noncontrolling Interest). As Navitas was already the majority shareholder, financial results from the joint venture have already been reflected in Navitas’ historical financial statements. The transaction was completed on 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 w:right="5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have conducted an evaluation of the effectiveness of the design and operation of our disclosure controls and procedures (as defined in Rule 13a-15(e) under the Securities Exchange Act of 1934, as amended (the “Exchange Act”)) as of December 31, 2022 and based on this evaluation, have concluded that, as a result of the material weaknesses in internal control over financial reporting as described below, our disclosure controls and procedures were not effective as of December 31, 2022.</w:t>
      </w:r>
    </w:p>
    <w:p>
      <w:pPr>
        <w:spacing w:after="0" w:line="21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Under Rule 13a-15(e), the term disclosure controls and procedures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214" w:lineRule="exact"/>
        <w:rPr>
          <w:sz w:val="20"/>
          <w:szCs w:val="20"/>
          <w:color w:val="auto"/>
        </w:rPr>
      </w:pPr>
    </w:p>
    <w:p>
      <w:pPr>
        <w:ind w:left="660" w:hanging="328"/>
        <w:spacing w:after="0" w:line="31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30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6"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assessment of our internal control over financial reporting as of December 31, 2022. As a result of this evaluation, management identified the following material weaknesses in internal control, which continue to exist as of December 31, 2022:</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Management concluded that we lack a sufficient number of trained professionals with technical accounting expertise to identify, evaluate, value and account for complex and non-routine transactions, including revenue and stock-based compensation. We also found we have insufficient accounting resources to maintain appropriate segregation of duties, including to ensure journal entries are reviewed by personnel independent of the preparer. As a result, we performed additional analysis we deemed necessary to ensure that our financial statements were prepared in accordance with U.S. generally accepted accounting principles.</w:t>
      </w:r>
    </w:p>
    <w:p>
      <w:pPr>
        <w:spacing w:after="0" w:line="21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While these material weaknesses did not result in material misstatements of the Company’s financial statements as of and for the year ended December 31, 2022, these material weaknesses create a reasonable possibility that a material misstatement of account balances or disclosures in our consolidated financial statements may not be prevented or detected in a timely manner. Accordingly, the Company concluded that the deficiencies represent material weaknesses in its internal control over financial reporting and that internal control over financial reporting was not effective as of December 31, 2022.</w:t>
      </w:r>
    </w:p>
    <w:p>
      <w:pPr>
        <w:spacing w:after="0" w:line="218"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Deloitte &amp; Touche LLP, under the transitional rules of the Securities and Exchange Commission applicable to emerging growth companies.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Plan</w:t>
      </w:r>
    </w:p>
    <w:p>
      <w:pPr>
        <w:spacing w:after="0" w:line="2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Company’s remediation efforts are ongoing, and it will continue its initiatives to implement and document policies and procedures and strengthen the Company’s internal control environment. Remediation of the identified material weaknesses and strengthening the Company’s internal control environment will require a substantial effort throughout 2023. The material weaknesses cannot be considered completely remediated until the applicable controls have operated for a sufficient period of time and management has concluded, through testing, that these controls are operating effectively. In addition, it is possible that certain controls the Company plans to implement in 2023 will not have operated for a sufficient period of time in 2023 to test their operating effectiveness as part of the Company’s evaluation of internal control over financial reporting as of December 31, 2023 and may extend to the following year.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remediate the material weaknesses described above, the Company is pursuing the following remediation steps:</w:t>
      </w:r>
    </w:p>
    <w:p>
      <w:pPr>
        <w:spacing w:after="0" w:line="301"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has added a SEC reporting manager to the accounting team with technical accounting experience.</w:t>
      </w:r>
    </w:p>
    <w:p>
      <w:pPr>
        <w:spacing w:after="0" w:line="76" w:lineRule="exact"/>
        <w:rPr>
          <w:rFonts w:ascii="Times New Roman" w:cs="Times New Roman" w:eastAsia="Times New Roman" w:hAnsi="Times New Roman"/>
          <w:sz w:val="22"/>
          <w:szCs w:val="22"/>
          <w:color w:val="auto"/>
        </w:rPr>
      </w:pPr>
    </w:p>
    <w:p>
      <w:pPr>
        <w:ind w:left="1300" w:hanging="320"/>
        <w:spacing w:after="0" w:line="262" w:lineRule="auto"/>
        <w:tabs>
          <w:tab w:leader="none" w:pos="12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has outsourced complex technical accounting matters to an external third party to provide assistance to the Company when such accounting matters arise.</w:t>
      </w:r>
    </w:p>
    <w:p>
      <w:pPr>
        <w:spacing w:after="0" w:line="37" w:lineRule="exact"/>
        <w:rPr>
          <w:rFonts w:ascii="Times New Roman" w:cs="Times New Roman" w:eastAsia="Times New Roman" w:hAnsi="Times New Roman"/>
          <w:sz w:val="22"/>
          <w:szCs w:val="22"/>
          <w:color w:val="auto"/>
        </w:rPr>
      </w:pPr>
    </w:p>
    <w:p>
      <w:pPr>
        <w:ind w:left="1300" w:right="20" w:hanging="320"/>
        <w:spacing w:after="0" w:line="291" w:lineRule="auto"/>
        <w:tabs>
          <w:tab w:leader="none" w:pos="12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has identified a system generated report from its accounting system that identifies if edits were made to journal entries and posted without review. On at least a quarterly basis, management will review this report to ensure journal entries are valid.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97"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On August 15, 2022, we acquired GeneSiC and, as a result, we have completed integrating certain processes, systems and controls relating to GeneSiC into our existing system of internal control over financial reporting in accordance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with our integration plans as of December 31, 2022. Except for certain processes, systems and controls relating to the integration of GeneSiC, during the year ended December 31, 2022, there were no significant changes in our internal control over financial reporting (as defined in Rule 13a-15(f) under the Securities Exchange Act of 1934, as amended) that have materially affected or are reasonably likely to materially affect the Company’s internal control over financial reporting.</w:t>
      </w:r>
    </w:p>
    <w:p>
      <w:pPr>
        <w:spacing w:after="0" w:line="21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described above under “Management's Remediation Plan”, we are taking actions to remediate the material weaknesses in our internal control over financial reporting. Except as described above, there were no changes in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Announcement of 2023 Annual Stockholders’ Meeting Date and Related Information</w:t>
      </w:r>
    </w:p>
    <w:p>
      <w:pPr>
        <w:spacing w:after="0" w:line="24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2023 annual meeting of stockholders is scheduled to be held on Thursday, June 8, 2023, at 9:30 a.m., at our principal executive offices located at 3520 Challenger Street, Torrance, California 90503. The record date for determining stockholders entitled to notice of the meeting, and to vote on proposals to come before the meeting, is April 17, 2023. This announcement does not constitute a notice of a meeting of stockholders for purposes of Delaware law or under our bylaws, nor is this announcement a solicitation of proxies for the meeting. We expect to begin mailing the Notice of Meeting and a Notice of Internet Availability of Proxy Materials to eligible stockholders on or about April 27, 2023, which will contain instructions on how to access the proxy statement and related materials for the meeting. Stockholders should be aware of the following applicable deadlines in connection with the meeting.</w:t>
      </w:r>
    </w:p>
    <w:p>
      <w:pPr>
        <w:spacing w:after="0" w:line="20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i w:val="1"/>
          <w:iCs w:val="1"/>
          <w:color w:val="auto"/>
        </w:rPr>
        <w:t xml:space="preserve">Proposals Governed by Rule 14a-8 Under the Exchange Act. </w:t>
      </w:r>
      <w:r>
        <w:rPr>
          <w:rFonts w:ascii="Times New Roman" w:cs="Times New Roman" w:eastAsia="Times New Roman" w:hAnsi="Times New Roman"/>
          <w:sz w:val="18"/>
          <w:szCs w:val="18"/>
          <w:color w:val="auto"/>
        </w:rPr>
        <w:t>Pursuant to Rule 14a-8 under the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since the 2023 annual meeting is being held more than 30 days before the first anniversary of the 2022 annual meeting, any proposal that a stockholder intends to be presented at the 2023 annual meeting via the company’s proxy statement and form of proxy must be received by our corporate secretary at our principal executive offices at the address below no later than a reasonable time before we begin to print and send proxy materials for the 2023 meeting. In connection with the 2023 annual meeting, we expect to file a proxy statement with the SEC and begin mailing a Notice of Internet Availability of Proxy Materials to eligible stockholders on or about April 27, 2023. Stockholder proposals received after the deadline will be considered untimely under Rule 14a-8.</w:t>
      </w:r>
    </w:p>
    <w:p>
      <w:pPr>
        <w:spacing w:after="0" w:line="20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i w:val="1"/>
          <w:iCs w:val="1"/>
          <w:color w:val="auto"/>
        </w:rPr>
        <w:t>Stockholder Nominations of Candidates for Director and Other Business</w:t>
      </w:r>
      <w:r>
        <w:rPr>
          <w:rFonts w:ascii="Times New Roman" w:cs="Times New Roman" w:eastAsia="Times New Roman" w:hAnsi="Times New Roman"/>
          <w:sz w:val="18"/>
          <w:szCs w:val="18"/>
          <w:color w:val="auto"/>
        </w:rPr>
        <w:t>. If a stockholder desires to bring before the 2023 annual meeting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 or other matter that is not the subject of a proposal meeting the requirements of Rule 14a-8 for inclusion in the company’s 2023 proxy statement, the stockholder must follow procedures outlined in our bylaws in order to personally present the proposal at the meeting. One of the procedural requirements is providing timely notice in writing of the director nomination or other business the stockholder proposes to bring before the meeting. Since our 2023 annual meeting is being held more than 30 days before the first anniversary of the date of the 2022 annual meeting, to be timely the written notice must be received no later than the close of business on the 10th calendar day following the date of this announcement.</w:t>
      </w:r>
    </w:p>
    <w:p>
      <w:pPr>
        <w:spacing w:after="0" w:line="207"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In addition, to comply with the “universal proxy rules” recently promulgated by the SEC, stockholders who intend to solicit proxies in support of director nominees other than the company’s nominees for election at the 2023 annual meeting must provide notice to the company at the address below, setting forth the information required by Rule 14a-19 under the Exchange Act, no later than the 10th calendar day following the date of this announcement.</w:t>
      </w:r>
    </w:p>
    <w:p>
      <w:pPr>
        <w:spacing w:after="0" w:line="210"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We reserve the right to decline to include in our proxy materials any stockholder’s proposal that does not comply with the rules of the SEC. Our bylaws are included as Exhibit 3.2 to this annual report on Form 10-K. We will furnish paper copies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of the applicable bylaw provisions that set forth the requirements for a stockholder’s written notice, upon written request to the corporate secretary at the address below, or by telephoning (844) 654-2642.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corporate secretary is:</w:t>
      </w:r>
    </w:p>
    <w:p>
      <w:pPr>
        <w:spacing w:after="0" w:line="25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Navitas Semiconductor Corporation</w:t>
      </w:r>
    </w:p>
    <w:p>
      <w:pPr>
        <w:ind w:left="4280"/>
        <w:spacing w:after="0" w:line="219" w:lineRule="auto"/>
        <w:rPr>
          <w:sz w:val="20"/>
          <w:szCs w:val="20"/>
          <w:color w:val="auto"/>
        </w:rPr>
      </w:pPr>
      <w:r>
        <w:rPr>
          <w:rFonts w:ascii="Times New Roman" w:cs="Times New Roman" w:eastAsia="Times New Roman" w:hAnsi="Times New Roman"/>
          <w:sz w:val="18"/>
          <w:szCs w:val="18"/>
          <w:color w:val="auto"/>
        </w:rPr>
        <w:t>3520 Challenger Street</w:t>
      </w:r>
    </w:p>
    <w:p>
      <w:pPr>
        <w:ind w:left="4280"/>
        <w:spacing w:after="0" w:line="203" w:lineRule="auto"/>
        <w:rPr>
          <w:sz w:val="20"/>
          <w:szCs w:val="20"/>
          <w:color w:val="auto"/>
        </w:rPr>
      </w:pPr>
      <w:r>
        <w:rPr>
          <w:rFonts w:ascii="Times New Roman" w:cs="Times New Roman" w:eastAsia="Times New Roman" w:hAnsi="Times New Roman"/>
          <w:sz w:val="18"/>
          <w:szCs w:val="18"/>
          <w:color w:val="auto"/>
        </w:rPr>
        <w:t>Torrance, CA 90503-1640</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97"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proxy statement on Schedule 14A to be filed with the Securities and Exchange Commission in connection with our 2023 annual stockholders' meeting within 120 days of the fiscal year ended December 31, 2022 (our “Proxy Statement”).</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President and Chief Executive Officer, Chief Financial Officer, and other executive and senior officers. The full text of this code of business conduct and ethics is posted on the investor relations page of our website, at</w:t>
      </w:r>
    </w:p>
    <w:p>
      <w:pPr>
        <w:spacing w:after="0" w:line="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https://ir.navitassemi.com/corporate-governance/documents-charters. The reference to our website address in this filing does not include or incorporate by reference the information on that website into this filing. We intend to disclose future amendments to certain provisions of this code of business conduct and ethics, or waivers of these provisions, on our website or in public filings to the extent required by the applicable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Person Transactions.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ind w:left="440" w:hanging="25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Financial statements included in this annual report are listed under Part II, Item 8.</w:t>
      </w:r>
    </w:p>
    <w:p>
      <w:pPr>
        <w:spacing w:after="0" w:line="198" w:lineRule="exact"/>
        <w:rPr>
          <w:rFonts w:ascii="Times New Roman" w:cs="Times New Roman" w:eastAsia="Times New Roman" w:hAnsi="Times New Roman"/>
          <w:sz w:val="18"/>
          <w:szCs w:val="18"/>
          <w:color w:val="auto"/>
        </w:rPr>
      </w:pPr>
    </w:p>
    <w:p>
      <w:pPr>
        <w:ind w:right="20" w:firstLine="656"/>
        <w:spacing w:after="0" w:line="347" w:lineRule="auto"/>
        <w:tabs>
          <w:tab w:leader="none" w:pos="91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Schedules not listed above have been omitted because they are not required, not applicable, or the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is otherwise included.</w:t>
      </w:r>
    </w:p>
    <w:p>
      <w:pPr>
        <w:spacing w:after="0" w:line="76"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below are filed or furnished, as applicable, as part of this annual report or are incorporated by reference as</w:t>
      </w:r>
    </w:p>
    <w:p>
      <w:pPr>
        <w:spacing w:after="0" w:line="5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30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87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4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01"/>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4"/>
                <w:szCs w:val="24"/>
                <w:color w:val="auto"/>
              </w:rPr>
            </w:pPr>
          </w:p>
        </w:tc>
        <w:tc>
          <w:tcPr>
            <w:tcW w:w="5740" w:type="dxa"/>
            <w:vAlign w:val="bottom"/>
            <w:tcBorders>
              <w:top w:val="single" w:sz="8" w:color="auto"/>
            </w:tcBorders>
            <w:gridSpan w:val="2"/>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Business Combination Agreement and Plan of Reorganization, dated as of May 6,</w:t>
              </w:r>
            </w:hyperlink>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2021, among Live Oak Acquisition Corp. II, Live Oak Merger Sub Inc. and Navitas</w:t>
              </w:r>
            </w:hyperlink>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Semiconductor Limited, including as domesticated in the State of Delaware as Navitas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Semiconductor Ireland, LLC (“Legacy Navitas”)</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Agreement and Plan of Merger, dated as of August 15, 2022, by and among Navitas</w:t>
              </w:r>
            </w:hyperlink>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Semiconductor Corporation, Gemini Acquisition LLC, GeneSiC Semiconductor Inc.,</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Ranbir Singh and The Ranbir Singh Irrevocable Trust dated February 4, 2022</w:t>
              </w:r>
            </w:hyperlink>
          </w:p>
        </w:tc>
      </w:tr>
      <w:tr>
        <w:trPr>
          <w:trHeight w:val="33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Second Amended and Restated Certificate of Incorporation of Navitas Semiconductor</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Corporation</w:t>
              </w:r>
            </w:hyperlink>
          </w:p>
        </w:tc>
      </w:tr>
      <w:tr>
        <w:trPr>
          <w:trHeight w:val="364"/>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Amended and Restated Bylaws of Navitas Semiconductor Corporation</w:t>
              </w:r>
            </w:hyperlink>
          </w:p>
        </w:tc>
      </w:tr>
      <w:tr>
        <w:trPr>
          <w:trHeight w:val="30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2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Description of Registrant’s Securities</w:t>
            </w:r>
          </w:p>
        </w:tc>
        <w:tc>
          <w:tcPr>
            <w:tcW w:w="3300" w:type="dxa"/>
            <w:vAlign w:val="bottom"/>
          </w:tcPr>
          <w:p>
            <w:pPr>
              <w:spacing w:after="0"/>
              <w:rPr>
                <w:sz w:val="24"/>
                <w:szCs w:val="24"/>
                <w:color w:val="auto"/>
              </w:rPr>
            </w:pPr>
          </w:p>
        </w:tc>
      </w:tr>
      <w:tr>
        <w:trPr>
          <w:trHeight w:val="379"/>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5740" w:type="dxa"/>
            <w:vAlign w:val="bottom"/>
            <w:gridSpan w:val="2"/>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Navitas Semiconductor Corporation 2021 Equity Incentive Plan</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5740" w:type="dxa"/>
            <w:vAlign w:val="bottom"/>
            <w:gridSpan w:val="2"/>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Form of Restricted Stock Unit Agreement</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5740" w:type="dxa"/>
            <w:vAlign w:val="bottom"/>
            <w:gridSpan w:val="2"/>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Form of Stock Option Agreement</w:t>
              </w:r>
            </w:hyperlink>
          </w:p>
        </w:tc>
      </w:tr>
      <w:tr>
        <w:trPr>
          <w:trHeight w:val="32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5740" w:type="dxa"/>
            <w:vAlign w:val="bottom"/>
            <w:gridSpan w:val="2"/>
          </w:tcPr>
          <w:p>
            <w:pPr>
              <w:spacing w:after="0"/>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Amended and Restated Navitas Semiconductor Limited 2020 Equity Incentive Plan</w:t>
              </w:r>
            </w:hyperlink>
          </w:p>
        </w:tc>
      </w:tr>
      <w:tr>
        <w:trPr>
          <w:trHeight w:val="30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Warrant Agreement, dated December 2, 2020, between Live Oak Acquisition Corp. II</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and Continental Stock Transfer &amp; Trust Company, as warrant agent</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Private Placement Warrants Purchase Agreement, dated December 2, 2020, between</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Live Oak Acquisition Corp. II and Live Oak Sponsor Partners II, LLC</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Registration Rights Agreement, dated December 2, 2020, among Live Oak Acquisition</w:t>
              </w:r>
            </w:hyperlink>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gridSpan w:val="2"/>
          </w:tcPr>
          <w:p>
            <w:pPr>
              <w:spacing w:after="0" w:line="16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Corp. II, Live Oak Sponsor Partners II, LLC and certain other security holders named</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therein</w:t>
              </w:r>
            </w:hyperlink>
          </w:p>
        </w:tc>
      </w:tr>
      <w:tr>
        <w:trPr>
          <w:trHeight w:val="3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Administrative Support Agreement, dated December 2, 2020, between Live Oak</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Acquisition Corp. II and Live Oak Sponsor Partners II, LLC</w:t>
              </w:r>
            </w:hyperlink>
          </w:p>
        </w:tc>
      </w:tr>
      <w:tr>
        <w:trPr>
          <w:trHeight w:val="365"/>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Promissory Note, dated August 12, 2020, issued to Live Oak Sponsor Partners II, LLC</w:t>
              </w:r>
            </w:hyperlink>
          </w:p>
        </w:tc>
      </w:tr>
      <w:tr>
        <w:trPr>
          <w:trHeight w:val="35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10.10†</w:t>
            </w:r>
          </w:p>
        </w:tc>
        <w:tc>
          <w:tcPr>
            <w:tcW w:w="5740" w:type="dxa"/>
            <w:vAlign w:val="bottom"/>
            <w:gridSpan w:val="2"/>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Form of Indemnification Agreement</w:t>
              </w:r>
            </w:hyperlink>
          </w:p>
        </w:tc>
      </w:tr>
      <w:tr>
        <w:trPr>
          <w:trHeight w:val="33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10.11</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Shareholder Tender and Support Agreement, dated as of May 6, 2021, among Live Oak</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Acquisition Corp. II, Legacy Navitas and certain equity holders of Legacy Navitas</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 xml:space="preserve">Lock-Up Agreement (Management), </w:t>
              </w:r>
            </w:hyperlink>
            <w:r>
              <w:rPr>
                <w:rFonts w:ascii="Times New Roman" w:cs="Times New Roman" w:eastAsia="Times New Roman" w:hAnsi="Times New Roman"/>
                <w:sz w:val="16"/>
                <w:szCs w:val="16"/>
                <w:color w:val="0000FF"/>
              </w:rPr>
              <w:t>dated as of May 6, 2021, among Live Oak</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Acquisition Corp. II, Legacy Navitas and certain equity holders of Legacy Navitas</w:t>
            </w:r>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10.13</w:t>
            </w:r>
          </w:p>
        </w:tc>
        <w:tc>
          <w:tcPr>
            <w:tcW w:w="120" w:type="dxa"/>
            <w:vAlign w:val="bottom"/>
          </w:tcPr>
          <w:p>
            <w:pPr>
              <w:spacing w:after="0"/>
              <w:rPr>
                <w:sz w:val="24"/>
                <w:szCs w:val="24"/>
                <w:color w:val="auto"/>
              </w:rPr>
            </w:pPr>
          </w:p>
        </w:tc>
        <w:tc>
          <w:tcPr>
            <w:tcW w:w="5740" w:type="dxa"/>
            <w:vAlign w:val="bottom"/>
            <w:gridSpan w:val="2"/>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 xml:space="preserve">Lock-Up Agreement (VPs), </w:t>
              </w:r>
            </w:hyperlink>
            <w:r>
              <w:rPr>
                <w:rFonts w:ascii="Times New Roman" w:cs="Times New Roman" w:eastAsia="Times New Roman" w:hAnsi="Times New Roman"/>
                <w:sz w:val="16"/>
                <w:szCs w:val="16"/>
                <w:color w:val="0000FF"/>
              </w:rPr>
              <w:t>dated as of May 6, 2021, among Live Oak Acquisition</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Corp. II, Legacy Navitas and certain equity holders of Legacy Navitas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42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S-4</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6/8/2021</w:t>
            </w:r>
          </w:p>
        </w:tc>
      </w:tr>
      <w:tr>
        <w:trPr>
          <w:trHeight w:val="932"/>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11/14/2022</w:t>
            </w:r>
          </w:p>
        </w:tc>
      </w:tr>
      <w:tr>
        <w:trPr>
          <w:trHeight w:val="729"/>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715"/>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11/15/2021</w:t>
            </w:r>
          </w:p>
        </w:tc>
      </w:tr>
      <w:tr>
        <w:trPr>
          <w:trHeight w:val="32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2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2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1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5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9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648"/>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5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333-249854</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11/4/2020</w:t>
            </w:r>
          </w:p>
        </w:tc>
      </w:tr>
      <w:tr>
        <w:trPr>
          <w:trHeight w:val="35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5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bl>
    <w:p>
      <w:pPr>
        <w:spacing w:after="0" w:line="402" w:lineRule="exact"/>
        <w:rPr>
          <w:sz w:val="20"/>
          <w:szCs w:val="20"/>
          <w:color w:val="auto"/>
        </w:rPr>
      </w:pPr>
    </w:p>
    <w:p>
      <w:pPr>
        <w:sectPr>
          <w:pgSz w:w="11900" w:h="16838" w:orient="portrait"/>
          <w:cols w:equalWidth="0" w:num="2">
            <w:col w:w="6820" w:space="80"/>
            <w:col w:w="4320"/>
          </w:cols>
          <w:pgMar w:left="320" w:top="135" w:right="35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8"/>
                <w:szCs w:val="18"/>
                <w:color w:val="auto"/>
              </w:rPr>
            </w:pPr>
          </w:p>
        </w:tc>
        <w:tc>
          <w:tcPr>
            <w:tcW w:w="5500" w:type="dxa"/>
            <w:vAlign w:val="bottom"/>
            <w:gridSpan w:val="3"/>
          </w:tcPr>
          <w:p>
            <w:pPr>
              <w:ind w:left="22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9"/>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10.14</w:t>
            </w:r>
          </w:p>
        </w:tc>
        <w:tc>
          <w:tcPr>
            <w:tcW w:w="120" w:type="dxa"/>
            <w:vAlign w:val="bottom"/>
          </w:tcPr>
          <w:p>
            <w:pPr>
              <w:spacing w:after="0"/>
              <w:rPr>
                <w:sz w:val="17"/>
                <w:szCs w:val="17"/>
                <w:color w:val="auto"/>
              </w:rPr>
            </w:pPr>
          </w:p>
        </w:tc>
        <w:tc>
          <w:tcPr>
            <w:tcW w:w="5740" w:type="dxa"/>
            <w:vAlign w:val="bottom"/>
            <w:tcBorders>
              <w:top w:val="single" w:sz="8" w:color="auto"/>
            </w:tcBorders>
            <w:gridSpan w:val="4"/>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 xml:space="preserve">Lock-Up Agreement (Non-Management), </w:t>
              </w:r>
            </w:hyperlink>
            <w:r>
              <w:rPr>
                <w:rFonts w:ascii="Times New Roman" w:cs="Times New Roman" w:eastAsia="Times New Roman" w:hAnsi="Times New Roman"/>
                <w:sz w:val="16"/>
                <w:szCs w:val="16"/>
                <w:color w:val="0000FF"/>
              </w:rPr>
              <w:t>dated as of May 6, 2021, among Live Oak</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Acquisition Corp. II, Legacy Navitas and certain equity holders of Legacy Navitas</w:t>
            </w:r>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Letter Agreement, dated December 2, 2020, among Live Oak Acquisition Corp. II, its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officers and directors and Live Oak Sponsor Partners II, LLC</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Investment Management Trust Agreement, dated December 2, 2020, between Live Oak</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Acquisition Corp. II and Continental Stock Transfer &amp; Trust Company, as trustee</w:t>
              </w:r>
            </w:hyperlink>
          </w:p>
        </w:tc>
      </w:tr>
      <w:tr>
        <w:trPr>
          <w:trHeight w:val="33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10.17</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Sponsor Letter Agreement, dated May 6, 2021, between Live Oak Acquisition Corp. II</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and Live Oak Sponsor Partners II, LLC</w:t>
              </w:r>
            </w:hyperlink>
          </w:p>
        </w:tc>
      </w:tr>
      <w:tr>
        <w:trPr>
          <w:trHeight w:val="31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10.18†</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Form of Indemnity Agreement</w:t>
              </w:r>
            </w:hyperlink>
          </w:p>
        </w:tc>
      </w:tr>
      <w:tr>
        <w:trPr>
          <w:trHeight w:val="33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Amendment to Letter Agreement, dated May 6, 2021. among Live Oak Acquisition</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Corp. II, its officers and directors and Live Oak Sponsor Partners II, LLC</w:t>
              </w:r>
            </w:hyperlink>
          </w:p>
        </w:tc>
      </w:tr>
      <w:tr>
        <w:trPr>
          <w:trHeight w:val="36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10.20†</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Employment Agreement of Gene Sheridan, dated as of May 6, 2021</w:t>
              </w:r>
            </w:hyperlink>
          </w:p>
        </w:tc>
      </w:tr>
      <w:tr>
        <w:trPr>
          <w:trHeight w:val="35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10.21†</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Employment Agreement of Daniel Kinzer, dated as of May 6, 2021</w:t>
              </w:r>
            </w:hyperlink>
          </w:p>
        </w:tc>
      </w:tr>
      <w:tr>
        <w:trPr>
          <w:trHeight w:val="338"/>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10.22†</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Employment Agreement of Todd Glickman, dated as of May 6, 2021</w:t>
              </w:r>
            </w:hyperlink>
          </w:p>
        </w:tc>
      </w:tr>
      <w:tr>
        <w:trPr>
          <w:trHeight w:val="30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Backstop Agreement, dated as of August 20, 2021, among Live Oak Acquisition Corp.</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II, Live Oak Sponsor Partners II, LLC and Encompass Capital Advisors LLC</w:t>
              </w:r>
            </w:hyperlink>
          </w:p>
        </w:tc>
      </w:tr>
      <w:tr>
        <w:trPr>
          <w:trHeight w:val="351"/>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Form of PIPE Subscription Agreement</w:t>
              </w:r>
            </w:hyperlink>
          </w:p>
        </w:tc>
      </w:tr>
      <w:tr>
        <w:trPr>
          <w:trHeight w:val="3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Sponsor Letter Agreement, dated October 6, 2021, among Live Oak Sponsor Partners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II, LLC, Live Oak Acquisition Corp. II and Navitas Semiconductor Limited</w:t>
              </w:r>
            </w:hyperlink>
          </w:p>
        </w:tc>
      </w:tr>
      <w:tr>
        <w:trPr>
          <w:trHeight w:val="34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tcPr>
          <w:p>
            <w:pPr>
              <w:spacing w:after="0"/>
              <w:rPr>
                <w:sz w:val="24"/>
                <w:szCs w:val="24"/>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Forward Purchase Agreement, dated October 6, 2021, between ACM AART VII A</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LLC and Live Oak Acquisition Corp. II</w:t>
              </w:r>
            </w:hyperlink>
          </w:p>
        </w:tc>
      </w:tr>
      <w:tr>
        <w:trPr>
          <w:trHeight w:val="3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10.27†</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Stock Repurchase Agreement, dated March 4, 2022, between Todd Glickman and</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Navitas Semiconductor Corporation</w:t>
              </w:r>
            </w:hyperlink>
          </w:p>
        </w:tc>
      </w:tr>
      <w:tr>
        <w:trPr>
          <w:trHeight w:val="33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10.28†</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Employment Offer Letter, dated May 17, 2022, between Ron Shelton and Navitas</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Semiconductor Corporation</w:t>
              </w:r>
            </w:hyperlink>
          </w:p>
        </w:tc>
      </w:tr>
      <w:tr>
        <w:trPr>
          <w:trHeight w:val="29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10.29†</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Registration Rights Agreement, dated August 15, 2022, among Navitas Semiconductor</w:t>
              </w:r>
            </w:hyperlink>
          </w:p>
        </w:tc>
      </w:tr>
      <w:tr>
        <w:trPr>
          <w:trHeight w:val="162"/>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gridSpan w:val="4"/>
          </w:tcPr>
          <w:p>
            <w:pPr>
              <w:spacing w:after="0" w:line="16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Corporation, Ranbir Singh and The Ranbir Singh Irrevocable Trust dated February 4,</w:t>
              </w:r>
            </w:hyperlink>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2"/>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2022</w:t>
              </w:r>
            </w:hyperlink>
          </w:p>
        </w:tc>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70"/>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10.30†</w:t>
            </w:r>
          </w:p>
        </w:tc>
        <w:tc>
          <w:tcPr>
            <w:tcW w:w="5740" w:type="dxa"/>
            <w:vAlign w:val="bottom"/>
            <w:gridSpan w:val="4"/>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Navitas Semiconductor 2022 Employee Stock Purchase Plan</w:t>
              </w:r>
            </w:hyperlink>
          </w:p>
        </w:tc>
      </w:tr>
      <w:tr>
        <w:trPr>
          <w:trHeight w:val="31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List of Subsidiaries</w:t>
            </w:r>
          </w:p>
        </w:tc>
      </w:tr>
      <w:tr>
        <w:trPr>
          <w:trHeight w:val="31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Consent of Deloitte &amp; Touche LLP</w:t>
            </w:r>
          </w:p>
        </w:tc>
      </w:tr>
      <w:tr>
        <w:trPr>
          <w:trHeight w:val="27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Power of Attorney (included on signature page)</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 13a-14(a) of the Exchange</w:t>
            </w:r>
          </w:p>
        </w:tc>
      </w:tr>
      <w:tr>
        <w:trPr>
          <w:trHeight w:val="142"/>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5"/>
              </w:rPr>
              <w:t>Act</w:t>
            </w:r>
          </w:p>
        </w:tc>
        <w:tc>
          <w:tcPr>
            <w:tcW w:w="546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 13a-14(a) of the Exchange</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Act</w:t>
            </w:r>
          </w:p>
        </w:tc>
      </w:tr>
      <w:tr>
        <w:trPr>
          <w:trHeight w:val="3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and the Chief Financial Officer pursuant to</w:t>
            </w:r>
          </w:p>
        </w:tc>
      </w:t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Rule 13a-14(b) of the Exchange Act and 18 U.S.C. § 1350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0" w:type="dxa"/>
            <w:vAlign w:val="bottom"/>
            <w:tcBorders>
              <w:top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05"/>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4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12/8/2020</w:t>
            </w:r>
          </w:p>
        </w:tc>
      </w:tr>
      <w:tr>
        <w:trPr>
          <w:trHeight w:val="54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499"/>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S-1/A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333-249854</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11/18/2020</w:t>
            </w:r>
          </w:p>
        </w:tc>
      </w:tr>
      <w:tr>
        <w:trPr>
          <w:trHeight w:val="35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5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35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10/25/2021</w:t>
            </w:r>
          </w:p>
        </w:tc>
      </w:tr>
      <w:tr>
        <w:trPr>
          <w:trHeight w:val="311"/>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S-4/A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333-256880</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8/23/2021</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5/7/2021</w:t>
            </w:r>
          </w:p>
        </w:tc>
      </w:tr>
      <w:tr>
        <w:trPr>
          <w:trHeight w:val="32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10/7/2021</w:t>
            </w:r>
          </w:p>
        </w:tc>
      </w:tr>
      <w:tr>
        <w:trPr>
          <w:trHeight w:val="553"/>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10/7/2021</w:t>
            </w:r>
          </w:p>
        </w:tc>
      </w:tr>
      <w:tr>
        <w:trPr>
          <w:trHeight w:val="54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5/16/2022</w:t>
            </w:r>
          </w:p>
        </w:tc>
      </w:tr>
      <w:tr>
        <w:trPr>
          <w:trHeight w:val="54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8/15/2022</w:t>
            </w:r>
          </w:p>
        </w:tc>
      </w:tr>
      <w:tr>
        <w:trPr>
          <w:trHeight w:val="540"/>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11/14/2022</w:t>
            </w:r>
          </w:p>
        </w:tc>
      </w:tr>
      <w:tr>
        <w:trPr>
          <w:trHeight w:val="594"/>
        </w:trPr>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001-39755</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11/14/2022</w:t>
            </w:r>
          </w:p>
        </w:tc>
      </w:tr>
    </w:tbl>
    <w:p>
      <w:pPr>
        <w:spacing w:after="0" w:line="2630" w:lineRule="exact"/>
        <w:rPr>
          <w:sz w:val="20"/>
          <w:szCs w:val="20"/>
          <w:color w:val="auto"/>
        </w:rPr>
      </w:pPr>
    </w:p>
    <w:p>
      <w:pPr>
        <w:sectPr>
          <w:pgSz w:w="11900" w:h="16838" w:orient="portrait"/>
          <w:cols w:equalWidth="0" w:num="2">
            <w:col w:w="6820" w:space="80"/>
            <w:col w:w="4320"/>
          </w:cols>
          <w:pgMar w:left="320" w:top="135" w:right="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100" w:type="dxa"/>
            <w:vAlign w:val="bottom"/>
            <w:tcBorders>
              <w:bottom w:val="single" w:sz="8" w:color="auto"/>
            </w:tcBorders>
          </w:tcPr>
          <w:p>
            <w:pPr>
              <w:spacing w:after="0"/>
              <w:rPr>
                <w:sz w:val="18"/>
                <w:szCs w:val="18"/>
                <w:color w:val="auto"/>
              </w:rPr>
            </w:pPr>
          </w:p>
        </w:tc>
      </w:tr>
      <w:tr>
        <w:trPr>
          <w:trHeight w:val="214"/>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840" w:type="dxa"/>
            <w:vAlign w:val="bottom"/>
            <w:gridSpan w:val="2"/>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206"/>
        </w:trPr>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7"/>
                <w:szCs w:val="17"/>
                <w:color w:val="auto"/>
              </w:rPr>
            </w:pPr>
          </w:p>
        </w:tc>
        <w:tc>
          <w:tcPr>
            <w:tcW w:w="5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48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700" w:type="dxa"/>
            <w:vAlign w:val="bottom"/>
            <w:gridSpan w:val="3"/>
          </w:tcPr>
          <w:p>
            <w:pPr>
              <w:ind w:left="272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ind w:right="7540" w:firstLine="8"/>
        <w:spacing w:after="0" w:line="261" w:lineRule="auto"/>
        <w:tabs>
          <w:tab w:leader="none" w:pos="24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arrangement. * Filed herewith.</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5"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80" w:firstLine="486"/>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NAVITAS SEMICONDUCTOR</w:t>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CORPORATION</w:t>
      </w:r>
    </w:p>
    <w:p>
      <w:pPr>
        <w:spacing w:after="0" w:line="219"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21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 Sheridan</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48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 2023</w:t>
            </w:r>
          </w:p>
        </w:tc>
      </w:tr>
    </w:tbl>
    <w:p>
      <w:pPr>
        <w:spacing w:after="0" w:line="200" w:lineRule="exact"/>
        <w:rPr>
          <w:sz w:val="20"/>
          <w:szCs w:val="20"/>
          <w:color w:val="auto"/>
        </w:rPr>
      </w:pPr>
    </w:p>
    <w:p>
      <w:pPr>
        <w:spacing w:after="0" w:line="3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Ron Shelton and Paul D. Delva as his true and lawful attorney-in-fact and agent, with full power of substitution and, for him and in his name, place and stead, in any and all capacities to sign any and all amendments to this annual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attorney-in-fact and agent, or his or her substitute or substitutes, may lawfully do or cause to be done by virtue hereof.</w:t>
      </w:r>
    </w:p>
    <w:p>
      <w:pPr>
        <w:spacing w:after="0" w:line="219" w:lineRule="exact"/>
        <w:rPr>
          <w:sz w:val="20"/>
          <w:szCs w:val="20"/>
          <w:color w:val="auto"/>
        </w:rPr>
      </w:pPr>
    </w:p>
    <w:p>
      <w:pPr>
        <w:ind w:right="640"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40"/>
          </w:cols>
          <w:pgMar w:left="320" w:top="135" w:right="339" w:bottom="1440" w:gutter="0" w:footer="0" w:header="0"/>
        </w:sectPr>
      </w:pPr>
    </w:p>
    <w:p>
      <w:pPr>
        <w:spacing w:after="0" w:line="22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Gene Sheridan</w:t>
      </w:r>
    </w:p>
    <w:p>
      <w:pPr>
        <w:ind w:left="680"/>
        <w:spacing w:after="0"/>
        <w:rPr>
          <w:sz w:val="20"/>
          <w:szCs w:val="20"/>
          <w:color w:val="auto"/>
        </w:rPr>
      </w:pPr>
      <w:r>
        <w:rPr>
          <w:rFonts w:ascii="Times New Roman" w:cs="Times New Roman" w:eastAsia="Times New Roman" w:hAnsi="Times New Roman"/>
          <w:sz w:val="18"/>
          <w:szCs w:val="18"/>
          <w:color w:val="auto"/>
        </w:rPr>
        <w:t>Gene Sheridan</w:t>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Ron Shelton</w:t>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Ron Shelton</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Daniel Kinzer</w:t>
      </w:r>
    </w:p>
    <w:p>
      <w:pPr>
        <w:ind w:left="680"/>
        <w:spacing w:after="0"/>
        <w:rPr>
          <w:sz w:val="20"/>
          <w:szCs w:val="20"/>
          <w:color w:val="auto"/>
        </w:rPr>
      </w:pPr>
      <w:r>
        <w:rPr>
          <w:rFonts w:ascii="Times New Roman" w:cs="Times New Roman" w:eastAsia="Times New Roman" w:hAnsi="Times New Roman"/>
          <w:sz w:val="18"/>
          <w:szCs w:val="18"/>
          <w:color w:val="auto"/>
        </w:rPr>
        <w:t>Daniel Kinzer</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Richard J. Hendrix</w:t>
      </w:r>
    </w:p>
    <w:p>
      <w:pPr>
        <w:ind w:left="680"/>
        <w:spacing w:after="0"/>
        <w:rPr>
          <w:sz w:val="20"/>
          <w:szCs w:val="20"/>
          <w:color w:val="auto"/>
        </w:rPr>
      </w:pPr>
      <w:r>
        <w:rPr>
          <w:rFonts w:ascii="Times New Roman" w:cs="Times New Roman" w:eastAsia="Times New Roman" w:hAnsi="Times New Roman"/>
          <w:sz w:val="18"/>
          <w:szCs w:val="18"/>
          <w:color w:val="auto"/>
        </w:rPr>
        <w:t>Richard J. Hendrix</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Brian Long</w:t>
      </w:r>
    </w:p>
    <w:p>
      <w:pPr>
        <w:ind w:left="680"/>
        <w:spacing w:after="0"/>
        <w:rPr>
          <w:sz w:val="20"/>
          <w:szCs w:val="20"/>
          <w:color w:val="auto"/>
        </w:rPr>
      </w:pPr>
      <w:r>
        <w:rPr>
          <w:rFonts w:ascii="Times New Roman" w:cs="Times New Roman" w:eastAsia="Times New Roman" w:hAnsi="Times New Roman"/>
          <w:sz w:val="18"/>
          <w:szCs w:val="18"/>
          <w:color w:val="auto"/>
        </w:rPr>
        <w:t>Brian Long</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David Moxam</w:t>
      </w:r>
    </w:p>
    <w:p>
      <w:pPr>
        <w:ind w:left="680"/>
        <w:spacing w:after="0"/>
        <w:rPr>
          <w:sz w:val="20"/>
          <w:szCs w:val="20"/>
          <w:color w:val="auto"/>
        </w:rPr>
      </w:pPr>
      <w:r>
        <w:rPr>
          <w:rFonts w:ascii="Times New Roman" w:cs="Times New Roman" w:eastAsia="Times New Roman" w:hAnsi="Times New Roman"/>
          <w:sz w:val="18"/>
          <w:szCs w:val="18"/>
          <w:color w:val="auto"/>
        </w:rPr>
        <w:t>David Moxam</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u w:val="single" w:color="auto"/>
          <w:color w:val="auto"/>
        </w:rPr>
        <w:t>/s/ Dipender Saluja</w:t>
      </w:r>
    </w:p>
    <w:p>
      <w:pPr>
        <w:ind w:left="680"/>
        <w:spacing w:after="0"/>
        <w:rPr>
          <w:sz w:val="20"/>
          <w:szCs w:val="20"/>
          <w:color w:val="auto"/>
        </w:rPr>
      </w:pPr>
      <w:r>
        <w:rPr>
          <w:rFonts w:ascii="Times New Roman" w:cs="Times New Roman" w:eastAsia="Times New Roman" w:hAnsi="Times New Roman"/>
          <w:sz w:val="18"/>
          <w:szCs w:val="18"/>
          <w:color w:val="auto"/>
        </w:rPr>
        <w:t>Dipender Saluja</w:t>
      </w:r>
    </w:p>
    <w:p>
      <w:pPr>
        <w:spacing w:after="0" w:line="5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auto"/>
        </w:rPr>
        <w:t>/s/ Gary K. Wunderlich, Jr.</w:t>
      </w:r>
    </w:p>
    <w:p>
      <w:pPr>
        <w:ind w:left="680"/>
        <w:spacing w:after="0"/>
        <w:rPr>
          <w:sz w:val="20"/>
          <w:szCs w:val="20"/>
          <w:color w:val="auto"/>
        </w:rPr>
      </w:pPr>
      <w:r>
        <w:rPr>
          <w:rFonts w:ascii="Times New Roman" w:cs="Times New Roman" w:eastAsia="Times New Roman" w:hAnsi="Times New Roman"/>
          <w:sz w:val="18"/>
          <w:szCs w:val="18"/>
          <w:color w:val="auto"/>
        </w:rPr>
        <w:t>Gary K. Wunderlich, Jr.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Operating Officer, Chief Technology Officer and Director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2023</w:t>
      </w:r>
    </w:p>
    <w:p>
      <w:pPr>
        <w:spacing w:after="0" w:line="238" w:lineRule="exact"/>
        <w:rPr>
          <w:sz w:val="20"/>
          <w:szCs w:val="20"/>
          <w:color w:val="auto"/>
        </w:rPr>
      </w:pPr>
    </w:p>
    <w:p>
      <w:pPr>
        <w:sectPr>
          <w:pgSz w:w="11900" w:h="16838" w:orient="portrait"/>
          <w:cols w:equalWidth="0" w:num="3">
            <w:col w:w="3120" w:space="720"/>
            <w:col w:w="5120" w:space="720"/>
            <w:col w:w="156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139"/>
          </w:cols>
          <w:pgMar w:left="320" w:top="135"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0"/>
          <w:szCs w:val="20"/>
          <w:color w:val="auto"/>
        </w:rPr>
      </w:pPr>
    </w:p>
    <w:p>
      <w:pPr>
        <w:spacing w:after="0" w:line="326" w:lineRule="exact"/>
        <w:rPr>
          <w:sz w:val="20"/>
          <w:szCs w:val="20"/>
          <w:color w:val="auto"/>
        </w:rPr>
      </w:pPr>
    </w:p>
    <w:p>
      <w:pPr>
        <w:jc w:val="both"/>
        <w:ind w:right="280"/>
        <w:spacing w:after="0" w:line="274" w:lineRule="auto"/>
        <w:rPr>
          <w:sz w:val="20"/>
          <w:szCs w:val="20"/>
          <w:color w:val="auto"/>
        </w:rPr>
      </w:pPr>
      <w:r>
        <w:rPr>
          <w:rFonts w:ascii="Times New Roman" w:cs="Times New Roman" w:eastAsia="Times New Roman" w:hAnsi="Times New Roman"/>
          <w:sz w:val="18"/>
          <w:szCs w:val="18"/>
          <w:color w:val="auto"/>
        </w:rPr>
        <w:t>As of December 31, 2021, Navitas Semiconductor Corporation (“Navitas”, “we”, “our”, “us” or the “Company”) had the following two forms of security registered under Section 12 of the Securities Exchange Act of 1934, as amended (the “Exchange Act”): (1) Class A Common Stock and (2) warrants, exercisable for one share of Class A Common Stock for $11.50 per share. We redeemed all warrants that remained outstanding and unexercised at 5:00 p.m. New York City time on March 7, 2022, pursuant to a notice of redemption we issued on February 4, 2022, in accordance with the terms and conditions of the warrant agreement governing the warrants. Accordingly, pursuant to a notification on Form 25 filed with the Securities and Exchange Commission (the “SEC”) on March 7, 2022 by Nasdaq Stock Market LLC pursuant to Exchange Act Rule 12d2-2(a)(2), as of March 7, 2022, the warrants ceased to be registered under Section 12 of the Exchange Act and ceased to be listed on the Nasdaq Stock Market. For more information about the redemption of the warrants, see Note 10, Warrant Liability, to our consolidated financial statements for the year ended December 31, 2022, included in Part II, Item 8 of our annual report on Form 10-K for the year ended December 31, 2022. For a description of the warrants provided in accordance with Regulation S-K Item 601(b)(4)(vi), see Exhibit 4.5 to the registrant’s annual report on Form 10-K for the year ended December 31, 2020, filed with the SEC on March 25, 2021, which exhibit is incorporated herein by reference only to the extent describing the warrants prior to their redemption.</w:t>
      </w:r>
    </w:p>
    <w:p>
      <w:pPr>
        <w:spacing w:after="0" w:line="215" w:lineRule="exact"/>
        <w:rPr>
          <w:sz w:val="20"/>
          <w:szCs w:val="20"/>
          <w:color w:val="auto"/>
        </w:rPr>
      </w:pPr>
    </w:p>
    <w:p>
      <w:pPr>
        <w:jc w:val="both"/>
        <w:ind w:right="280"/>
        <w:spacing w:after="0" w:line="297" w:lineRule="auto"/>
        <w:rPr>
          <w:sz w:val="20"/>
          <w:szCs w:val="20"/>
          <w:color w:val="auto"/>
        </w:rPr>
      </w:pPr>
      <w:r>
        <w:rPr>
          <w:rFonts w:ascii="Times New Roman" w:cs="Times New Roman" w:eastAsia="Times New Roman" w:hAnsi="Times New Roman"/>
          <w:sz w:val="18"/>
          <w:szCs w:val="18"/>
          <w:color w:val="auto"/>
        </w:rPr>
        <w:t>As of and following March 8, 2022 to the date of the filing that includes this exhibit, the only Navitas security registered under Section 12 of the Exchange Act is our Class A Common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Class A Common Stock</w:t>
      </w:r>
    </w:p>
    <w:p>
      <w:pPr>
        <w:spacing w:after="0" w:line="283" w:lineRule="exact"/>
        <w:rPr>
          <w:sz w:val="20"/>
          <w:szCs w:val="20"/>
          <w:color w:val="auto"/>
        </w:rPr>
      </w:pPr>
    </w:p>
    <w:p>
      <w:pPr>
        <w:jc w:val="both"/>
        <w:ind w:right="280"/>
        <w:spacing w:after="0" w:line="281" w:lineRule="auto"/>
        <w:rPr>
          <w:sz w:val="20"/>
          <w:szCs w:val="20"/>
          <w:color w:val="auto"/>
        </w:rPr>
      </w:pPr>
      <w:r>
        <w:rPr>
          <w:rFonts w:ascii="Times New Roman" w:cs="Times New Roman" w:eastAsia="Times New Roman" w:hAnsi="Times New Roman"/>
          <w:sz w:val="18"/>
          <w:szCs w:val="18"/>
          <w:color w:val="auto"/>
        </w:rPr>
        <w:t>The following description of our Class A Common Stock is based upon our Second Amended and Restated Certificate of Incorporation (our “certificate of incorporation”), our Amended and Restated Bylaws (our “bylaws”), and applicable provisions of law. We have summarized certain portions of our certificate of incorporation and bylaws below. The summary is not complete. The certificate of incorporation and bylaws are filed as exhibits to our annual reports on Form 10-K. You should read the certificate of incorporation and bylaws for the provisions that are important to you.</w:t>
      </w:r>
    </w:p>
    <w:p>
      <w:pPr>
        <w:spacing w:after="0" w:line="219"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(the “DGCL”) and of our certificate of incorporation and bylaws summarized in the following paragraphs may have an anti-takeover effect. This may delay, defer or prevent a tender offer or takeover attempt that a stockholder might consider in the stockholder’s best interests, including those attempts that might result in a premium over the market price for the shares held by such stockholder.</w:t>
      </w:r>
    </w:p>
    <w:p>
      <w:pPr>
        <w:spacing w:after="0" w:line="84" w:lineRule="exact"/>
        <w:rPr>
          <w:sz w:val="20"/>
          <w:szCs w:val="20"/>
          <w:color w:val="auto"/>
        </w:rPr>
      </w:pPr>
    </w:p>
    <w:p>
      <w:pPr>
        <w:jc w:val="both"/>
        <w:ind w:right="280"/>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authorizes us to issue a total of 751,000,000 shares of stock, all having a par value of $0.0001 per share, including (a) 750,000,000 shares of a class designated common stock (“Common Stock”), comprised of (i) 740,000,000 shares of a series of such class designated Class A Common Stock and (ii) 10,000,000 shares of a series of such class designated Class B Common Stock; and (b) 1,000,000 shares of a class designated preferred stock. (As of the end of the last fiscal year and the filing of the report in which this summary is included, there were 0 shares of Class B Common Stock and 0 shares of preferred stock outstanding. Neither the Class B Common Stock nor the preferred stock is registered under Section 12 of the Exchange Act.)</w:t>
      </w:r>
    </w:p>
    <w:p>
      <w:pPr>
        <w:spacing w:after="0" w:line="224" w:lineRule="exact"/>
        <w:rPr>
          <w:sz w:val="20"/>
          <w:szCs w:val="20"/>
          <w:color w:val="auto"/>
        </w:rPr>
      </w:pPr>
    </w:p>
    <w:p>
      <w:pPr>
        <w:jc w:val="both"/>
        <w:ind w:right="280"/>
        <w:spacing w:after="0" w:line="275" w:lineRule="auto"/>
        <w:rPr>
          <w:sz w:val="20"/>
          <w:szCs w:val="20"/>
          <w:color w:val="auto"/>
        </w:rPr>
      </w:pPr>
      <w:r>
        <w:rPr>
          <w:rFonts w:ascii="Times New Roman" w:cs="Times New Roman" w:eastAsia="Times New Roman" w:hAnsi="Times New Roman"/>
          <w:sz w:val="18"/>
          <w:szCs w:val="18"/>
          <w:color w:val="auto"/>
        </w:rPr>
        <w:t>We are authorized to issue additional shares of Class A Common Stock without further stockholder approval, except as may be required by applicable law or stock exchange regulations. Holders of shares of our Class A Common Stock, subject to the preferential rights of holders of any shares of preferred stock, are entitled to dividends when and as declared by our board of directors. Holders of our Class A Common Stock have one vote per share on all matters submitted to a vote of the stockholders, and the right to share pro rata in our net assets in liquidation after payment of any amounts due to creditors and in respect of any preferred stock. Holders of shares of our Class A Common Stock are not entitled as a matter of right to any preemptive or subscription rights, and are not entitled to cumulative voting in director elections. All issued and outstanding shares of Class A Common Stock are fully paid and non-assessable. Our Class A Common Stock is listed on The Nasdaq Stock Market under the trading symbol “NVTS.” The transfer agent and registrar for our Class A Common Stock is Continental Stock Transfer &amp; Trust Company.</w:t>
      </w:r>
    </w:p>
    <w:p>
      <w:pPr>
        <w:sectPr>
          <w:pgSz w:w="11900" w:h="16838" w:orient="portrait"/>
          <w:cols w:equalWidth="0" w:num="1">
            <w:col w:w="11240"/>
          </w:cols>
          <w:pgMar w:left="320" w:top="100" w:right="339" w:bottom="1440" w:gutter="0" w:footer="0" w:header="0"/>
        </w:sectPr>
      </w:pPr>
    </w:p>
    <w:bookmarkStart w:id="115" w:name="page116"/>
    <w:bookmarkEnd w:id="115"/>
    <w:p>
      <w:pPr>
        <w:jc w:val="both"/>
        <w:ind w:right="120"/>
        <w:spacing w:after="0" w:line="289"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such date as may be fixed by our board of directors and as stated in a written notice, which must be mailed or delivered to stockholders not less than 10 nor more than 60 days before the date of the meeting unless otherwise required by the DGCL.</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2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certificate of incorporation provides for a classified board of directors with three-year staggered terms, which may have the effect of deferring, delaying or discouraging hostile takeovers, or changes in control of us or our management.</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Our certificate of incorporation states that action may be taken by stockholders only at annual or special meetings of stockholders, and that stockholders may not act by written consent. The bylaws vest the power to call special meetings of stockholders only in our chairman of the board, our chief executive officer, or a majority of our board of directors. Special meetings may not be called by any other person.</w:t>
      </w:r>
    </w:p>
    <w:p>
      <w:pPr>
        <w:spacing w:after="0" w:line="19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No business may be transacted at an annual meeting of stockholders other than business specified in the company’s notice of meeting, or otherwise properly brought before the annual meeting by the board, or otherwise properly brought before the annual meeting by any stockholder of record entitled to vote at the meeting on the date notice of the meeting was given and on the record date for the meeting, provided the stockholder complies with the notice procedures set forth in the bylaws.</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To properly bring an item of business before an annual meeting, a stockholder must give timely notice to the company. To be timely, the notice must be received by the secretary of the company at its principal executive offices not later than the close of business on the 90th day nor earlier than the close of business on the 120th day before the anniversary date of the immediately preceding annual meeting of stockholders; provided, however, that in the event the annual meeting is more than 30 days before or more than 60 days after such anniversary date (or if there has been no prior annual meeting), then notice by the stockholder to be timely must be so received not earlier than the close of business on the 120th day before the meeting and not later than the later of (i) the close of business on the 90th day before the meeting or (ii) the close of business on the 10th day following the day on which public announcement of the date of the annual meeting is first made by the company.</w:t>
      </w:r>
    </w:p>
    <w:p>
      <w:pPr>
        <w:spacing w:after="0" w:line="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211" w:lineRule="exact"/>
        <w:rPr>
          <w:sz w:val="20"/>
          <w:szCs w:val="20"/>
          <w:color w:val="auto"/>
        </w:rPr>
      </w:pPr>
    </w:p>
    <w:p>
      <w:pPr>
        <w:ind w:left="1300" w:hanging="315"/>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27" w:lineRule="exact"/>
        <w:rPr>
          <w:rFonts w:ascii="Times New Roman" w:cs="Times New Roman" w:eastAsia="Times New Roman" w:hAnsi="Times New Roman"/>
          <w:sz w:val="18"/>
          <w:szCs w:val="18"/>
          <w:color w:val="auto"/>
        </w:rPr>
      </w:pPr>
    </w:p>
    <w:p>
      <w:pPr>
        <w:ind w:left="1300" w:right="400" w:hanging="321"/>
        <w:spacing w:after="0" w:line="273"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1" w:lineRule="exact"/>
        <w:rPr>
          <w:rFonts w:ascii="Times New Roman" w:cs="Times New Roman" w:eastAsia="Times New Roman" w:hAnsi="Times New Roman"/>
          <w:sz w:val="18"/>
          <w:szCs w:val="18"/>
          <w:color w:val="auto"/>
        </w:rPr>
      </w:pPr>
    </w:p>
    <w:p>
      <w:pPr>
        <w:jc w:val="both"/>
        <w:ind w:left="1300" w:right="240" w:hanging="320"/>
        <w:spacing w:after="0" w:line="286"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ectPr>
          <w:pgSz w:w="11900" w:h="16838" w:orient="portrait"/>
          <w:cols w:equalWidth="0" w:num="1">
            <w:col w:w="11080"/>
          </w:cols>
          <w:pgMar w:left="320" w:top="783" w:right="4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Subsidiaries of Navitas Semiconductor Corporation</w:t>
      </w:r>
    </w:p>
    <w:p>
      <w:pPr>
        <w:spacing w:after="0" w:line="200" w:lineRule="exact"/>
        <w:rPr>
          <w:sz w:val="20"/>
          <w:szCs w:val="20"/>
          <w:color w:val="auto"/>
        </w:rPr>
      </w:pPr>
    </w:p>
    <w:p>
      <w:pPr>
        <w:spacing w:after="0" w:line="32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3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Navitas Semiconductor Limited,</w:t>
            </w: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Ireland and Delaware</w:t>
            </w:r>
          </w:p>
        </w:tc>
        <w:tc>
          <w:tcPr>
            <w:tcW w:w="0" w:type="dxa"/>
            <w:vAlign w:val="bottom"/>
          </w:tcPr>
          <w:p>
            <w:pPr>
              <w:spacing w:after="0"/>
              <w:rPr>
                <w:sz w:val="1"/>
                <w:szCs w:val="1"/>
                <w:color w:val="auto"/>
              </w:rPr>
            </w:pPr>
          </w:p>
        </w:tc>
      </w:tr>
      <w:tr>
        <w:trPr>
          <w:trHeight w:val="184"/>
        </w:trPr>
        <w:tc>
          <w:tcPr>
            <w:tcW w:w="58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i w:val="1"/>
                <w:iCs w:val="1"/>
                <w:color w:val="auto"/>
              </w:rPr>
              <w:t>including as domesticated in Delaware as</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Navitas Semiconductor Ireland, LLC</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GeneSiC Semiconductor LLC</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Navitas Semiconductor USA, Inc.</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20" w:right="1640"/>
        <w:spacing w:after="0" w:line="237" w:lineRule="auto"/>
        <w:rPr>
          <w:sz w:val="20"/>
          <w:szCs w:val="20"/>
          <w:color w:val="auto"/>
        </w:rPr>
      </w:pPr>
      <w:r>
        <w:rPr>
          <w:rFonts w:ascii="Times New Roman" w:cs="Times New Roman" w:eastAsia="Times New Roman" w:hAnsi="Times New Roman"/>
          <w:sz w:val="18"/>
          <w:szCs w:val="18"/>
          <w:color w:val="auto"/>
        </w:rPr>
        <w:t>Excludes subsidiaries which, considered in the aggregate as a single subsidiary, would not constitute a significant subsidiary as defined in 17 CFR 210.1-02(w).</w:t>
      </w:r>
    </w:p>
    <w:p>
      <w:pPr>
        <w:sectPr>
          <w:pgSz w:w="11900" w:h="16838" w:orient="portrait"/>
          <w:cols w:equalWidth="0" w:num="1">
            <w:col w:w="10120"/>
          </w:cols>
          <w:pgMar w:left="1440" w:top="60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alibri" w:cs="Calibri" w:eastAsia="Calibri" w:hAnsi="Calibri"/>
          <w:sz w:val="20"/>
          <w:szCs w:val="20"/>
          <w:color w:val="auto"/>
        </w:rPr>
        <w:t>CONSENT OF INDEPENDENT REGISTERED PUBLIC ACCOUNTING FIRM</w:t>
      </w:r>
    </w:p>
    <w:p>
      <w:pPr>
        <w:spacing w:after="0" w:line="225" w:lineRule="exact"/>
        <w:rPr>
          <w:sz w:val="20"/>
          <w:szCs w:val="20"/>
          <w:color w:val="auto"/>
        </w:rPr>
      </w:pPr>
    </w:p>
    <w:p>
      <w:pPr>
        <w:jc w:val="both"/>
        <w:ind w:right="200"/>
        <w:spacing w:after="0" w:line="213" w:lineRule="auto"/>
        <w:rPr>
          <w:sz w:val="20"/>
          <w:szCs w:val="20"/>
          <w:color w:val="auto"/>
        </w:rPr>
      </w:pPr>
      <w:r>
        <w:rPr>
          <w:rFonts w:ascii="Calibri" w:cs="Calibri" w:eastAsia="Calibri" w:hAnsi="Calibri"/>
          <w:sz w:val="20"/>
          <w:szCs w:val="20"/>
          <w:color w:val="auto"/>
        </w:rPr>
        <w:t>We consent to the incorporaton by reference in Registraton Statement No. 333-262324 on Form S-8 of our report dated April 3, 2023, relatng to the consolidated fnancial statements of Navitas Semiconductor Corporaton and subsidiaries (“the Company”) appearing in this Annual Report on Form 10-K for the year ended December 31, 2022.</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color w:val="auto"/>
        </w:rPr>
        <w:t>/s/ Deloite &amp; Touche LLP</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Los Angeles, CA</w:t>
      </w:r>
    </w:p>
    <w:p>
      <w:pPr>
        <w:spacing w:after="0" w:line="212" w:lineRule="auto"/>
        <w:rPr>
          <w:sz w:val="20"/>
          <w:szCs w:val="20"/>
          <w:color w:val="auto"/>
        </w:rPr>
      </w:pPr>
      <w:r>
        <w:rPr>
          <w:rFonts w:ascii="Calibri" w:cs="Calibri" w:eastAsia="Calibri" w:hAnsi="Calibri"/>
          <w:sz w:val="20"/>
          <w:szCs w:val="20"/>
          <w:color w:val="auto"/>
        </w:rPr>
        <w:t>April 3, 2023</w:t>
      </w:r>
    </w:p>
    <w:p>
      <w:pPr>
        <w:sectPr>
          <w:pgSz w:w="11900" w:h="16838" w:orient="portrait"/>
          <w:cols w:equalWidth="0" w:num="1">
            <w:col w:w="11240"/>
          </w:cols>
          <w:pgMar w:left="320" w:top="10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Gene Sheridan, certify that:</w:t>
      </w:r>
    </w:p>
    <w:p>
      <w:pPr>
        <w:spacing w:after="0" w:line="158"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report on Form 10-K for the fiscal year ended December 31, 2022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8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2023</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40" w:type="dxa"/>
            <w:vAlign w:val="bottom"/>
          </w:tcPr>
          <w:p>
            <w:pPr>
              <w:spacing w:after="0"/>
              <w:rPr>
                <w:sz w:val="13"/>
                <w:szCs w:val="13"/>
                <w:color w:val="auto"/>
              </w:rPr>
            </w:pPr>
          </w:p>
        </w:tc>
        <w:tc>
          <w:tcPr>
            <w:tcW w:w="128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1480" w:type="dxa"/>
            <w:vAlign w:val="bottom"/>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27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54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 Shelton, certify that:</w:t>
      </w:r>
    </w:p>
    <w:p>
      <w:pPr>
        <w:spacing w:after="0" w:line="158"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report on Form 10-K for the fiscal year ended December 31, 2022 of Navitas Semiconductor Corporation;</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340" w:hanging="332"/>
        <w:spacing w:after="0" w:line="237"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4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8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26" w:lineRule="auto"/>
        <w:tabs>
          <w:tab w:leader="none" w:pos="84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740" w:hanging="408"/>
        <w:spacing w:after="0" w:line="237" w:lineRule="auto"/>
        <w:tabs>
          <w:tab w:leader="none" w:pos="86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Times New Roman" w:cs="Times New Roman" w:eastAsia="Times New Roman" w:hAnsi="Times New Roman"/>
          <w:sz w:val="18"/>
          <w:szCs w:val="18"/>
          <w:color w:val="auto"/>
        </w:rPr>
      </w:pPr>
    </w:p>
    <w:p>
      <w:pPr>
        <w:jc w:val="both"/>
        <w:ind w:left="740" w:hanging="408"/>
        <w:spacing w:after="0" w:line="231" w:lineRule="auto"/>
        <w:tabs>
          <w:tab w:leader="none" w:pos="7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340" w:hanging="332"/>
        <w:spacing w:after="0" w:line="250"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740" w:hanging="408"/>
        <w:spacing w:after="0" w:line="237" w:lineRule="auto"/>
        <w:tabs>
          <w:tab w:leader="none" w:pos="74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Times New Roman" w:cs="Times New Roman" w:eastAsia="Times New Roman" w:hAnsi="Times New Roman"/>
          <w:sz w:val="18"/>
          <w:szCs w:val="18"/>
          <w:color w:val="auto"/>
        </w:rPr>
      </w:pPr>
    </w:p>
    <w:p>
      <w:pPr>
        <w:ind w:left="740" w:hanging="408"/>
        <w:spacing w:after="0" w:line="237" w:lineRule="auto"/>
        <w:tabs>
          <w:tab w:leader="none" w:pos="74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2023</w:t>
            </w: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Ron Shelton</w:t>
            </w:r>
          </w:p>
        </w:tc>
      </w:tr>
      <w:tr>
        <w:trPr>
          <w:trHeight w:val="151"/>
        </w:trPr>
        <w:tc>
          <w:tcPr>
            <w:tcW w:w="5440" w:type="dxa"/>
            <w:vAlign w:val="bottom"/>
          </w:tcPr>
          <w:p>
            <w:pPr>
              <w:spacing w:after="0"/>
              <w:rPr>
                <w:sz w:val="13"/>
                <w:szCs w:val="13"/>
                <w:color w:val="auto"/>
              </w:rPr>
            </w:pPr>
          </w:p>
        </w:tc>
        <w:tc>
          <w:tcPr>
            <w:tcW w:w="11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Ron Shelton</w:t>
            </w:r>
          </w:p>
        </w:tc>
        <w:tc>
          <w:tcPr>
            <w:tcW w:w="2200" w:type="dxa"/>
            <w:vAlign w:val="bottom"/>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33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7"/>
              </w:rPr>
              <w:t>Sr. V.P., Chief Financial Officer and Treasurer</w:t>
            </w:r>
          </w:p>
        </w:tc>
      </w:tr>
      <w:tr>
        <w:trPr>
          <w:trHeight w:val="234"/>
        </w:trPr>
        <w:tc>
          <w:tcPr>
            <w:tcW w:w="544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906 of the Sarbanes-Oxley Act of 2002, in his capacity as an officer of Navitas Semiconductor Corporation (“Navitas”), that, to his knowledge, Navitas’ annual report on Form 10-K for the year ended December 31, 2022, fully complies with the requirements of Section 13(a) of the Securities Exchange Act of 1934 and that the information contained in such report fairly presents, in all material respects, the financial condition and results of operations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Navitas. This written statement is being furnished to the Securities and Exchange Commission as an exhibit to that Form 10-K. A signed original of this statement, which may be electronic, has been provided to Navitas and will be retained by Navitas and furnished to the Securities and Exchange Commission or its staff upon request.</w:t>
      </w: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2023</w:t>
            </w: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151"/>
        </w:trPr>
        <w:tc>
          <w:tcPr>
            <w:tcW w:w="544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color w:val="auto"/>
              </w:rPr>
              <w:t>Gene Sheridan</w:t>
            </w:r>
          </w:p>
        </w:tc>
        <w:tc>
          <w:tcPr>
            <w:tcW w:w="2800" w:type="dxa"/>
            <w:vAlign w:val="bottom"/>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40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44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2023</w:t>
            </w: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Ron Shelton</w:t>
            </w:r>
          </w:p>
        </w:tc>
      </w:tr>
      <w:tr>
        <w:trPr>
          <w:trHeight w:val="151"/>
        </w:trPr>
        <w:tc>
          <w:tcPr>
            <w:tcW w:w="5440" w:type="dxa"/>
            <w:vAlign w:val="bottom"/>
          </w:tcPr>
          <w:p>
            <w:pPr>
              <w:spacing w:after="0"/>
              <w:rPr>
                <w:sz w:val="13"/>
                <w:szCs w:val="13"/>
                <w:color w:val="auto"/>
              </w:rPr>
            </w:pPr>
          </w:p>
        </w:tc>
        <w:tc>
          <w:tcPr>
            <w:tcW w:w="11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Ron Shelton</w:t>
            </w:r>
          </w:p>
        </w:tc>
        <w:tc>
          <w:tcPr>
            <w:tcW w:w="2960" w:type="dxa"/>
            <w:vAlign w:val="bottom"/>
            <w:gridSpan w:val="2"/>
          </w:tcPr>
          <w:p>
            <w:pPr>
              <w:spacing w:after="0"/>
              <w:rPr>
                <w:sz w:val="13"/>
                <w:szCs w:val="13"/>
                <w:color w:val="auto"/>
              </w:rPr>
            </w:pPr>
          </w:p>
        </w:tc>
      </w:tr>
      <w:tr>
        <w:trPr>
          <w:trHeight w:val="180"/>
        </w:trPr>
        <w:tc>
          <w:tcPr>
            <w:tcW w:w="5440" w:type="dxa"/>
            <w:vAlign w:val="bottom"/>
          </w:tcPr>
          <w:p>
            <w:pPr>
              <w:spacing w:after="0"/>
              <w:rPr>
                <w:sz w:val="15"/>
                <w:szCs w:val="15"/>
                <w:color w:val="auto"/>
              </w:rPr>
            </w:pPr>
          </w:p>
        </w:tc>
        <w:tc>
          <w:tcPr>
            <w:tcW w:w="408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w w:val="98"/>
              </w:rPr>
              <w:t>Sr. Vice President, Chief Financial Officer and Treasurer</w:t>
            </w:r>
          </w:p>
        </w:tc>
      </w:tr>
      <w:tr>
        <w:trPr>
          <w:trHeight w:val="234"/>
        </w:trPr>
        <w:tc>
          <w:tcPr>
            <w:tcW w:w="544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lowerRoman"/>
      <w:start w:val="1"/>
    </w:lvl>
  </w:abstractNum>
  <w:abstractNum w:abstractNumId="29">
    <w:nsid w:val="419AC241"/>
    <w:multiLevelType w:val="hybridMultilevel"/>
    <w:lvl w:ilvl="0">
      <w:lvlJc w:val="left"/>
      <w:lvlText w:val="1"/>
      <w:numFmt w:val="bullet"/>
      <w:start w:val="1"/>
    </w:lvl>
  </w:abstractNum>
  <w:abstractNum w:abstractNumId="30">
    <w:nsid w:val="5577F8E1"/>
    <w:multiLevelType w:val="hybridMultilevel"/>
    <w:lvl w:ilvl="0">
      <w:lvlJc w:val="left"/>
      <w:lvlText w:val="%1."/>
      <w:numFmt w:val="decimal"/>
      <w:start w:val="2"/>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Letter"/>
      <w:start w:val="1"/>
    </w:lvl>
    <w:lvl w:ilvl="1">
      <w:lvlJc w:val="left"/>
      <w:lvlText w:val="(%2)"/>
      <w:numFmt w:val="decimal"/>
      <w:start w:val="2"/>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4"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37" Type="http://schemas.openxmlformats.org/officeDocument/2006/relationships/hyperlink" Target="https://www.sec.gov/Archives/edgar/data/0001821769/000119312521184774/d123657ds4.htm#toc123657_35" TargetMode="External"/><Relationship Id="rId138" Type="http://schemas.openxmlformats.org/officeDocument/2006/relationships/hyperlink" Target="https://www.sec.gov/Archives/edgar/data/1821769/000182176922000034/exhibit21-mergeragreementf.htm" TargetMode="External"/><Relationship Id="rId139" Type="http://schemas.openxmlformats.org/officeDocument/2006/relationships/hyperlink" Target="https://www.sec.gov/Archives/edgar/data/1821769/000119312521306726/d225525dex31.htm" TargetMode="External"/><Relationship Id="rId140" Type="http://schemas.openxmlformats.org/officeDocument/2006/relationships/hyperlink" Target="https://www.sec.gov/Archives/edgar/data/1821769/000119312521306726/d225525dex32.htm" TargetMode="External"/><Relationship Id="rId141" Type="http://schemas.openxmlformats.org/officeDocument/2006/relationships/hyperlink" Target="https://www.sec.gov/Archives/edgar/data/0001821769/000119312521329813/d606117dex105.htm" TargetMode="External"/><Relationship Id="rId142" Type="http://schemas.openxmlformats.org/officeDocument/2006/relationships/hyperlink" Target="http://www.sec.gov/Archives/edgar/data/1821769/000119312521306726/d225525dex106.htm" TargetMode="External"/><Relationship Id="rId143" Type="http://schemas.openxmlformats.org/officeDocument/2006/relationships/hyperlink" Target="http://www.sec.gov/Archives/edgar/data/1821769/000119312521306726/d225525dex107.htm" TargetMode="External"/><Relationship Id="rId144" Type="http://schemas.openxmlformats.org/officeDocument/2006/relationships/hyperlink" Target="https://www.sec.gov/Archives/edgar/data/1821769/000119312521253107/d123657dex1016.htm" TargetMode="External"/><Relationship Id="rId145" Type="http://schemas.openxmlformats.org/officeDocument/2006/relationships/hyperlink" Target="http://www.sec.gov/Archives/edgar/data/1821769/000121390020041432/ea131107ex4-1_liveoakacq2.htm" TargetMode="External"/><Relationship Id="rId146" Type="http://schemas.openxmlformats.org/officeDocument/2006/relationships/hyperlink" Target="http://www.sec.gov/Archives/edgar/data/1821769/000121390020041432/ea131107ex10-4_liveoakacq2.htm" TargetMode="External"/><Relationship Id="rId147" Type="http://schemas.openxmlformats.org/officeDocument/2006/relationships/hyperlink" Target="http://www.sec.gov/Archives/edgar/data/1821769/000121390020041432/ea131107ex10-3_liveoakacq2.htm" TargetMode="External"/><Relationship Id="rId148" Type="http://schemas.openxmlformats.org/officeDocument/2006/relationships/hyperlink" Target="http://www.sec.gov/Archives/edgar/data/1821769/000121390020041432/ea131107ex10-5_liveoakacq2.htm" TargetMode="External"/><Relationship Id="rId149" Type="http://schemas.openxmlformats.org/officeDocument/2006/relationships/hyperlink" Target="http://www.sec.gov/Archives/edgar/data/1821769/000121390020035053/fs12020ex10-2_liveoakacq2.htm" TargetMode="External"/><Relationship Id="rId150" Type="http://schemas.openxmlformats.org/officeDocument/2006/relationships/hyperlink" Target="https://www.sec.gov/Archives/edgar/data/1821769/000119312521306726/d225525dex104.htm" TargetMode="External"/><Relationship Id="rId151" Type="http://schemas.openxmlformats.org/officeDocument/2006/relationships/hyperlink" Target="http://www.sec.gov/Archives/edgar/data/1821769/000119312521154315/d306538dex101.htm" TargetMode="External"/><Relationship Id="rId152" Type="http://schemas.openxmlformats.org/officeDocument/2006/relationships/hyperlink" Target="http://www.sec.gov/Archives/edgar/data/1821769/000119312521154315/d306538dex102.htm" TargetMode="External"/><Relationship Id="rId153" Type="http://schemas.openxmlformats.org/officeDocument/2006/relationships/hyperlink" Target="http://www.sec.gov/Archives/edgar/data/1821769/000119312521154315/d306538dex103.htm" TargetMode="External"/><Relationship Id="rId155" Type="http://schemas.openxmlformats.org/officeDocument/2006/relationships/hyperlink" Target="http://www.sec.gov/Archives/edgar/data/1821769/000119312521154315/d306538dex104.htm" TargetMode="External"/><Relationship Id="rId156" Type="http://schemas.openxmlformats.org/officeDocument/2006/relationships/hyperlink" Target="http://www.sec.gov/Archives/edgar/data/1821769/000121390020041432/ea131107ex10-1_liveoakacq2.htm" TargetMode="External"/><Relationship Id="rId157" Type="http://schemas.openxmlformats.org/officeDocument/2006/relationships/hyperlink" Target="http://www.sec.gov/Archives/edgar/data/1821769/000121390020041432/ea131107ex10-2_liveoakacq2.htm" TargetMode="External"/><Relationship Id="rId158" Type="http://schemas.openxmlformats.org/officeDocument/2006/relationships/hyperlink" Target="http://www.sec.gov/Archives/edgar/data/1821769/000119312521154315/d306538dex105.htm" TargetMode="External"/><Relationship Id="rId159" Type="http://schemas.openxmlformats.org/officeDocument/2006/relationships/hyperlink" Target="https://www.sec.gov/Archives/edgar/data/1821769/000121390020038006/fs12020a1ex10-8_liveoak2.htm" TargetMode="External"/><Relationship Id="rId160" Type="http://schemas.openxmlformats.org/officeDocument/2006/relationships/hyperlink" Target="http://www.sec.gov/Archives/edgar/data/1821769/000119312521253107/d123657dex1014.htm" TargetMode="External"/><Relationship Id="rId161" Type="http://schemas.openxmlformats.org/officeDocument/2006/relationships/hyperlink" Target="http://www.sec.gov/Archives/edgar/data/1821769/000119312521253107/d123657dex1015.htm" TargetMode="External"/><Relationship Id="rId162" Type="http://schemas.openxmlformats.org/officeDocument/2006/relationships/hyperlink" Target="https://www.sec.gov/Archives/edgar/data/1821769/000119312521306726/d225525dex102.htm" TargetMode="External"/><Relationship Id="rId163" Type="http://schemas.openxmlformats.org/officeDocument/2006/relationships/hyperlink" Target="http://www.sec.gov/Archives/edgar/data/1821769/000119312521253107/d123657dex1017.htm" TargetMode="External"/><Relationship Id="rId164" Type="http://schemas.openxmlformats.org/officeDocument/2006/relationships/hyperlink" Target="http://www.sec.gov/Archives/edgar/data/1821769/000119312521154315/d306538dex106.htm" TargetMode="External"/><Relationship Id="rId165" Type="http://schemas.openxmlformats.org/officeDocument/2006/relationships/hyperlink" Target="https://www.sec.gov/Archives/edgar/data/1821769/000119312521293766/d210519dex103.htm" TargetMode="External"/><Relationship Id="rId166" Type="http://schemas.openxmlformats.org/officeDocument/2006/relationships/hyperlink" Target="https://www.sec.gov/Archives/edgar/data/1821769/000119312521293766/d210519dex102.htm" TargetMode="External"/><Relationship Id="rId167" Type="http://schemas.openxmlformats.org/officeDocument/2006/relationships/hyperlink" Target="https://www.sec.gov/Archives/edgar/data/0001821769/000162828022014541/exhibit105-stockrepurchase.htm" TargetMode="External"/><Relationship Id="rId168" Type="http://schemas.openxmlformats.org/officeDocument/2006/relationships/hyperlink" Target="https://www.sec.gov/Archives/edgar/data/1821769/000182176922000014/exhibit101-ronsheltonoffer.htm" TargetMode="External"/><Relationship Id="rId169" Type="http://schemas.openxmlformats.org/officeDocument/2006/relationships/hyperlink" Target="https://www.sec.gov/Archives/edgar/data/1821769/000182176922000034/exhibit101-registrationrig.htm" TargetMode="External"/><Relationship Id="rId170" Type="http://schemas.openxmlformats.org/officeDocument/2006/relationships/hyperlink" Target="https://www.sec.gov/Archives/edgar/data/1821769/000182176922000034/navitassemiconductor2022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2023-04-03T10:18:26Z</dcterms:created>
  <dcterms:modified xsi:type="dcterms:W3CDTF">2023-04-03T10:18:26Z</dcterms:modified>
</cp:coreProperties>
</file>