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Navitas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Ranbir Singh</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17141 Collins Ave, Unit 4301,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Sunny Isles Beach, FL, 33160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703-468-0487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spacing w:after="0" w:line="8"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Singh Ranbir</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7" w:orient="portrait"/>
          <w:cols w:equalWidth="0" w:num="1">
            <w:col w:w="11000"/>
          </w:cols>
          <w:pgMar w:left="360" w:top="111" w:right="5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14,943,475.00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14,943,475.00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14,943,475.00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7" w:orient="portrait"/>
          <w:cols w:equalWidth="0" w:num="2">
            <w:col w:w="1060" w:space="60"/>
            <w:col w:w="9880"/>
          </w:cols>
          <w:pgMar w:left="360" w:top="111" w:right="5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Navitas Semiconductor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3520 CHALLENGER ST., TORRANCE, CALIFORNIA , 90503.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Item 4 is hereby amended to add the following: Dr. Singh is pleased by the Board's decision to seek to declassify itself through the inclusion of a declassification proposal for stockholder approval in the Issuer's recently filed proxy statement. Dr. Singh looks forward to continuing to work constructively with his fellow Board members to support the Issuer and enhance value for all stockholders.</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47" w:orient="portrait"/>
          <w:cols w:equalWidth="0" w:num="1">
            <w:col w:w="11000"/>
          </w:cols>
          <w:pgMar w:left="360" w:top="111" w:right="539" w:bottom="0" w:gutter="0" w:footer="0" w:header="0"/>
          <w:type w:val="continuous"/>
        </w:sectPr>
      </w:pPr>
    </w:p>
    <w:bookmarkStart w:id="2" w:name="page3"/>
    <w:bookmarkEnd w:id="2"/>
    <w:p>
      <w:pPr>
        <w:jc w:val="both"/>
        <w:ind w:left="940" w:right="420" w:hanging="932"/>
        <w:spacing w:after="0" w:line="251"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as follows: As of the date hereof, Dr. Singh beneficially owned directly 14,943,475 Shares, constituting approximately 6.4% of the Shares outstanding, which is based upon 233,713,166 Shares outstanding, as of May 8, 2026, which is the total number of Shares outstanding as reported in the Issuer's Prospectus on Form 424B5 filed with the Securities and Exchange Commission on May 11, 2026.</w:t>
      </w:r>
    </w:p>
    <w:p>
      <w:pPr>
        <w:spacing w:after="0" w:line="16" w:lineRule="exact"/>
        <w:rPr>
          <w:sz w:val="20"/>
          <w:szCs w:val="20"/>
          <w:color w:val="auto"/>
        </w:rPr>
      </w:pPr>
    </w:p>
    <w:p>
      <w:pPr>
        <w:jc w:val="both"/>
        <w:ind w:left="940" w:right="26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to add the following: The transactions in the Shares by the Reporting Person since the filing of Amendment No. 2 to the Schedule 13D are set forth in Exhibit 1 and are incorporated herein by reference.</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Singh Ranbir</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Ranbir Singh</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Ranbir Singh</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ectPr>
          <w:pgSz w:w="11900" w:h="16838" w:orient="portrait"/>
          <w:cols w:equalWidth="0" w:num="1">
            <w:col w:w="11140"/>
          </w:cols>
          <w:pgMar w:left="360" w:top="111"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Shares of the Issuer Since the Filing of Amendment No. 2 to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100" w:type="dxa"/>
            <w:vAlign w:val="bottom"/>
          </w:tcPr>
          <w:p>
            <w:pPr>
              <w:spacing w:after="0"/>
              <w:rPr>
                <w:sz w:val="16"/>
                <w:szCs w:val="16"/>
                <w:color w:val="auto"/>
              </w:rPr>
            </w:pPr>
          </w:p>
        </w:tc>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Class of Security</w:t>
            </w:r>
          </w:p>
        </w:tc>
        <w:tc>
          <w:tcPr>
            <w:tcW w:w="23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2900" w:type="dxa"/>
            <w:vAlign w:val="bottom"/>
            <w:gridSpan w:val="3"/>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412"/>
        </w:trPr>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RANBIR SINGH</w:t>
            </w:r>
          </w:p>
        </w:tc>
        <w:tc>
          <w:tcPr>
            <w:tcW w:w="6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3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Class A Common Stock</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(3,060,118)</w:t>
            </w:r>
          </w:p>
        </w:tc>
        <w:tc>
          <w:tcPr>
            <w:tcW w:w="3560" w:type="dxa"/>
            <w:vAlign w:val="bottom"/>
            <w:gridSpan w:val="5"/>
            <w:shd w:val="clear" w:color="auto" w:fill="CCEEFF"/>
          </w:tcPr>
          <w:p>
            <w:pPr>
              <w:ind w:left="1920"/>
              <w:spacing w:after="0" w:line="256" w:lineRule="exact"/>
              <w:rPr>
                <w:sz w:val="20"/>
                <w:szCs w:val="20"/>
                <w:color w:val="auto"/>
              </w:rPr>
            </w:pPr>
            <w:r>
              <w:rPr>
                <w:rFonts w:ascii="Times New Roman" w:cs="Times New Roman" w:eastAsia="Times New Roman" w:hAnsi="Times New Roman"/>
                <w:sz w:val="18"/>
                <w:szCs w:val="18"/>
                <w:color w:val="auto"/>
              </w:rPr>
              <w:t>29.2862</w:t>
            </w:r>
            <w:r>
              <w:rPr>
                <w:rFonts w:ascii="Times New Roman" w:cs="Times New Roman" w:eastAsia="Times New Roman" w:hAnsi="Times New Roman"/>
                <w:sz w:val="29"/>
                <w:szCs w:val="29"/>
                <w:color w:val="auto"/>
                <w:vertAlign w:val="superscript"/>
              </w:rPr>
              <w:t>1</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05/27/2026</w:t>
            </w:r>
          </w:p>
        </w:tc>
        <w:tc>
          <w:tcPr>
            <w:tcW w:w="900" w:type="dxa"/>
            <w:vAlign w:val="bottom"/>
            <w:shd w:val="clear" w:color="auto" w:fill="CCEEFF"/>
          </w:tcPr>
          <w:p>
            <w:pPr>
              <w:spacing w:after="0"/>
              <w:rPr>
                <w:sz w:val="22"/>
                <w:szCs w:val="22"/>
                <w:color w:val="auto"/>
              </w:rPr>
            </w:pPr>
          </w:p>
        </w:tc>
      </w:tr>
      <w:tr>
        <w:trPr>
          <w:trHeight w:val="394"/>
        </w:trPr>
        <w:tc>
          <w:tcPr>
            <w:tcW w:w="3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Class A Common Stock</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(664,058)</w:t>
            </w:r>
          </w:p>
        </w:tc>
        <w:tc>
          <w:tcPr>
            <w:tcW w:w="3560" w:type="dxa"/>
            <w:vAlign w:val="bottom"/>
            <w:gridSpan w:val="5"/>
          </w:tcPr>
          <w:p>
            <w:pPr>
              <w:ind w:left="1920"/>
              <w:spacing w:after="0"/>
              <w:rPr>
                <w:sz w:val="20"/>
                <w:szCs w:val="20"/>
                <w:color w:val="auto"/>
              </w:rPr>
            </w:pPr>
            <w:r>
              <w:rPr>
                <w:rFonts w:ascii="Times New Roman" w:cs="Times New Roman" w:eastAsia="Times New Roman" w:hAnsi="Times New Roman"/>
                <w:sz w:val="18"/>
                <w:szCs w:val="18"/>
                <w:color w:val="auto"/>
              </w:rPr>
              <w:t>28.7201</w:t>
            </w:r>
            <w:r>
              <w:rPr>
                <w:rFonts w:ascii="Times New Roman" w:cs="Times New Roman" w:eastAsia="Times New Roman" w:hAnsi="Times New Roman"/>
                <w:sz w:val="29"/>
                <w:szCs w:val="29"/>
                <w:color w:val="auto"/>
                <w:vertAlign w:val="superscript"/>
              </w:rPr>
              <w:t>2</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05/28/2026</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23869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199"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reported is a weighted average price. These Shares were sold in multiple transactions at prices ranging from $28.5600 to $31.9400, per share.</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price reported is a weighted average price. These Shares were sold in multiple transactions at prices ranging from $28.4400 to $29.4300, per share.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2026-05-29T18:28:10Z</dcterms:created>
  <dcterms:modified xsi:type="dcterms:W3CDTF">2026-05-29T18:28:10Z</dcterms:modified>
</cp:coreProperties>
</file>