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4896-1_s4.htm"/>
        <w:bookmarkStart w:id="1" w:name="kstm26248961_s4"/>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September 8,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60"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1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8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3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31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S-4</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UNDER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90" w:after="283"/>
        <w:jc w:val="center"/>
        <w:rPr>
          <w:caps w:val="false"/>
          <w:smallCaps w:val="false"/>
          <w:color w:val="000000"/>
        </w:rPr>
      </w:pPr>
      <w:r>
        <w:rPr>
          <w:caps w:val="false"/>
          <w:smallCaps w:val="false"/>
          <w:color w:val="000000"/>
        </w:rPr>
        <w:drawing>
          <wp:inline distT="0" distB="0" distL="0" distR="0">
            <wp:extent cx="1371600" cy="4000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71600" cy="400050"/>
                    </a:xfrm>
                    <a:prstGeom prst="rect">
                      <a:avLst/>
                    </a:prstGeom>
                  </pic:spPr>
                </pic:pic>
              </a:graphicData>
            </a:graphic>
          </wp:inline>
        </w:drawing>
      </w:r>
      <w:r>
        <w:rPr>
          <w:caps w:val="false"/>
          <w:smallCaps w:val="false"/>
          <w:color w:val="000000"/>
        </w:rPr>
        <w:t xml:space="preserve"> </w:t>
      </w:r>
    </w:p>
    <w:p>
      <w:pPr>
        <w:pStyle w:val="TextBody"/>
        <w:bidi w:val="0"/>
        <w:spacing w:lineRule="atLeast" w:line="310" w:before="38"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Navitas Semiconductor Corporation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pacing w:val="3"/>
          <w:sz w:val="14"/>
        </w:rPr>
      </w:pPr>
      <w:r>
        <w:rPr>
          <w:rFonts w:ascii="Times New Roman;Times;serif" w:hAnsi="Times New Roman;Times;serif"/>
          <w:b w:val="false"/>
          <w:i w:val="false"/>
          <w:caps w:val="false"/>
          <w:smallCaps w:val="false"/>
          <w:color w:val="000000"/>
          <w:spacing w:val="3"/>
          <w:sz w:val="14"/>
        </w:rPr>
        <w:t xml:space="preserve">(Exact name of registrant as specified in its charter) </w:t>
      </w:r>
    </w:p>
    <w:tbl>
      <w:tblPr>
        <w:tblW w:w="7224" w:type="dxa"/>
        <w:jc w:val="left"/>
        <w:tblInd w:w="540" w:type="dxa"/>
        <w:tblLayout w:type="fixed"/>
        <w:tblCellMar>
          <w:top w:w="0" w:type="dxa"/>
          <w:left w:w="0" w:type="dxa"/>
          <w:bottom w:w="0" w:type="dxa"/>
          <w:right w:w="0" w:type="dxa"/>
        </w:tblCellMar>
      </w:tblPr>
      <w:tblGrid>
        <w:gridCol w:w="124"/>
        <w:gridCol w:w="3058"/>
        <w:gridCol w:w="109"/>
        <w:gridCol w:w="109"/>
        <w:gridCol w:w="367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60" w:before="0"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0" w:type="dxa"/>
            <w:tcBorders/>
            <w:vAlign w:val="center"/>
          </w:tcPr>
          <w:p>
            <w:pPr>
              <w:pStyle w:val="TableContents"/>
              <w:bidi w:val="0"/>
              <w:spacing w:before="0" w:after="0"/>
              <w:jc w:val="center"/>
              <w:rPr>
                <w:b/>
                <w:sz w:val="18"/>
              </w:rPr>
            </w:pPr>
            <w:r>
              <w:rPr>
                <w:b/>
                <w:spacing w:val="-4"/>
                <w:sz w:val="18"/>
              </w:rPr>
              <w:t>85-2560226</w:t>
            </w:r>
            <w:r>
              <w:rPr>
                <w:b/>
                <w:sz w:val="18"/>
              </w:rPr>
              <w:t xml:space="preserve"> </w:t>
            </w:r>
          </w:p>
          <w:p>
            <w:pPr>
              <w:pStyle w:val="TableContents"/>
              <w:bidi w:val="0"/>
              <w:spacing w:before="0" w:after="283"/>
              <w:jc w:val="center"/>
              <w:rPr/>
            </w:pPr>
            <w:r>
              <w:rPr>
                <w:spacing w:val="3"/>
              </w:rPr>
              <w:t>(I.R.S. Employer 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1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3520 Challenger Street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Torrance, California 90503-1640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(844) 654-2642</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60" w:before="4"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(Address, including zip code, and telephone number,</w:t>
      </w:r>
      <w:r>
        <w:rPr>
          <w:rFonts w:ascii="Times New Roman;Times;serif" w:hAnsi="Times New Roman;Times;serif"/>
          <w:b w:val="false"/>
          <w:i w:val="false"/>
          <w:caps w:val="false"/>
          <w:smallCaps w:val="false"/>
          <w:color w:val="000000"/>
          <w:sz w:val="14"/>
        </w:rPr>
        <w:t xml:space="preserve"> </w:t>
        <w:br/>
      </w:r>
      <w:r>
        <w:rPr>
          <w:rFonts w:ascii="Times New Roman;Times;serif" w:hAnsi="Times New Roman;Times;serif"/>
          <w:b w:val="false"/>
          <w:i w:val="false"/>
          <w:caps w:val="false"/>
          <w:smallCaps w:val="false"/>
          <w:color w:val="000000"/>
          <w:spacing w:val="3"/>
          <w:sz w:val="14"/>
        </w:rPr>
        <w:t xml:space="preserve">including area code, of registrant’s principal executive offices)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Matthew Sant,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Senior Vice President, General Counsel and Secretary</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Navitas Semiconductor Corporation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3520 Challenger Street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Torrance, California 90503-1640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(844) 654-2642</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60" w:before="4" w:after="283"/>
        <w:jc w:val="center"/>
        <w:rPr>
          <w:rFonts w:ascii="Times New Roman;Times;serif" w:hAnsi="Times New Roman;Times;serif"/>
          <w:b w:val="false"/>
          <w:i w:val="false"/>
          <w:caps w:val="false"/>
          <w:smallCaps w:val="false"/>
          <w:color w:val="000000"/>
          <w:sz w:val="14"/>
        </w:rPr>
      </w:pPr>
      <w:r>
        <w:rPr>
          <w:rFonts w:ascii="Times New Roman;Times;serif" w:hAnsi="Times New Roman;Times;serif"/>
          <w:b w:val="false"/>
          <w:i w:val="false"/>
          <w:caps w:val="false"/>
          <w:smallCaps w:val="false"/>
          <w:color w:val="000000"/>
          <w:spacing w:val="3"/>
          <w:sz w:val="14"/>
        </w:rPr>
        <w:t>(Name, address, including zip code, and telephone number,</w:t>
      </w:r>
      <w:r>
        <w:rPr>
          <w:rFonts w:ascii="Times New Roman;Times;serif" w:hAnsi="Times New Roman;Times;serif"/>
          <w:b w:val="false"/>
          <w:i w:val="false"/>
          <w:caps w:val="false"/>
          <w:smallCaps w:val="false"/>
          <w:color w:val="000000"/>
          <w:sz w:val="14"/>
        </w:rPr>
        <w:t xml:space="preserve"> </w:t>
        <w:br/>
      </w:r>
      <w:r>
        <w:rPr>
          <w:rFonts w:ascii="Times New Roman;Times;serif" w:hAnsi="Times New Roman;Times;serif"/>
          <w:b w:val="false"/>
          <w:i w:val="false"/>
          <w:caps w:val="false"/>
          <w:smallCaps w:val="false"/>
          <w:color w:val="000000"/>
          <w:spacing w:val="3"/>
          <w:sz w:val="14"/>
        </w:rPr>
        <w:t xml:space="preserve">including area code, of agent for service) </w:t>
      </w:r>
    </w:p>
    <w:p>
      <w:pPr>
        <w:pStyle w:val="TextBody"/>
        <w:bidi w:val="0"/>
        <w:spacing w:lineRule="atLeast" w:line="20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Copy to: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Katheryn A. Gettman,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Kevin J. Roggow,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Cozen O’Connor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Three World Trade Center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175 Greenwich Street, 56th Floor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New York, New York 10007</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(212) 908-1294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60" w:after="283"/>
        <w:ind w:left="540" w:right="0" w:firstLine="400"/>
        <w:jc w:val="both"/>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 xml:space="preserve">Approximate date of commencement of proposed sale to the public: </w:t>
      </w:r>
      <w:r>
        <w:rPr>
          <w:rFonts w:ascii="Times New Roman;Times;serif" w:hAnsi="Times New Roman;Times;serif"/>
          <w:b/>
          <w:i w:val="false"/>
          <w:caps w:val="false"/>
          <w:smallCaps w:val="false"/>
          <w:color w:val="000000"/>
          <w:spacing w:val="-4"/>
          <w:sz w:val="18"/>
        </w:rPr>
        <w:t>From time to time after the effective date of this registration statement.</w:t>
      </w:r>
      <w:r>
        <w:rPr>
          <w:rFonts w:ascii="Times New Roman;Times;serif" w:hAnsi="Times New Roman;Times;serif"/>
          <w:b w:val="false"/>
          <w:i w:val="false"/>
          <w:caps w:val="false"/>
          <w:smallCaps w:val="false"/>
          <w:color w:val="000000"/>
          <w:spacing w:val="4"/>
          <w:sz w:val="18"/>
        </w:rPr>
        <w:t xml:space="preserve"> </w:t>
      </w:r>
    </w:p>
    <w:p>
      <w:pPr>
        <w:pStyle w:val="TextBody"/>
        <w:bidi w:val="0"/>
        <w:spacing w:lineRule="atLeast" w:line="20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lineRule="atLeast" w:line="20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6288" w:type="dxa"/>
        <w:jc w:val="left"/>
        <w:tblInd w:w="540" w:type="dxa"/>
        <w:tblLayout w:type="fixed"/>
        <w:tblCellMar>
          <w:top w:w="0" w:type="dxa"/>
          <w:left w:w="0" w:type="dxa"/>
          <w:bottom w:w="0" w:type="dxa"/>
          <w:right w:w="0" w:type="dxa"/>
        </w:tblCellMar>
      </w:tblPr>
      <w:tblGrid>
        <w:gridCol w:w="124"/>
        <w:gridCol w:w="2776"/>
        <w:gridCol w:w="109"/>
        <w:gridCol w:w="109"/>
        <w:gridCol w:w="301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24000" cy="350520"/>
                      <wp:effectExtent l="0" t="0" r="0" b="0"/>
                      <wp:wrapSquare wrapText="right"/>
                      <wp:docPr id="3"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6" w:type="dxa"/>
            <w:tcBorders/>
            <w:vAlign w:val="center"/>
          </w:tcPr>
          <w:p>
            <w:pPr>
              <w:pStyle w:val="TableContents"/>
              <w:bidi w:val="0"/>
              <w:spacing w:lineRule="atLeast" w:line="180" w:before="0" w:after="0"/>
              <w:ind w:left="2640" w:right="0" w:hanging="0"/>
              <w:jc w:val="left"/>
              <w:rPr>
                <w:spacing w:val="4"/>
              </w:rPr>
            </w:pPr>
            <w:r>
              <w:rPr>
                <w:spacing w:val="4"/>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6764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16764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3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6" w:type="dxa"/>
            <w:tcBorders/>
            <w:vAlign w:val="center"/>
          </w:tcPr>
          <w:p>
            <w:pPr>
              <w:pStyle w:val="TableContents"/>
              <w:bidi w:val="0"/>
              <w:spacing w:lineRule="atLeast" w:line="180" w:before="0" w:after="0"/>
              <w:ind w:left="26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676400" cy="525780"/>
                      <wp:effectExtent l="0" t="0" r="0" b="0"/>
                      <wp:wrapSquare wrapText="right"/>
                      <wp:docPr id="6" name="Frame4"/>
                      <a:graphic xmlns:a="http://schemas.openxmlformats.org/drawingml/2006/main">
                        <a:graphicData uri="http://schemas.microsoft.com/office/word/2010/wordprocessingShape">
                          <wps:wsp>
                            <wps:cNvSpPr txBox="1"/>
                            <wps:spPr>
                              <a:xfrm>
                                <a:off x="0" y="0"/>
                                <a:ext cx="16764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3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6" w:type="dxa"/>
            <w:tcBorders/>
            <w:vAlign w:val="center"/>
          </w:tcPr>
          <w:p>
            <w:pPr>
              <w:pStyle w:val="TableContents"/>
              <w:bidi w:val="0"/>
              <w:spacing w:lineRule="atLeast" w:line="180" w:before="0" w:after="0"/>
              <w:ind w:left="2640" w:right="0" w:hanging="0"/>
              <w:jc w:val="left"/>
              <w:rPr/>
            </w:pPr>
            <w:r>
              <w:rPr>
                <w:spacing w:val="4"/>
              </w:rPr>
              <w:t>☐</w:t>
            </w:r>
            <w:r>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676400" cy="525780"/>
                      <wp:effectExtent l="0" t="0" r="0" b="0"/>
                      <wp:wrapSquare wrapText="right"/>
                      <wp:docPr id="7" name="Frame5"/>
                      <a:graphic xmlns:a="http://schemas.openxmlformats.org/drawingml/2006/main">
                        <a:graphicData uri="http://schemas.microsoft.com/office/word/2010/wordprocessingShape">
                          <wps:wsp>
                            <wps:cNvSpPr txBox="1"/>
                            <wps:spPr>
                              <a:xfrm>
                                <a:off x="0" y="0"/>
                                <a:ext cx="16764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3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176"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210" w:before="6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applicable, place an X in the box to designate the appropriate rule provision relied up on in conducting this transaction: </w:t>
      </w:r>
    </w:p>
    <w:p>
      <w:pPr>
        <w:pStyle w:val="TextBody"/>
        <w:bidi w:val="0"/>
        <w:spacing w:lineRule="atLeast" w:line="210" w:before="6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13e-4(i) (Cross-Border Issuer Tender Offer) ☐ </w:t>
      </w:r>
    </w:p>
    <w:p>
      <w:pPr>
        <w:pStyle w:val="TextBody"/>
        <w:bidi w:val="0"/>
        <w:spacing w:lineRule="atLeast" w:line="210" w:before="60" w:after="283"/>
        <w:ind w:left="940" w:right="0" w:hanging="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Exchange Act Rule 14d-1(d) (Cross-Border Third Party Tender Offer) ☐ </w:t>
      </w:r>
    </w:p>
    <w:p>
      <w:pPr>
        <w:pStyle w:val="TextBody"/>
        <w:bidi w:val="0"/>
        <w:spacing w:before="13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86"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9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September 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Navitas Semiconductor Corporation</w:t>
      </w:r>
      <w:r>
        <w:rPr>
          <w:rFonts w:ascii="Times New Roman;Times;serif" w:hAnsi="Times New Roman;Times;serif"/>
          <w:b/>
          <w:i w:val="false"/>
          <w:caps w:val="false"/>
          <w:smallCaps w:val="false"/>
          <w:color w:val="000000"/>
          <w:spacing w:val="6"/>
          <w:sz w:val="32"/>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1924050" cy="5619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924050" cy="561975"/>
                    </a:xfrm>
                    <a:prstGeom prst="rect">
                      <a:avLst/>
                    </a:prstGeom>
                  </pic:spPr>
                </pic:pic>
              </a:graphicData>
            </a:graphic>
          </wp:inline>
        </w:drawing>
      </w:r>
      <w:r>
        <w:rPr>
          <w:caps w:val="false"/>
          <w:smallCaps w:val="false"/>
          <w:color w:val="000000"/>
        </w:rPr>
        <w:t xml:space="preserve"> </w:t>
      </w:r>
    </w:p>
    <w:p>
      <w:pPr>
        <w:pStyle w:val="TextBody"/>
        <w:bidi w:val="0"/>
        <w:spacing w:lineRule="atLeast" w:line="280" w:before="3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8,202,598 Shares of Class A Common Stock</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240" w:after="283"/>
        <w:ind w:left="175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relates to the offering of up to 8,202,598 shares of Class A common stock, par value $0.0001 per share (our “</w:t>
      </w:r>
      <w:r>
        <w:rPr>
          <w:rFonts w:ascii="Times New Roman;Times;serif" w:hAnsi="Times New Roman;Times;serif"/>
          <w:b w:val="false"/>
          <w:i/>
          <w:caps w:val="false"/>
          <w:smallCaps w:val="false"/>
          <w:color w:val="000000"/>
          <w:spacing w:val="4"/>
          <w:sz w:val="20"/>
        </w:rPr>
        <w:t>Class A Common Stock</w:t>
      </w:r>
      <w:r>
        <w:rPr>
          <w:rFonts w:ascii="Times New Roman;Times;serif" w:hAnsi="Times New Roman;Times;serif"/>
          <w:b w:val="false"/>
          <w:i w:val="false"/>
          <w:caps w:val="false"/>
          <w:smallCaps w:val="false"/>
          <w:color w:val="000000"/>
          <w:spacing w:val="4"/>
          <w:sz w:val="20"/>
        </w:rPr>
        <w:t>”), of Navitas Semiconductor Corporation, a Delaware corporation, (“</w:t>
      </w:r>
      <w:r>
        <w:rPr>
          <w:rFonts w:ascii="Times New Roman;Times;serif" w:hAnsi="Times New Roman;Times;serif"/>
          <w:b w:val="false"/>
          <w:i/>
          <w:caps w:val="false"/>
          <w:smallCaps w:val="false"/>
          <w:color w:val="000000"/>
          <w:spacing w:val="4"/>
          <w:sz w:val="20"/>
        </w:rPr>
        <w:t>Navitas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val="false"/>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which we may issue pursuant to that certain Agreement and Plan of Merger, dated as of August 24, 2026 (the “</w:t>
      </w:r>
      <w:r>
        <w:rPr>
          <w:rFonts w:ascii="Times New Roman;Times;serif" w:hAnsi="Times New Roman;Times;serif"/>
          <w:b w:val="false"/>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by and among the Company, Claros, Inc., a Delaware corporation (“</w:t>
      </w:r>
      <w:r>
        <w:rPr>
          <w:rFonts w:ascii="Times New Roman;Times;serif" w:hAnsi="Times New Roman;Times;serif"/>
          <w:b w:val="false"/>
          <w:i/>
          <w:caps w:val="false"/>
          <w:smallCaps w:val="false"/>
          <w:color w:val="000000"/>
          <w:spacing w:val="4"/>
          <w:sz w:val="20"/>
        </w:rPr>
        <w:t>Claros</w:t>
      </w:r>
      <w:r>
        <w:rPr>
          <w:rFonts w:ascii="Times New Roman;Times;serif" w:hAnsi="Times New Roman;Times;serif"/>
          <w:b w:val="false"/>
          <w:i w:val="false"/>
          <w:caps w:val="false"/>
          <w:smallCaps w:val="false"/>
          <w:color w:val="000000"/>
          <w:spacing w:val="4"/>
          <w:sz w:val="20"/>
        </w:rPr>
        <w:t>”), Compass Merger Sub 1 Inc., a Delaware corporation (“</w:t>
      </w:r>
      <w:r>
        <w:rPr>
          <w:rFonts w:ascii="Times New Roman;Times;serif" w:hAnsi="Times New Roman;Times;serif"/>
          <w:b w:val="false"/>
          <w:i/>
          <w:caps w:val="false"/>
          <w:smallCaps w:val="false"/>
          <w:color w:val="000000"/>
          <w:spacing w:val="4"/>
          <w:sz w:val="20"/>
        </w:rPr>
        <w:t>Merger Sub 1</w:t>
      </w:r>
      <w:r>
        <w:rPr>
          <w:rFonts w:ascii="Times New Roman;Times;serif" w:hAnsi="Times New Roman;Times;serif"/>
          <w:b w:val="false"/>
          <w:i w:val="false"/>
          <w:caps w:val="false"/>
          <w:smallCaps w:val="false"/>
          <w:color w:val="000000"/>
          <w:spacing w:val="4"/>
          <w:sz w:val="20"/>
        </w:rPr>
        <w:t>”), Compass Merger Sub 2 LLC, a Delaware limited liability company (“</w:t>
      </w:r>
      <w:r>
        <w:rPr>
          <w:rFonts w:ascii="Times New Roman;Times;serif" w:hAnsi="Times New Roman;Times;serif"/>
          <w:b w:val="false"/>
          <w:i/>
          <w:caps w:val="false"/>
          <w:smallCaps w:val="false"/>
          <w:color w:val="000000"/>
          <w:spacing w:val="4"/>
          <w:sz w:val="20"/>
        </w:rPr>
        <w:t>Merger Sub 2</w:t>
      </w:r>
      <w:r>
        <w:rPr>
          <w:rFonts w:ascii="Times New Roman;Times;serif" w:hAnsi="Times New Roman;Times;serif"/>
          <w:b w:val="false"/>
          <w:i w:val="false"/>
          <w:caps w:val="false"/>
          <w:smallCaps w:val="false"/>
          <w:color w:val="000000"/>
          <w:spacing w:val="4"/>
          <w:sz w:val="20"/>
        </w:rPr>
        <w:t>”), and Shareholder Representative Services LLC, a Colorado limited liability company, solely in its capacity as securityholders’ representative (the “</w:t>
      </w:r>
      <w:r>
        <w:rPr>
          <w:rFonts w:ascii="Times New Roman;Times;serif" w:hAnsi="Times New Roman;Times;serif"/>
          <w:b w:val="false"/>
          <w:i/>
          <w:caps w:val="false"/>
          <w:smallCaps w:val="false"/>
          <w:color w:val="000000"/>
          <w:spacing w:val="4"/>
          <w:sz w:val="20"/>
        </w:rPr>
        <w:t>Securityholders’ Representative</w:t>
      </w:r>
      <w:r>
        <w:rPr>
          <w:rFonts w:ascii="Times New Roman;Times;serif" w:hAnsi="Times New Roman;Times;serif"/>
          <w:b w:val="false"/>
          <w:i w:val="false"/>
          <w:caps w:val="false"/>
          <w:smallCaps w:val="false"/>
          <w:color w:val="000000"/>
          <w:spacing w:val="4"/>
          <w:sz w:val="20"/>
        </w:rPr>
        <w:t>”). The Company, Claros, Merger Sub 1, Merger Sub 2 and the Securityholders’ Representative are each referred to herein as a “</w:t>
      </w:r>
      <w:r>
        <w:rPr>
          <w:rFonts w:ascii="Times New Roman;Times;serif" w:hAnsi="Times New Roman;Times;serif"/>
          <w:b w:val="false"/>
          <w:i/>
          <w:caps w:val="false"/>
          <w:smallCaps w:val="false"/>
          <w:color w:val="000000"/>
          <w:spacing w:val="4"/>
          <w:sz w:val="20"/>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val="false"/>
          <w:i/>
          <w:caps w:val="false"/>
          <w:smallCaps w:val="false"/>
          <w:color w:val="000000"/>
          <w:spacing w:val="4"/>
          <w:sz w:val="20"/>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5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Merger Agreement, and subject to the terms and conditions set forth therein, the Parties intend that (i) Merger Sub 1 will be merged with and into Claros, with Claros being the surviving corporation in such merger (the “</w:t>
      </w:r>
      <w:r>
        <w:rPr>
          <w:rFonts w:ascii="Times New Roman;Times;serif" w:hAnsi="Times New Roman;Times;serif"/>
          <w:b w:val="false"/>
          <w:i/>
          <w:caps w:val="false"/>
          <w:smallCaps w:val="false"/>
          <w:color w:val="000000"/>
          <w:spacing w:val="4"/>
          <w:sz w:val="20"/>
        </w:rPr>
        <w:t>First Merger</w:t>
      </w:r>
      <w:r>
        <w:rPr>
          <w:rFonts w:ascii="Times New Roman;Times;serif" w:hAnsi="Times New Roman;Times;serif"/>
          <w:b w:val="false"/>
          <w:i w:val="false"/>
          <w:caps w:val="false"/>
          <w:smallCaps w:val="false"/>
          <w:color w:val="000000"/>
          <w:spacing w:val="4"/>
          <w:sz w:val="20"/>
        </w:rPr>
        <w:t>”), and (ii) immediately following the consummation of the First Merger, Claros will be merged with and into Merger Sub 2, with Merger Sub 2 being the surviving limited liability company in such merger (such second-step merger, the “</w:t>
      </w:r>
      <w:r>
        <w:rPr>
          <w:rFonts w:ascii="Times New Roman;Times;serif" w:hAnsi="Times New Roman;Times;serif"/>
          <w:b w:val="false"/>
          <w:i/>
          <w:caps w:val="false"/>
          <w:smallCaps w:val="false"/>
          <w:color w:val="000000"/>
          <w:spacing w:val="4"/>
          <w:sz w:val="20"/>
        </w:rPr>
        <w:t>Second Merger</w:t>
      </w:r>
      <w:r>
        <w:rPr>
          <w:rFonts w:ascii="Times New Roman;Times;serif" w:hAnsi="Times New Roman;Times;serif"/>
          <w:b w:val="false"/>
          <w:i w:val="false"/>
          <w:caps w:val="false"/>
          <w:smallCaps w:val="false"/>
          <w:color w:val="000000"/>
          <w:spacing w:val="4"/>
          <w:sz w:val="20"/>
        </w:rPr>
        <w:t>,” and together with the First Merger, collectively, the “</w:t>
      </w:r>
      <w:r>
        <w:rPr>
          <w:rFonts w:ascii="Times New Roman;Times;serif" w:hAnsi="Times New Roman;Times;serif"/>
          <w:b w:val="false"/>
          <w:i/>
          <w:caps w:val="false"/>
          <w:smallCaps w:val="false"/>
          <w:color w:val="000000"/>
          <w:spacing w:val="4"/>
          <w:sz w:val="20"/>
        </w:rPr>
        <w:t>Mergers</w:t>
      </w:r>
      <w:r>
        <w:rPr>
          <w:rFonts w:ascii="Times New Roman;Times;serif" w:hAnsi="Times New Roman;Times;serif"/>
          <w:b w:val="false"/>
          <w:i w:val="false"/>
          <w:caps w:val="false"/>
          <w:smallCaps w:val="false"/>
          <w:color w:val="000000"/>
          <w:spacing w:val="4"/>
          <w:sz w:val="20"/>
        </w:rPr>
        <w:t>” and each a “</w:t>
      </w:r>
      <w:r>
        <w:rPr>
          <w:rFonts w:ascii="Times New Roman;Times;serif" w:hAnsi="Times New Roman;Times;serif"/>
          <w:b w:val="false"/>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As set forth in the Merger Agreement, the shares of Class A Common Stock registered hereunder relate to (i) 6,912,729 shares of Class A Common Stock issuable by the Company to certain eligible securityholders of Claros at the closing of the Mergers (the “</w:t>
      </w:r>
      <w:r>
        <w:rPr>
          <w:rFonts w:ascii="Times New Roman;Times;serif" w:hAnsi="Times New Roman;Times;serif"/>
          <w:b w:val="false"/>
          <w:i/>
          <w:caps w:val="false"/>
          <w:smallCaps w:val="false"/>
          <w:color w:val="000000"/>
          <w:spacing w:val="4"/>
          <w:sz w:val="20"/>
        </w:rPr>
        <w:t>Closing Shares</w:t>
      </w:r>
      <w:r>
        <w:rPr>
          <w:rFonts w:ascii="Times New Roman;Times;serif" w:hAnsi="Times New Roman;Times;serif"/>
          <w:b w:val="false"/>
          <w:i w:val="false"/>
          <w:caps w:val="false"/>
          <w:smallCaps w:val="false"/>
          <w:color w:val="000000"/>
          <w:spacing w:val="4"/>
          <w:sz w:val="20"/>
        </w:rPr>
        <w:t>”), and (ii) up to 1,289,869 shares that may be issuable to certain eligible securityholders of Claros based on the achievement of certain business milestones (the “</w:t>
      </w:r>
      <w:r>
        <w:rPr>
          <w:rFonts w:ascii="Times New Roman;Times;serif" w:hAnsi="Times New Roman;Times;serif"/>
          <w:b w:val="false"/>
          <w:i/>
          <w:caps w:val="false"/>
          <w:smallCaps w:val="false"/>
          <w:color w:val="000000"/>
          <w:spacing w:val="4"/>
          <w:sz w:val="20"/>
        </w:rPr>
        <w:t>Earnout Shares</w:t>
      </w:r>
      <w:r>
        <w:rPr>
          <w:rFonts w:ascii="Times New Roman;Times;serif" w:hAnsi="Times New Roman;Times;serif"/>
          <w:b w:val="false"/>
          <w:i w:val="false"/>
          <w:caps w:val="false"/>
          <w:smallCaps w:val="false"/>
          <w:color w:val="000000"/>
          <w:spacing w:val="4"/>
          <w:sz w:val="20"/>
        </w:rPr>
        <w:t xml:space="preserve">”) during the period from the closing date of the Mergers through and including the day immediately prior to the two (2)-year anniversary of such date. </w:t>
      </w:r>
    </w:p>
    <w:p>
      <w:pPr>
        <w:pStyle w:val="TextBody"/>
        <w:bidi w:val="0"/>
        <w:spacing w:lineRule="atLeast" w:line="240" w:before="24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cash proceeds when we issue shares of our Class A Common Stock offered by this prospectus. We will pay all expenses of the offering of shares of our Class A Common Stock under this prospectus. </w:t>
      </w:r>
    </w:p>
    <w:p>
      <w:pPr>
        <w:pStyle w:val="TextBody"/>
        <w:bidi w:val="0"/>
        <w:spacing w:lineRule="atLeast" w:line="240" w:before="240" w:after="283"/>
        <w:ind w:left="1753" w:right="0" w:firstLine="400"/>
        <w:jc w:val="both"/>
        <w:rPr/>
      </w:pPr>
      <w:r>
        <w:rPr>
          <w:rFonts w:ascii="Times New Roman;Times;serif" w:hAnsi="Times New Roman;Times;serif"/>
          <w:b/>
          <w:i w:val="false"/>
          <w:caps w:val="false"/>
          <w:smallCaps w:val="false"/>
          <w:color w:val="000000"/>
          <w:spacing w:val="-4"/>
          <w:sz w:val="20"/>
        </w:rPr>
        <w:t>An investment in shares of our Class A Common Stock involves risk. See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as well as the risks described under “Risk Factors” in our most recent Annual Report on Form 10-K filed with the Securities and Exchange Commission and any updates to those risks contained in our subsequent Quarterly Reports on Form 10-Q and Current Reports on Form 8-K filed with the SEC, all of which we incorporate by reference in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5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Nasdaq Global Market under the symbol “NVTS.” On September 4, 2026, the closing price of our Class A Common Stock was $11.80 per share. </w:t>
      </w:r>
    </w:p>
    <w:p>
      <w:pPr>
        <w:pStyle w:val="TextBody"/>
        <w:bidi w:val="0"/>
        <w:spacing w:lineRule="atLeast" w:line="240" w:before="240" w:after="283"/>
        <w:ind w:left="175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September 8,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CNRF">
              <w:r>
                <w:rPr>
                  <w:rStyle w:val="InternetLink"/>
                  <w:spacing w:val="4"/>
                </w:rPr>
                <w:t>3</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SUM">
              <w:r>
                <w:rPr>
                  <w:rStyle w:val="InternetLink"/>
                  <w:spacing w:val="4"/>
                </w:rPr>
                <w:t>4</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THOF">
              <w:r>
                <w:rPr>
                  <w:rStyle w:val="InternetLink"/>
                  <w:spacing w:val="4"/>
                </w:rPr>
                <w:t>6</w:t>
              </w:r>
            </w:hyperlink>
            <w:hyperlink w:anchor="t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LEMA">
              <w:r>
                <w:rPr>
                  <w:rStyle w:val="InternetLink"/>
                  <w:spacing w:val="4"/>
                </w:rPr>
                <w:t>11</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EXP">
              <w:r>
                <w:rPr>
                  <w:rStyle w:val="InternetLink"/>
                  <w:spacing w:val="4"/>
                </w:rPr>
                <w:t>11</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tWYCF">
              <w:r>
                <w:rPr>
                  <w:rStyle w:val="InternetLink"/>
                  <w:spacing w:val="4"/>
                </w:rPr>
                <w:t>11</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tIODB">
              <w:r>
                <w:rPr>
                  <w:rStyle w:val="InternetLink"/>
                  <w:spacing w:val="4"/>
                </w:rPr>
                <w:t xml:space="preserve">INCORPORATION OF DOCUMENTS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tIODB">
              <w:r>
                <w:rPr>
                  <w:rStyle w:val="InternetLink"/>
                  <w:spacing w:val="4"/>
                </w:rPr>
                <w:t>11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is part of a registration statement that we filed with the Securities and Exchange Commission (the “</w:t>
      </w:r>
      <w:r>
        <w:rPr>
          <w:rFonts w:ascii="Times New Roman;Times;serif" w:hAnsi="Times New Roman;Times;serif"/>
          <w:b w:val="false"/>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pursuant to which we may issue up to 8,202,598 shares of our Class A Common Stock in connection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provided in this prospectus and the information incorporated by reference in this prospectus and any post-effective amendment. We have not authorized any other person to provide you with different information. You must not rely upon any information or representation not contained or incorporated by reference in this prospectus or any post-effective amendment. We are not making an offer to sell our Class A Common Stock in any jurisdiction where the offer or sale is not permitted. You should assume that the information contained in this prospectus and any post-effective amendment is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and therein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References in this prospectus to “</w:t>
      </w:r>
      <w:r>
        <w:rPr>
          <w:rFonts w:ascii="Times New Roman;Times;serif" w:hAnsi="Times New Roman;Times;serif"/>
          <w:b w:val="false"/>
          <w:i/>
          <w:caps w:val="false"/>
          <w:smallCaps w:val="false"/>
          <w:color w:val="000000"/>
          <w:spacing w:val="4"/>
          <w:sz w:val="20"/>
        </w:rPr>
        <w:t>Navitas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val="false"/>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refer to Navitas Semiconductor Corporation, a Delaware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RIF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investment in any securities offered pursuant to this prospectus involves risks. Before investing in our securities, you should carefully read the risk factors discussed under the caption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in our most recent Annual Report on Form 10-K and any subsequently-filed Quarterly Reports on Form 10-Q, and any risk factors discussed in our other filings with the SEC which are incorporated by reference into this prospectus. These risks and uncertainties are not the only risks and uncertainties we face. Additional risks and uncertainties not presently known to us, or that we currently view as immaterial, may also materially and adversely affect us. If any of the risks or uncertainties described in our most recent Annual Report on Form 10-K or any subsequent Quarterly Reports on Form 10-Q, or our other filings with the SEC, or if any additional risks and uncertainties actually occur, our business, financial condition, results of operations and prospects could be materially and adversely affected. In that case, the trading price of our securities could decline, and you could lose all or part of your investment. Please also carefully read the section entitled “</w:t>
      </w:r>
      <w:r>
        <w:rPr>
          <w:rFonts w:ascii="Times New Roman;Times;serif" w:hAnsi="Times New Roman;Times;serif"/>
          <w:b w:val="false"/>
          <w:i/>
          <w:caps w:val="false"/>
          <w:smallCaps w:val="false"/>
          <w:color w:val="000000"/>
          <w:spacing w:val="4"/>
          <w:sz w:val="20"/>
        </w:rPr>
        <w:t>Cautionary Statement About Forward-Looking Statements</w:t>
      </w:r>
      <w:r>
        <w:rPr>
          <w:rFonts w:ascii="Times New Roman;Times;serif" w:hAnsi="Times New Roman;Times;serif"/>
          <w:b w:val="false"/>
          <w:i w:val="false"/>
          <w:caps w:val="false"/>
          <w:smallCaps w:val="false"/>
          <w:color w:val="000000"/>
          <w:spacing w:val="4"/>
          <w:sz w:val="20"/>
        </w:rPr>
        <w:t>” included in our most recent Annual Report on Form 10-K and any subsequent Quarterly Reports on Form 10-Q. See “</w:t>
      </w:r>
      <w:r>
        <w:rPr>
          <w:rFonts w:ascii="Times New Roman;Times;serif" w:hAnsi="Times New Roman;Times;serif"/>
          <w:b w:val="false"/>
          <w:i/>
          <w:caps w:val="false"/>
          <w:smallCaps w:val="false"/>
          <w:color w:val="000000"/>
          <w:spacing w:val="4"/>
          <w:sz w:val="20"/>
        </w:rPr>
        <w:t>Incorporation of Certain Information by Reference</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to learn how we disclose risk factors and other information in this prospectus by referring you to other documents, and how you can access those documents.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the documents incorporated by reference herein and therein contain forward-looking information within the meaning of the safe harbor provisions of the U.S. Private Securities Litigation Reform Act of 1995, which involve risks and uncertainties. These forward-looking statements relate to future events regarding such matters as anticipated financial performance, business prospects, technological developments, new products, research and development activities and similar matters. In order to comply with the terms of the safe harbor provisions, we note that a variety of factors could cause our actual results and experience to differ materially and adversely from the anticipated results or other expectations expressed in the forward-looking statements. The risks and uncertainties that may affect the operation, performance, development and results of our business include, but are not limited to, those matters discussed in our most recent Annual Report on Form 10-K, in the sections entitled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in the same sections of our subsequently-filed Quarterly Reports on Form 10-Q, as may be further updated by any Current Reports on Form 8-K that we may file.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Documents by Reference</w:t>
      </w:r>
      <w:r>
        <w:rPr>
          <w:rFonts w:ascii="Times New Roman;Times;serif" w:hAnsi="Times New Roman;Times;serif"/>
          <w:b w:val="false"/>
          <w:i w:val="false"/>
          <w:caps w:val="false"/>
          <w:smallCaps w:val="false"/>
          <w:color w:val="000000"/>
          <w:spacing w:val="4"/>
          <w:sz w:val="20"/>
        </w:rPr>
        <w:t>.” The words “believe,” “expect,” “anticipate,” “project,” “target,” “intend,” “plan,” “seek,” “estimate,” “endeavor,” “should,” “could,” “may” and similar expressions are intended to identify forward-looking statements. However, the absence of these words or similar expressions does not mean that a statement is not forward-looking. You are cautioned not to place undue reliance on these forward-looking statements, which speak only as of the date of the documents that contain them. We undertake no obligation to publicly revise or update forward-looking statements to reflect events or circumstances that arise after those dates, except as may be required under applicable law. Our actual results may differ from the anticipated results or other expectations expressed in such forward-looking statements.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UM"/>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of Documents by Reference.” Before making an investment decision, we encourage you to consider the information contained in and incorporated by reference in this prospectus, including the risks discussed under the heading “Risk Factors” beginning on page </w:t>
      </w:r>
      <w:hyperlink w:anchor="tRIFA">
        <w:r>
          <w:rPr>
            <w:rStyle w:val="InternetLink"/>
          </w:rPr>
          <w:t>2</w:t>
        </w:r>
      </w:hyperlink>
      <w:r>
        <w:rPr>
          <w:rFonts w:ascii="Times New Roman;Times;serif" w:hAnsi="Times New Roman;Times;serif"/>
          <w:b w:val="false"/>
          <w:i/>
          <w:caps w:val="false"/>
          <w:smallCaps w:val="false"/>
          <w:color w:val="000000"/>
          <w:spacing w:val="4"/>
          <w:sz w:val="20"/>
          <w:bdr w:val="single" w:sz="8" w:space="1" w:color="000000"/>
        </w:rPr>
        <w:t xml:space="preserve"> herein and in Part I, Item 1A of our most recent Annual Report on Form 10-K, and any updates to those risk factors or new risk factors included in subsequently-filed Quarterly Reports on Form 10-Q and Current Reports on Form 8-K, all of which are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design, develop and market next-generation power semiconductors including gallium nitride (“</w:t>
      </w:r>
      <w:r>
        <w:rPr>
          <w:rFonts w:ascii="Times New Roman;Times;serif" w:hAnsi="Times New Roman;Times;serif"/>
          <w:b w:val="false"/>
          <w:i/>
          <w:caps w:val="false"/>
          <w:smallCaps w:val="false"/>
          <w:color w:val="000000"/>
          <w:spacing w:val="4"/>
          <w:sz w:val="20"/>
          <w:bdr w:val="single" w:sz="8" w:space="1" w:color="000000"/>
        </w:rPr>
        <w:t>GaN</w:t>
      </w:r>
      <w:r>
        <w:rPr>
          <w:rFonts w:ascii="Times New Roman;Times;serif" w:hAnsi="Times New Roman;Times;serif"/>
          <w:b w:val="false"/>
          <w:i w:val="false"/>
          <w:caps w:val="false"/>
          <w:smallCaps w:val="false"/>
          <w:color w:val="000000"/>
          <w:spacing w:val="4"/>
          <w:sz w:val="20"/>
          <w:bdr w:val="single" w:sz="8" w:space="1" w:color="000000"/>
        </w:rPr>
        <w:t>”) power integrated circuits (“</w:t>
      </w:r>
      <w:r>
        <w:rPr>
          <w:rFonts w:ascii="Times New Roman;Times;serif" w:hAnsi="Times New Roman;Times;serif"/>
          <w:b w:val="false"/>
          <w:i/>
          <w:caps w:val="false"/>
          <w:smallCaps w:val="false"/>
          <w:color w:val="000000"/>
          <w:spacing w:val="4"/>
          <w:sz w:val="20"/>
          <w:bdr w:val="single" w:sz="8" w:space="1" w:color="000000"/>
        </w:rPr>
        <w:t>ICs</w:t>
      </w:r>
      <w:r>
        <w:rPr>
          <w:rFonts w:ascii="Times New Roman;Times;serif" w:hAnsi="Times New Roman;Times;serif"/>
          <w:b w:val="false"/>
          <w:i w:val="false"/>
          <w:caps w:val="false"/>
          <w:smallCaps w:val="false"/>
          <w:color w:val="000000"/>
          <w:spacing w:val="4"/>
          <w:sz w:val="20"/>
          <w:bdr w:val="single" w:sz="8" w:space="1" w:color="000000"/>
        </w:rPr>
        <w:t>”), high-voltage silicon carbide (“</w:t>
      </w:r>
      <w:r>
        <w:rPr>
          <w:rFonts w:ascii="Times New Roman;Times;serif" w:hAnsi="Times New Roman;Times;serif"/>
          <w:b w:val="false"/>
          <w:i/>
          <w:caps w:val="false"/>
          <w:smallCaps w:val="false"/>
          <w:color w:val="000000"/>
          <w:spacing w:val="4"/>
          <w:sz w:val="20"/>
          <w:bdr w:val="single" w:sz="8" w:space="1" w:color="000000"/>
        </w:rPr>
        <w:t>SiC</w:t>
      </w:r>
      <w:r>
        <w:rPr>
          <w:rFonts w:ascii="Times New Roman;Times;serif" w:hAnsi="Times New Roman;Times;serif"/>
          <w:b w:val="false"/>
          <w:i w:val="false"/>
          <w:caps w:val="false"/>
          <w:smallCaps w:val="false"/>
          <w:color w:val="000000"/>
          <w:spacing w:val="4"/>
          <w:sz w:val="20"/>
          <w:bdr w:val="single" w:sz="8" w:space="1" w:color="000000"/>
        </w:rPr>
        <w:t>”) devices and associated high-speed silicon system controllers, and digital isolators used in power conversion and charging. We focus on high-power markets including artificial intelligence (“</w:t>
      </w:r>
      <w:r>
        <w:rPr>
          <w:rFonts w:ascii="Times New Roman;Times;serif" w:hAnsi="Times New Roman;Times;serif"/>
          <w:b w:val="false"/>
          <w:i/>
          <w:caps w:val="false"/>
          <w:smallCaps w:val="false"/>
          <w:color w:val="000000"/>
          <w:spacing w:val="4"/>
          <w:sz w:val="20"/>
          <w:bdr w:val="single" w:sz="8" w:space="1" w:color="000000"/>
        </w:rPr>
        <w:t>AI</w:t>
      </w:r>
      <w:r>
        <w:rPr>
          <w:rFonts w:ascii="Times New Roman;Times;serif" w:hAnsi="Times New Roman;Times;serif"/>
          <w:b w:val="false"/>
          <w:i w:val="false"/>
          <w:caps w:val="false"/>
          <w:smallCaps w:val="false"/>
          <w:color w:val="000000"/>
          <w:spacing w:val="4"/>
          <w:sz w:val="20"/>
          <w:bdr w:val="single" w:sz="8" w:space="1" w:color="000000"/>
        </w:rPr>
        <w:t xml:space="preserve">”) data centers, energy and grid infrastructure, performance computing and industrial electrification.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products are engineered to deliver superior efficiency, performance, power density, and sustainability compared to legacy, silicon-based technologies. By leveraging the unique properties of wide bandgap materials such as GaN and SiC, our solutions enable higher power throughput, higher voltage operation, improved thermal performance, and reduced system size and cost, which are critical advantages for high-power applications such as hyperscale and AI data centers, grid electrification, high-performance computing clusters, and industrial automation. We operate as a product design house that contracts the manufacturing of its chips and packaging to partner suppliers.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Through this focus on high-power markets, we are positioned to support the global transition to electrification and energy conservation. Our mission is to drive innovation in high-frequency, high-efficiency, and high-density power electronics, enabling our customers to achieve greater energy savings, operational reliability, and sustainability. By unlocking new levels of speed and efficiency, Navitas is leading the transformation of power electronics to “Electrify Our World”</w:t>
      </w:r>
      <w:r>
        <w:rPr>
          <w:rFonts w:ascii="Times New Roman;Times;serif" w:hAnsi="Times New Roman;Times;serif"/>
          <w:b w:val="false"/>
          <w:i w:val="false"/>
          <w:caps w:val="false"/>
          <w:smallCaps w:val="false"/>
          <w:color w:val="000000"/>
          <w:spacing w:val="3"/>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for a cleaner, more connected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Merger Agreement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August 24, 2026, we entered into an Agreement and Plan of Merger (the “</w:t>
      </w:r>
      <w:r>
        <w:rPr>
          <w:rFonts w:ascii="Times New Roman;Times;serif" w:hAnsi="Times New Roman;Times;serif"/>
          <w:b w:val="false"/>
          <w:i/>
          <w:caps w:val="false"/>
          <w:smallCaps w:val="false"/>
          <w:color w:val="000000"/>
          <w:spacing w:val="4"/>
          <w:sz w:val="20"/>
          <w:bdr w:val="single" w:sz="8" w:space="1" w:color="000000"/>
        </w:rPr>
        <w:t>Merger Agreement</w:t>
      </w:r>
      <w:r>
        <w:rPr>
          <w:rFonts w:ascii="Times New Roman;Times;serif" w:hAnsi="Times New Roman;Times;serif"/>
          <w:b w:val="false"/>
          <w:i w:val="false"/>
          <w:caps w:val="false"/>
          <w:smallCaps w:val="false"/>
          <w:color w:val="000000"/>
          <w:spacing w:val="4"/>
          <w:sz w:val="20"/>
          <w:bdr w:val="single" w:sz="8" w:space="1" w:color="000000"/>
        </w:rPr>
        <w:t>”), by and among the Company, Claros, Inc., a Delaware corporation (“</w:t>
      </w:r>
      <w:r>
        <w:rPr>
          <w:rFonts w:ascii="Times New Roman;Times;serif" w:hAnsi="Times New Roman;Times;serif"/>
          <w:b w:val="false"/>
          <w:i/>
          <w:caps w:val="false"/>
          <w:smallCaps w:val="false"/>
          <w:color w:val="000000"/>
          <w:spacing w:val="4"/>
          <w:sz w:val="20"/>
          <w:bdr w:val="single" w:sz="8" w:space="1" w:color="000000"/>
        </w:rPr>
        <w:t>Claros</w:t>
      </w:r>
      <w:r>
        <w:rPr>
          <w:rFonts w:ascii="Times New Roman;Times;serif" w:hAnsi="Times New Roman;Times;serif"/>
          <w:b w:val="false"/>
          <w:i w:val="false"/>
          <w:caps w:val="false"/>
          <w:smallCaps w:val="false"/>
          <w:color w:val="000000"/>
          <w:spacing w:val="4"/>
          <w:sz w:val="20"/>
          <w:bdr w:val="single" w:sz="8" w:space="1" w:color="000000"/>
        </w:rPr>
        <w:t>”), Compass Merger Sub 1 Inc., a Delaware corporation and a wholly-owned subsidiary of the Company (“</w:t>
      </w:r>
      <w:r>
        <w:rPr>
          <w:rFonts w:ascii="Times New Roman;Times;serif" w:hAnsi="Times New Roman;Times;serif"/>
          <w:b w:val="false"/>
          <w:i/>
          <w:caps w:val="false"/>
          <w:smallCaps w:val="false"/>
          <w:color w:val="000000"/>
          <w:spacing w:val="4"/>
          <w:sz w:val="20"/>
          <w:bdr w:val="single" w:sz="8" w:space="1" w:color="000000"/>
        </w:rPr>
        <w:t>Merger Sub 1</w:t>
      </w:r>
      <w:r>
        <w:rPr>
          <w:rFonts w:ascii="Times New Roman;Times;serif" w:hAnsi="Times New Roman;Times;serif"/>
          <w:b w:val="false"/>
          <w:i w:val="false"/>
          <w:caps w:val="false"/>
          <w:smallCaps w:val="false"/>
          <w:color w:val="000000"/>
          <w:spacing w:val="4"/>
          <w:sz w:val="20"/>
          <w:bdr w:val="single" w:sz="8" w:space="1" w:color="000000"/>
        </w:rPr>
        <w:t>”), Compass Merger Sub 2 LLC, a Delaware limited liability company and a wholly-owned subsidiary of the Company (“</w:t>
      </w:r>
      <w:r>
        <w:rPr>
          <w:rFonts w:ascii="Times New Roman;Times;serif" w:hAnsi="Times New Roman;Times;serif"/>
          <w:b w:val="false"/>
          <w:i/>
          <w:caps w:val="false"/>
          <w:smallCaps w:val="false"/>
          <w:color w:val="000000"/>
          <w:spacing w:val="4"/>
          <w:sz w:val="20"/>
          <w:bdr w:val="single" w:sz="8" w:space="1" w:color="000000"/>
        </w:rPr>
        <w:t>Merger Sub 2</w:t>
      </w:r>
      <w:r>
        <w:rPr>
          <w:rFonts w:ascii="Times New Roman;Times;serif" w:hAnsi="Times New Roman;Times;serif"/>
          <w:b w:val="false"/>
          <w:i w:val="false"/>
          <w:caps w:val="false"/>
          <w:smallCaps w:val="false"/>
          <w:color w:val="000000"/>
          <w:spacing w:val="4"/>
          <w:sz w:val="20"/>
          <w:bdr w:val="single" w:sz="8" w:space="1" w:color="000000"/>
        </w:rPr>
        <w:t>”), and Shareholder Representative Services LLC, a Colorado limited liability company, solely in its capacity as the representative, agent and attorney-in-fact of the securityholders of Claros (the “</w:t>
      </w:r>
      <w:r>
        <w:rPr>
          <w:rFonts w:ascii="Times New Roman;Times;serif" w:hAnsi="Times New Roman;Times;serif"/>
          <w:b w:val="false"/>
          <w:i/>
          <w:caps w:val="false"/>
          <w:smallCaps w:val="false"/>
          <w:color w:val="000000"/>
          <w:spacing w:val="4"/>
          <w:sz w:val="20"/>
          <w:bdr w:val="single" w:sz="8" w:space="1" w:color="000000"/>
        </w:rPr>
        <w:t>Securityholders’ Representative</w:t>
      </w:r>
      <w:r>
        <w:rPr>
          <w:rFonts w:ascii="Times New Roman;Times;serif" w:hAnsi="Times New Roman;Times;serif"/>
          <w:b w:val="false"/>
          <w:i w:val="false"/>
          <w:caps w:val="false"/>
          <w:smallCaps w:val="false"/>
          <w:color w:val="000000"/>
          <w:spacing w:val="4"/>
          <w:sz w:val="20"/>
          <w:bdr w:val="single" w:sz="8" w:space="1" w:color="000000"/>
        </w:rPr>
        <w:t>”). Pursuant to the Merger Agreement, and subject to the terms and conditions set forth therein, the parties intend that (i) Merger Sub 1 will be merged with and into Claros, with Claros being the surviving corporation in such merger (the “</w:t>
      </w:r>
      <w:r>
        <w:rPr>
          <w:rFonts w:ascii="Times New Roman;Times;serif" w:hAnsi="Times New Roman;Times;serif"/>
          <w:b w:val="false"/>
          <w:i/>
          <w:caps w:val="false"/>
          <w:smallCaps w:val="false"/>
          <w:color w:val="000000"/>
          <w:spacing w:val="4"/>
          <w:sz w:val="20"/>
          <w:bdr w:val="single" w:sz="8" w:space="1" w:color="000000"/>
        </w:rPr>
        <w:t>First Merger</w:t>
      </w:r>
      <w:r>
        <w:rPr>
          <w:rFonts w:ascii="Times New Roman;Times;serif" w:hAnsi="Times New Roman;Times;serif"/>
          <w:b w:val="false"/>
          <w:i w:val="false"/>
          <w:caps w:val="false"/>
          <w:smallCaps w:val="false"/>
          <w:color w:val="000000"/>
          <w:spacing w:val="4"/>
          <w:sz w:val="20"/>
          <w:bdr w:val="single" w:sz="8" w:space="1" w:color="000000"/>
        </w:rPr>
        <w:t>”), and (ii) immediately following the consummation of the First Merger, Claros will be merged with and into Merger Sub 2, with Merger Sub 2 being the surviving limited liability company in such merger (such second-step merger, the “</w:t>
      </w:r>
      <w:r>
        <w:rPr>
          <w:rFonts w:ascii="Times New Roman;Times;serif" w:hAnsi="Times New Roman;Times;serif"/>
          <w:b w:val="false"/>
          <w:i/>
          <w:caps w:val="false"/>
          <w:smallCaps w:val="false"/>
          <w:color w:val="000000"/>
          <w:spacing w:val="4"/>
          <w:sz w:val="20"/>
          <w:bdr w:val="single" w:sz="8" w:space="1" w:color="000000"/>
        </w:rPr>
        <w:t>Second Merger</w:t>
      </w:r>
      <w:r>
        <w:rPr>
          <w:rFonts w:ascii="Times New Roman;Times;serif" w:hAnsi="Times New Roman;Times;serif"/>
          <w:b w:val="false"/>
          <w:i w:val="false"/>
          <w:caps w:val="false"/>
          <w:smallCaps w:val="false"/>
          <w:color w:val="000000"/>
          <w:spacing w:val="4"/>
          <w:sz w:val="20"/>
          <w:bdr w:val="single" w:sz="8" w:space="1" w:color="000000"/>
        </w:rPr>
        <w:t>,” and together with the First Merger, collectively, the “</w:t>
      </w:r>
      <w:r>
        <w:rPr>
          <w:rFonts w:ascii="Times New Roman;Times;serif" w:hAnsi="Times New Roman;Times;serif"/>
          <w:b w:val="false"/>
          <w:i/>
          <w:caps w:val="false"/>
          <w:smallCaps w:val="false"/>
          <w:color w:val="000000"/>
          <w:spacing w:val="4"/>
          <w:sz w:val="20"/>
          <w:bdr w:val="single" w:sz="8" w:space="1" w:color="000000"/>
        </w:rPr>
        <w:t>Mergers</w:t>
      </w:r>
      <w:r>
        <w:rPr>
          <w:rFonts w:ascii="Times New Roman;Times;serif" w:hAnsi="Times New Roman;Times;serif"/>
          <w:b w:val="false"/>
          <w:i w:val="false"/>
          <w:caps w:val="false"/>
          <w:smallCaps w:val="false"/>
          <w:color w:val="000000"/>
          <w:spacing w:val="4"/>
          <w:sz w:val="20"/>
          <w:bdr w:val="single" w:sz="8" w:space="1" w:color="000000"/>
        </w:rPr>
        <w:t>” and each a “</w:t>
      </w:r>
      <w:r>
        <w:rPr>
          <w:rFonts w:ascii="Times New Roman;Times;serif" w:hAnsi="Times New Roman;Times;serif"/>
          <w:b w:val="false"/>
          <w:i/>
          <w:caps w:val="false"/>
          <w:smallCaps w:val="false"/>
          <w:color w:val="000000"/>
          <w:spacing w:val="4"/>
          <w:sz w:val="20"/>
          <w:bdr w:val="single" w:sz="8" w:space="1" w:color="000000"/>
        </w:rPr>
        <w:t>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aggregate purchase price pursuant to the Merger Agreement is estimated to be approximately $232.8 million, of which approximately $126.4 million of the purchase price will be payable at closing in cash, subject to adjustment for working capital, net debt and transaction fees and expenses, approximately $89.7 million of the purchase price will be payable at closing in 6,912,729 shares of Class A Common Stock, and approximately $16.7 million of the purchase price will be payable in up to 1,289,869 shares of Class A Common Stock based on the achievement of certain business milestones (the “</w:t>
      </w:r>
      <w:r>
        <w:rPr>
          <w:rFonts w:ascii="Times New Roman;Times;serif" w:hAnsi="Times New Roman;Times;serif"/>
          <w:b w:val="false"/>
          <w:i/>
          <w:caps w:val="false"/>
          <w:smallCaps w:val="false"/>
          <w:color w:val="000000"/>
          <w:spacing w:val="4"/>
          <w:sz w:val="20"/>
          <w:bdr w:val="single" w:sz="8" w:space="1" w:color="000000"/>
        </w:rPr>
        <w:t>Earnout</w:t>
      </w:r>
      <w:r>
        <w:rPr>
          <w:rFonts w:ascii="Times New Roman;Times;serif" w:hAnsi="Times New Roman;Times;serif"/>
          <w:b w:val="false"/>
          <w:i w:val="false"/>
          <w:caps w:val="false"/>
          <w:smallCaps w:val="false"/>
          <w:color w:val="000000"/>
          <w:spacing w:val="4"/>
          <w:sz w:val="20"/>
          <w:bdr w:val="single" w:sz="8" w:space="1" w:color="000000"/>
        </w:rPr>
        <w:t>”) during the period from the closing date through and including the day immediately prior to the two (2)-year anniversary of the closing date (the “</w:t>
      </w:r>
      <w:r>
        <w:rPr>
          <w:rFonts w:ascii="Times New Roman;Times;serif" w:hAnsi="Times New Roman;Times;serif"/>
          <w:b w:val="false"/>
          <w:i/>
          <w:caps w:val="false"/>
          <w:smallCaps w:val="false"/>
          <w:color w:val="000000"/>
          <w:spacing w:val="4"/>
          <w:sz w:val="20"/>
          <w:bdr w:val="single" w:sz="8" w:space="1" w:color="000000"/>
        </w:rPr>
        <w:t>Earnout Period</w:t>
      </w:r>
      <w:r>
        <w:rPr>
          <w:rFonts w:ascii="Times New Roman;Times;serif" w:hAnsi="Times New Roman;Times;serif"/>
          <w:b w:val="false"/>
          <w:i w:val="false"/>
          <w:caps w:val="false"/>
          <w:smallCaps w:val="false"/>
          <w:color w:val="000000"/>
          <w:spacing w:val="4"/>
          <w:sz w:val="20"/>
          <w:bdr w:val="single" w:sz="8" w:space="1" w:color="000000"/>
        </w:rPr>
        <w:t xml:space="preserve">”). For purposes of determining the estimated aggregate purchase price,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Company has based the value of that portion of the purchase price to be paid in shares of its Common Stock on the closing price per share of Common Stock on August 21, 2026, which was $12.97 (the “</w:t>
      </w:r>
      <w:r>
        <w:rPr>
          <w:rFonts w:ascii="Times New Roman;Times;serif" w:hAnsi="Times New Roman;Times;serif"/>
          <w:b w:val="false"/>
          <w:i/>
          <w:caps w:val="false"/>
          <w:smallCaps w:val="false"/>
          <w:color w:val="000000"/>
          <w:spacing w:val="4"/>
          <w:sz w:val="20"/>
          <w:bdr w:val="single" w:sz="8" w:space="1" w:color="000000"/>
        </w:rPr>
        <w:t>Reference Share Price</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Consideration (as defined in the Merger Agreement) is subject to adjustment at and following the closing date for working capital and other items.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also issue performance stock units (the “</w:t>
      </w:r>
      <w:r>
        <w:rPr>
          <w:rFonts w:ascii="Times New Roman;Times;serif" w:hAnsi="Times New Roman;Times;serif"/>
          <w:b w:val="false"/>
          <w:i/>
          <w:caps w:val="false"/>
          <w:smallCaps w:val="false"/>
          <w:color w:val="000000"/>
          <w:spacing w:val="4"/>
          <w:sz w:val="20"/>
          <w:bdr w:val="single" w:sz="8" w:space="1" w:color="000000"/>
        </w:rPr>
        <w:t>PSUs</w:t>
      </w:r>
      <w:r>
        <w:rPr>
          <w:rFonts w:ascii="Times New Roman;Times;serif" w:hAnsi="Times New Roman;Times;serif"/>
          <w:b w:val="false"/>
          <w:i w:val="false"/>
          <w:caps w:val="false"/>
          <w:smallCaps w:val="false"/>
          <w:color w:val="000000"/>
          <w:spacing w:val="4"/>
          <w:sz w:val="20"/>
          <w:bdr w:val="single" w:sz="8" w:space="1" w:color="000000"/>
        </w:rPr>
        <w:t xml:space="preserve">”) to certain employees of Claros who will continue their employment with us after the closing of the Mergers. The PSUs will be issued under our 2021 Equity Incentive Plan, as amended, and will vest on the achievement of certain business milestones during the Earnout Period. If and to the extent vested, the PSUs will be paid in shares of the Class A Common Stock. The PSUs have an approximate value of $28.9 million based on the Reference Share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Mergers are subject to customary closing conditions, including clearance of the Mergers from the Department of Justice under the Hart Scott Rodino Act of 1976, and the effectiveness of this registration statement. Subject to satisfaction or waiver of the conditions of the Merger Agreement, we currently anticipate the closing of the Mergers to occur prior to December 31, 2026; however, there can be no assurance that the Mergers will close before December 31, 2026, or at 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consummation of the Mergers does not require the approval of the Company’s stockholders. Merger Sub 2 does not, and will not after the consummation of the Mergers, qualify as a “significant subsidiary” as defined under applicable SEC regulations.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Background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Navitas Semiconductor Corporation was originally incorporated as Live Oak Acquisition Corp. II. On October 19, 2021, as part of a series of related transactions (which we refer to as the “</w:t>
      </w:r>
      <w:r>
        <w:rPr>
          <w:rFonts w:ascii="Times New Roman;Times;serif" w:hAnsi="Times New Roman;Times;serif"/>
          <w:b w:val="false"/>
          <w:i/>
          <w:caps w:val="false"/>
          <w:smallCaps w:val="false"/>
          <w:color w:val="000000"/>
          <w:spacing w:val="4"/>
          <w:sz w:val="20"/>
          <w:bdr w:val="single" w:sz="8" w:space="1" w:color="000000"/>
        </w:rPr>
        <w:t>Business Combination</w:t>
      </w:r>
      <w:r>
        <w:rPr>
          <w:rFonts w:ascii="Times New Roman;Times;serif" w:hAnsi="Times New Roman;Times;serif"/>
          <w:b w:val="false"/>
          <w:i w:val="false"/>
          <w:caps w:val="false"/>
          <w:smallCaps w:val="false"/>
          <w:color w:val="000000"/>
          <w:spacing w:val="4"/>
          <w:sz w:val="20"/>
          <w:bdr w:val="single" w:sz="8" w:space="1" w:color="000000"/>
        </w:rPr>
        <w:t>”), the registrant acquired all of the equity interests of Navitas Semiconductor Limited, an Irish private company domesticated in Delaware as Navitas Semiconductor Ireland, LLC (collectively, “</w:t>
      </w:r>
      <w:r>
        <w:rPr>
          <w:rFonts w:ascii="Times New Roman;Times;serif" w:hAnsi="Times New Roman;Times;serif"/>
          <w:b w:val="false"/>
          <w:i/>
          <w:caps w:val="false"/>
          <w:smallCaps w:val="false"/>
          <w:color w:val="000000"/>
          <w:spacing w:val="4"/>
          <w:sz w:val="20"/>
          <w:bdr w:val="single" w:sz="8" w:space="1" w:color="000000"/>
        </w:rPr>
        <w:t>Legacy Navitas</w:t>
      </w:r>
      <w:r>
        <w:rPr>
          <w:rFonts w:ascii="Times New Roman;Times;serif" w:hAnsi="Times New Roman;Times;serif"/>
          <w:b w:val="false"/>
          <w:i w:val="false"/>
          <w:caps w:val="false"/>
          <w:smallCaps w:val="false"/>
          <w:color w:val="000000"/>
          <w:spacing w:val="4"/>
          <w:sz w:val="20"/>
          <w:bdr w:val="single" w:sz="8" w:space="1" w:color="000000"/>
        </w:rPr>
        <w:t xml:space="preserve">”) and changed the name of the registrant to Navitas Semiconductor Corporation. As a result, Legacy Navitas became a wholly owned subsidiary of Navitas Semiconductor Corporation effective October 19, 2021.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3520 Challenger Street, Torrance, California 90503-1640. Our telephone number is (844) 654-2642. Our website address is www.navitassemi.com. The information located on, or accessible from, our website is not, and shall not be deemed to be, a part of this prospectus or incorporated into any other filings that we make with the SEC.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THO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Class A Common Stock offered by us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relates to up to 8,202,598 shares of our Class A Common Stock issuable in connection with the transactions contemplated by the Merger Agreement and comprising the Closing Shares and Earnout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expect to receive any proceeds from the issuance of the shares of Class A Common Stock registered hereunder other than the businesses, assets, properties or securities acquired.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both"/>
        <w:rPr/>
      </w:pPr>
      <w:r>
        <w:rPr>
          <w:rFonts w:ascii="Times New Roman;Times;serif" w:hAnsi="Times New Roman;Times;serif"/>
          <w:b w:val="false"/>
          <w:i w:val="false"/>
          <w:caps w:val="false"/>
          <w:smallCaps w:val="false"/>
          <w:color w:val="000000"/>
          <w:spacing w:val="4"/>
          <w:sz w:val="20"/>
          <w:bdr w:val="single" w:sz="8" w:space="1" w:color="000000"/>
        </w:rPr>
        <w:t>Investing in our Class A Common Stock involves a high degree of risk. You should carefully read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on page </w:t>
      </w:r>
      <w:hyperlink w:anchor="tRIFA">
        <w:r>
          <w:rPr>
            <w:rStyle w:val="InternetLink"/>
          </w:rPr>
          <w:t>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as well as other information included and incorporated by reference in this prospectus a discussion of factors that you should consider before deciding to invest in our Class A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Global Market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symbol </w:t>
      </w:r>
    </w:p>
    <w:p>
      <w:pPr>
        <w:pStyle w:val="TextBody"/>
        <w:bidi w:val="0"/>
        <w:spacing w:lineRule="atLeast" w:line="240" w:before="0" w:after="283"/>
        <w:ind w:left="475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NVTS.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up to 8,202,598 shares of our Class A Common Stock issuable in connection with the transactions contemplated by the Merger Agreement and comprising the Closing Shares and Earnout Shares. We do not expect to receive any proceeds in connection with the issuance shares of Class A Common Stock registered hereunder other than the businesses, assets, properties or securities acquired.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C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description of our capital stock and provisions of our second amended and restated certificate of incorporation (our “</w:t>
      </w:r>
      <w:r>
        <w:rPr>
          <w:rFonts w:ascii="Times New Roman;Times;serif" w:hAnsi="Times New Roman;Times;serif"/>
          <w:b w:val="false"/>
          <w:i/>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and amended and restated bylaws (our “</w:t>
      </w:r>
      <w:r>
        <w:rPr>
          <w:rFonts w:ascii="Times New Roman;Times;serif" w:hAnsi="Times New Roman;Times;serif"/>
          <w:b w:val="false"/>
          <w:i/>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are summaries and are qualified by reference to our Certificate of Incorporation and our Bylaws that are on file with the SEC. You should read these documents in full for complete information on our capital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authorizes us to issue 751,000,000 shares, each with a par value of $0.0001 per share, consisting of (a) 750,000,000 shares of common stock (the “</w:t>
      </w:r>
      <w:r>
        <w:rPr>
          <w:rFonts w:ascii="Times New Roman;Times;serif" w:hAnsi="Times New Roman;Times;serif"/>
          <w:b w:val="false"/>
          <w:i/>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including (i) 740,000,000 shares of Class A Common Stock and (ii) 10,000,000 shares of Class B common stock (“</w:t>
      </w:r>
      <w:r>
        <w:rPr>
          <w:rFonts w:ascii="Times New Roman;Times;serif" w:hAnsi="Times New Roman;Times;serif"/>
          <w:b w:val="false"/>
          <w:i/>
          <w:caps w:val="false"/>
          <w:smallCaps w:val="false"/>
          <w:color w:val="000000"/>
          <w:spacing w:val="4"/>
          <w:sz w:val="20"/>
        </w:rPr>
        <w:t>Class B Common Stock</w:t>
      </w:r>
      <w:r>
        <w:rPr>
          <w:rFonts w:ascii="Times New Roman;Times;serif" w:hAnsi="Times New Roman;Times;serif"/>
          <w:b w:val="false"/>
          <w:i w:val="false"/>
          <w:caps w:val="false"/>
          <w:smallCaps w:val="false"/>
          <w:color w:val="000000"/>
          <w:spacing w:val="4"/>
          <w:sz w:val="20"/>
        </w:rPr>
        <w:t>”), and (b) 1,000,000 shares of preferred stock (“</w:t>
      </w:r>
      <w:r>
        <w:rPr>
          <w:rFonts w:ascii="Times New Roman;Times;serif" w:hAnsi="Times New Roman;Times;serif"/>
          <w:b w:val="false"/>
          <w:i/>
          <w:caps w:val="false"/>
          <w:smallCaps w:val="false"/>
          <w:color w:val="000000"/>
          <w:spacing w:val="4"/>
          <w:sz w:val="20"/>
        </w:rPr>
        <w:t>Preferred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Common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Each holder of Class A Common Stock is entitled to one vote per share held. Except as otherwise required by our Certificate of Incorporation or by applicable law, holders of Class A Common Stock vote together as a single class on all matters on which stockholders are generally entitled to vote.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divided into three classes, each of which will generally serve for a term of three years with only one class of directors being elected each year. There is no cumulative voting in the election of directors. As a result, holders of more than 50% of shares eligible to vote in the election of directors can elect all of the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Dividend rights</w:t>
      </w:r>
      <w:r>
        <w:rPr>
          <w:rFonts w:ascii="Times New Roman;Times;serif" w:hAnsi="Times New Roman;Times;serif"/>
          <w:b w:val="false"/>
          <w:i w:val="false"/>
          <w:caps w:val="false"/>
          <w:smallCaps w:val="false"/>
          <w:color w:val="000000"/>
          <w:spacing w:val="4"/>
          <w:sz w:val="20"/>
        </w:rPr>
        <w:t xml:space="preserve">.   Subject to any other provisions of our Certificate of Incorporation, each holder of Class A Common Stock is entitled to receive, in proportion to the number of shares of Class A Common Stock held, such dividends and other distributions in cash, stock or property when, as and if declared by our board from time to time out of assets or funds of the company legally available therefor.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Rights upon liquidation</w:t>
      </w:r>
      <w:r>
        <w:rPr>
          <w:rFonts w:ascii="Times New Roman;Times;serif" w:hAnsi="Times New Roman;Times;serif"/>
          <w:b w:val="false"/>
          <w:i w:val="false"/>
          <w:caps w:val="false"/>
          <w:smallCaps w:val="false"/>
          <w:color w:val="000000"/>
          <w:spacing w:val="4"/>
          <w:sz w:val="20"/>
        </w:rPr>
        <w:t xml:space="preserve">.   In the event of any liquidation, dissolution or winding up (either voluntary or involuntary) of the Company, after payments to creditors that may at the time be outstanding, and subject to the rights of any holders of preferred stock that may then be outstanding, holders of shares of our Class A Common Stock will be entitled to receive, ratably in proportion to the number of shares of Class A Common Stock held, all remaining assets of the Company available for distribution.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Preferred Stock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our Certificate of Incorporation, our board of directors has the authority, without stockholder approval, to issue shares of preferred stock from time to time on terms it may determine, to divide shares of preferred stock into one or more class or series and to fix for each such class or series the designations, preferences, privileges, and restrictions of preferred stock, including dividend rights, conversion rights, voting rights, terms of redemption, liquidation preference, and the number of shares constituting any series or the designation of any series to the fullest extent permitted by the Delaware General Corporation Law (the “</w:t>
      </w:r>
      <w:r>
        <w:rPr>
          <w:rFonts w:ascii="Times New Roman;Times;serif" w:hAnsi="Times New Roman;Times;serif"/>
          <w:b w:val="false"/>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The issuance of preferred stock could have the effect of decreasing the trading price of our Class A Common Stock, restricting dividends on our capital stock, diluting the voting power of our Class A Common Stock, impairing the liquidation rights of our capital stock, or delaying or preventing a change in control of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4, 2026, we had 82 holders of record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Stockholders’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annual stockholder meetings will be held at a date, time and place, if any, as exclusively selected by our board. To the extent permitted under applicable law, our board may conduct meetings by remote communications. Our Bylaws provide that stockholders seeking to bring business before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in the annual proxy statement. Our Certificate of Incorporation specifies certain requirements as to the form and content of a stockholders’ meeting. These provisions may preclude stockholders from bringing matters before our annual meeting of stockholders or from making nominations for directors at our annual meeting of stockholders. Our Bylaws also specify certain requirements as to the form and content of a stockholder’s notice for an annual meeting. Specifically, a stockholder’s notice must include: (i) a brief description of the business desired to be brought before the annual meeting, the text of the proposal or business (including the text of any resolutions proposed for consideration and in the event such business includes a proposal to amend our Bylaws, the language of the proposed amendment) and the reasons for conducting such business at the annual meeting, (ii) the name and record address of such stockholder and the name and address of the beneficial owner, if any, on whose behalf the proposal is made, (iii) the class or series and number of shares of our capital stock that are owned beneficially and of record by such stockholder and by the beneficial owner, if any, on whose behalf the proposal is made, (iv) a description of all arrangements or understandings between such stockholder and the beneficial owner, if any, on whose behalf the proposal is made and any other person or persons (including their names) in connection with the proposal of such business by such stockholder, (v) any material interest of such stockholder and the beneficial owner, if any, on whose behalf the proposal is made in such business and (vi) a representation that such stockholder (or a qualified representative of such stockholder) intends to appear in person or by proxy at the annual meeting to bring such business before the meeting. These notice requirements will be deemed satisfied by a stockholder as to any proposal (other than nominations) if the stockholder has notified us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us to solicit proxies for such annual meeting. The foregoing provisions may limit our stockholders’ ability to bring matters before our annual meeting of stockholders or from making nominations for directors at our annual meeting of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Nasdaq, which would apply if and so long as our Class A Common Stock remains listed on Nasdaq, require stockholder approval of certain issuances equal to or exceeding 20% of the then-outstanding voting power or then-outstanding number of shares of our Class A Common Stock. Additional shares that may be issued in the future may be used for a variety of corporate purposes, including future public offerings, to raise additional capital or to facilitate acquisitions.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management and possibly deprive stockholders of opportunities to sell their shares of our Class A Common Stock at prices higher than prevailing market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special meetings of our stockholders may be called only by the chairman of our board, our chief executive officer or our board pursuant to a resolution adopted by a majority of our board. Our stockholders are not eligible and have no right to call a special meeting of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also provide that unless otherwise restricted by our Certificate of Incorporation or our Bylaws, any action required or permitted to be taken at any meeting of our board or of any committee thereof may be taken without a meeting, if all members of our board or committee thereof,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consent thereto in writing or by electronic transmission, and the writing or writings or electronic transmission or transmissions (or paper reproductions thereof) are filed with the minutes of proceedings of our board or committee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may be amended, altered or repealed (i) by the affirmative vote of a majority of our entire board; or (ii) by the affirmative vote of the holders of at least a majority of the voting power of the shares entitled to vote at an election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to corporations and their stockholders for monetary damages for breaches of directors’ fiduciary duties, subject to certain exceptions.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the Company’s request in an official capacity for another entity. We must indemnify our officers and directors against all expenses, judgments, fines, penalties and amounts paid in settlement (if pre-approved), including all costs, expenses and obligations incurred in connection with investigating, defending, being a witness in, participating in (including on appeal), or preparing to defend, be a witness or participate in any completed, actual, pending or threatened action, suit, proceeding or alternative dispute resolution mechanism, whether civil, criminal, administrative, investigative or other, arising out of the officers’ or directors’ role as an officer or director of the Company, or establishing or enforcing a right to indemnification under the indemnification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Jurisdiction of Certain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requires that derivative actions brought in the name of the company, actions against directors, officers and other employees for breach of fiduciary duty and other similar actions may be brought only in the Court of Chancery in the State of Delaware and, if brought outside of Delaware, the stockholder bringing the suit will, subject to certain exceptions,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Although we believe this provision benefits us by providing increased consistency in the application of Delaware law in the types of lawsuits to which it applies, the provision may have the effect of discouraging lawsuits against our directors, officers and other employees.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Nasdaq Global Market under the symbol “NVTS.”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Continental Stock Transfer &amp; Trust Company, 1 State Street, 30th Floor, New York, New York 10004.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LEMA"/>
      <w:bookmarkEnd w:id="10"/>
      <w:r>
        <w:rPr>
          <w:rFonts w:ascii="calibri;arial;sans-serif" w:hAnsi="calibri;arial;sans-serif"/>
          <w:b w:val="false"/>
          <w:i w:val="false"/>
          <w:caps w:val="false"/>
          <w:smallCaps w:val="false"/>
          <w:color w:val="000000"/>
          <w:sz w:val="16"/>
        </w:rPr>
        <w:t>​</w:t>
      </w:r>
      <w:bookmarkStart w:id="11" w:name="tEXP"/>
      <w:bookmarkEnd w:id="11"/>
      <w:r>
        <w:rPr>
          <w:rFonts w:ascii="calibri;arial;sans-serif" w:hAnsi="calibri;arial;sans-serif"/>
          <w:b w:val="false"/>
          <w:i w:val="false"/>
          <w:caps w:val="false"/>
          <w:smallCaps w:val="false"/>
          <w:color w:val="000000"/>
          <w:sz w:val="16"/>
        </w:rPr>
        <w:t>​</w:t>
      </w:r>
      <w:bookmarkStart w:id="12" w:name="tWYCF"/>
      <w:bookmarkEnd w:id="12"/>
      <w:r>
        <w:rPr>
          <w:rFonts w:ascii="calibri;arial;sans-serif" w:hAnsi="calibri;arial;sans-serif"/>
          <w:b w:val="false"/>
          <w:i w:val="false"/>
          <w:caps w:val="false"/>
          <w:smallCaps w:val="false"/>
          <w:color w:val="000000"/>
          <w:sz w:val="16"/>
        </w:rPr>
        <w:t>​</w:t>
      </w:r>
      <w:bookmarkStart w:id="13" w:name="tIODB"/>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Cozen O’Connor, New York, New York, will issue an opinion about certain legal matters with respect to the securities offered hereby.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consolidated financial statements of the Company as of December 31, 2025 and for the year then ended, incorporated in this prospectus by reference from our </w:t>
      </w:r>
      <w:hyperlink r:id="rId4">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have been audited by KPMG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consolidated financial statements of the Company as of December 31, 2024 and for the year then ended, incorporated in this prospectus by reference from our </w:t>
      </w:r>
      <w:hyperlink r:id="rId5">
        <w:r>
          <w:rPr>
            <w:rStyle w:val="InternetLink"/>
          </w:rPr>
          <w:t>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the Securities Act, we filed a registration statement relating to the securities offered by this prospectus with the SEC. This prospectus is a part of that registration statement, which includes additional information.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those filings and the exhibits attached thereto. You should review the complete document to evaluate these statements.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reporting requirements of the Securities Exchange Act of 1934, as amended (the “</w:t>
      </w:r>
      <w:r>
        <w:rPr>
          <w:rFonts w:ascii="Times New Roman;Times;serif" w:hAnsi="Times New Roman;Times;serif"/>
          <w:b w:val="false"/>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and are required to file with the SEC annual, quarterly and current reports, proxy statements and other information. Our SEC filings are available to the public over the Internet at the SEC’s website at http://www.sec.gov. Copies of certain information filed by us with the SEC are also available on our website at https://ir.navitassemi.com. Our website is not a part of this prospectus and the information contained on, or accessible through, our website is not incorporated by reference in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important information into this prospectus by referring you to other documents which contain that information, including documents that we have already filed with the SEC and documents that we will file later with the SEC. Any information that is incorporated by reference (or deemed incorporated by reference, as discussed below) will automatically update and supersede earlier-filed information. Because we are incorporating our future SEC filings by reference, this prospectus will be updated by those future filings, and those future filings may modify or supersede some of the information included or incorporated by reference in this prospectus. This means you must review all SEC filings that we incorporate by reference to determine if any of the statements in this prospectus or in any document previously incorporated by reference, have been modified or superseded by subsequent filings. </w:t>
      </w:r>
    </w:p>
    <w:p>
      <w:pPr>
        <w:pStyle w:val="TextBody"/>
        <w:bidi w:val="0"/>
        <w:spacing w:lineRule="atLeast" w:line="240" w:before="122"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Annual Report on Form 10-K for the fiscal year ended December 31, 2025, filed with the SEC on </w:t>
      </w:r>
      <w:hyperlink r:id="rId6">
        <w:r>
          <w:rPr>
            <w:rStyle w:val="InternetLink"/>
          </w:rPr>
          <w:t>February 27, 2026</w:t>
        </w:r>
      </w:hyperlink>
      <w:r>
        <w:rPr>
          <w:rFonts w:ascii="Times New Roman;Times;serif" w:hAnsi="Times New Roman;Times;serif"/>
          <w:b w:val="false"/>
          <w:i w:val="false"/>
          <w:caps w:val="false"/>
          <w:smallCaps w:val="false"/>
          <w:color w:val="000000"/>
          <w:spacing w:val="4"/>
          <w:sz w:val="20"/>
        </w:rPr>
        <w:t xml:space="preserve">, as amended by Amendment No. 1 to our Annual Report on Form 10-K/A for the fiscal year ended December 31, 2025, filed with the SEC on </w:t>
      </w:r>
      <w:hyperlink r:id="rId7">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Quarterly Reports on Form 10-Q for the quarter ended March 31, 2026, filed with the SEC on </w:t>
      </w:r>
      <w:hyperlink r:id="rId8">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for the quarter ended June 30, 2026, filed with the SEC on </w:t>
      </w:r>
      <w:hyperlink r:id="rId9">
        <w:r>
          <w:rPr>
            <w:rStyle w:val="InternetLink"/>
          </w:rPr>
          <w:t>July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4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0">
        <w:r>
          <w:rPr>
            <w:rStyle w:val="InternetLink"/>
          </w:rPr>
          <w:t>February 24,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February 24,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April 13,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May 11, 2026</w:t>
        </w:r>
      </w:hyperlink>
      <w:r>
        <w:rPr>
          <w:rFonts w:ascii="Times New Roman;Times;serif" w:hAnsi="Times New Roman;Times;serif"/>
          <w:b w:val="false"/>
          <w:i w:val="false"/>
          <w:caps w:val="false"/>
          <w:smallCaps w:val="false"/>
          <w:color w:val="000000"/>
          <w:spacing w:val="4"/>
          <w:sz w:val="20"/>
        </w:rPr>
        <w:t xml:space="preserve">, </w:t>
      </w:r>
      <w:hyperlink r:id="rId18">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May 22, 2026</w:t>
        </w:r>
      </w:hyperlink>
      <w:r>
        <w:rPr>
          <w:rFonts w:ascii="Times New Roman;Times;serif" w:hAnsi="Times New Roman;Times;serif"/>
          <w:b w:val="false"/>
          <w:i w:val="false"/>
          <w:caps w:val="false"/>
          <w:smallCaps w:val="false"/>
          <w:color w:val="000000"/>
          <w:spacing w:val="4"/>
          <w:sz w:val="20"/>
        </w:rPr>
        <w:t xml:space="preserve">, </w:t>
      </w:r>
      <w:hyperlink r:id="rId20">
        <w:r>
          <w:rPr>
            <w:rStyle w:val="InternetLink"/>
          </w:rPr>
          <w:t>May 22,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June 4,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June 9,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June 15,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June 26, 2026</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August 25,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0" distB="0" distL="2540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Form 8-A, filed with the SEC on </w:t>
      </w:r>
      <w:hyperlink r:id="rId26">
        <w:r>
          <w:rPr>
            <w:rStyle w:val="InternetLink"/>
          </w:rPr>
          <w:t>October 19, 2021</w:t>
        </w:r>
      </w:hyperlink>
      <w:r>
        <w:rPr>
          <w:rFonts w:ascii="Times New Roman;Times;serif" w:hAnsi="Times New Roman;Times;serif"/>
          <w:b w:val="false"/>
          <w:i w:val="false"/>
          <w:caps w:val="false"/>
          <w:smallCaps w:val="false"/>
          <w:color w:val="000000"/>
          <w:spacing w:val="4"/>
          <w:sz w:val="20"/>
        </w:rPr>
        <w:t xml:space="preserve">, including any amendments filed for the purpose of updating such description, including </w:t>
      </w:r>
      <w:hyperlink r:id="rId27">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as filed with the SEC on February 27, 2026.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we subsequently file with the SEC (other than any portion of such filings that are furnished under applicable SEC rules rather than filed) pursuant to Sections 13(a), 13(c), 14 and 15(d) of the Exchange Act, after the date of this prospectus and before the later of (1) the completion of the offering of the securities described in this prospectus and (2) the date we stop offering securities pursuant to this prospectus, will be deemed to be incorporated by reference into this prospectus and to be part of this prospectus from the date of filing of such reports and documents.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in this prospectus or any document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be deemed not to constitute a part of this prospectus except as so modified or superseded.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each person, including any beneficial owner, to whom a prospectus is delivered, with a copy of all of the information that has been incorporated by reference in this prospectus but not delivered with the prospectus. You may obtain copies of these filings, at no cost, through the “</w:t>
      </w:r>
      <w:r>
        <w:rPr>
          <w:rFonts w:ascii="Times New Roman;Times;serif" w:hAnsi="Times New Roman;Times;serif"/>
          <w:b w:val="false"/>
          <w:i/>
          <w:caps w:val="false"/>
          <w:smallCaps w:val="false"/>
          <w:color w:val="000000"/>
          <w:spacing w:val="4"/>
          <w:sz w:val="20"/>
        </w:rPr>
        <w:t>Investor Relations</w:t>
      </w:r>
      <w:r>
        <w:rPr>
          <w:rFonts w:ascii="Times New Roman;Times;serif" w:hAnsi="Times New Roman;Times;serif"/>
          <w:b w:val="false"/>
          <w:i w:val="false"/>
          <w:caps w:val="false"/>
          <w:smallCaps w:val="false"/>
          <w:color w:val="000000"/>
          <w:spacing w:val="4"/>
          <w:sz w:val="20"/>
        </w:rPr>
        <w:t xml:space="preserve">” section of our website (https://ir.navitassemi.com) and you may request a copy of these filings (other than an exhibit to any filing unless we have specifically incorporated that exhibit by reference into the filing), at no cost, by writing or telephoning us at the following address: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Navitas Semiconductor Corporation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3520 Challenger Street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Torrance, California 90503-1640</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Attention: Corporate Secretary</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Telephone: (844) 654-2642</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20.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145 of the Delaware General Corporation Law (the “</w:t>
      </w:r>
      <w:r>
        <w:rPr>
          <w:rFonts w:ascii="Times New Roman;Times;serif" w:hAnsi="Times New Roman;Times;serif"/>
          <w:b w:val="false"/>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has entered into indemnification agreements with each of its directors and executive officers to provide contractual indemnification in addition to the indemnification provided in its certificate of incorporation and bylaws. Each indemnification agreement provides for indemnification and advancements by the registrant of certain expenses and costs relating to claims, suits or proceedings arising from his or her service to the registrant or, at the registrant’s request, service to other entities, as officers or directors to the maximum extent permitted by applicable law. The registrant believes that these provisions and agreements are necessary to attract qualified directors and executive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summaries are necessarily subject to the complete text of the DGCL, the registrant’s certificate of incorporation and bylaws, as amended to date, and the arrangements referred to above and are qualified in their entirety by reference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21.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following exhibits are included herein or incorporated by reference: </w:t>
      </w:r>
    </w:p>
    <w:tbl>
      <w:tblPr>
        <w:tblW w:w="8812" w:type="dxa"/>
        <w:jc w:val="left"/>
        <w:tblInd w:w="1393" w:type="dxa"/>
        <w:tblLayout w:type="fixed"/>
        <w:tblCellMar>
          <w:top w:w="0" w:type="dxa"/>
          <w:left w:w="0" w:type="dxa"/>
          <w:bottom w:w="28" w:type="dxa"/>
          <w:right w:w="0" w:type="dxa"/>
        </w:tblCellMar>
      </w:tblPr>
      <w:tblGrid>
        <w:gridCol w:w="124"/>
        <w:gridCol w:w="1202"/>
        <w:gridCol w:w="109"/>
        <w:gridCol w:w="109"/>
        <w:gridCol w:w="711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0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1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2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28">
              <w:r>
                <w:rPr>
                  <w:rStyle w:val="InternetLink"/>
                </w:rPr>
                <w:t>Agreement and Plan of Merger, dated August 24, 2026, by and among Navitas Semiconductor Corporation, Claros, Inc., Compass Merger Sub 1 Inc., Compass Merger Sub 2 LLC, and Shareholder Representative Services LLC (incorporated by reference to Exhibit 2.1 of the registrant’s Current Report on Form 8-K, filed with the SEC on August 25,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29">
              <w:r>
                <w:rPr>
                  <w:rStyle w:val="InternetLink"/>
                </w:rPr>
                <w:t>Second Amended and Restated Certificate of Incorporation of Navitas Semiconductor Corporation (incorporated by reference to Exhibit 3.1 of the registrant’s Current Report on Form 8-K, filed with the SEC on October 25,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30">
              <w:r>
                <w:rPr>
                  <w:rStyle w:val="InternetLink"/>
                </w:rPr>
                <w:t>Amended and Restated Bylaws of Navitas Semiconductor Corporation (incorporated by reference to Exhibit 3.1 of the registrant’s Current Report on Form 8-K, filed with the SEC on April 10,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left"/>
              <w:rPr/>
            </w:pPr>
            <w:hyperlink w:anchor="tm2624896d2_ex5-1.htm">
              <w:r>
                <w:rPr>
                  <w:rStyle w:val="InternetLink"/>
                  <w:spacing w:val="4"/>
                </w:rPr>
                <w:t>Opinion of Cozen O’Connor.</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21.1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both"/>
              <w:rPr/>
            </w:pPr>
            <w:hyperlink r:id="rId31">
              <w:r>
                <w:rPr>
                  <w:rStyle w:val="InternetLink"/>
                  <w:spacing w:val="4"/>
                </w:rPr>
                <w:t>List of Subsidiaries (incorporated by reference to Exhibit 21.1 of the registrant’s Annual Report on Form 10-K for the year ended December 31, 2023, filed with the SEC on March 6,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left"/>
              <w:rPr/>
            </w:pPr>
            <w:hyperlink w:anchor="tm2624896d2_ex23-1.htm">
              <w:r>
                <w:rPr>
                  <w:rStyle w:val="InternetLink"/>
                  <w:spacing w:val="4"/>
                </w:rPr>
                <w:t>Consent of KPMG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left"/>
              <w:rPr/>
            </w:pPr>
            <w:hyperlink w:anchor="tm2624896d2_ex23-2.htm">
              <w:r>
                <w:rPr>
                  <w:rStyle w:val="InternetLink"/>
                  <w:spacing w:val="4"/>
                </w:rPr>
                <w:t>Consent of Baker Tilly US,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100" w:right="0" w:hanging="0"/>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left"/>
              <w:rPr/>
            </w:pPr>
            <w:hyperlink w:anchor="tm2624896d2_ex5-1.htm">
              <w:r>
                <w:rPr>
                  <w:rStyle w:val="InternetLink"/>
                  <w:spacing w:val="4"/>
                </w:rPr>
                <w:t>Consent of Cozen O’Connor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left"/>
              <w:rPr/>
            </w:pPr>
            <w:hyperlink w:anchor="tPOA">
              <w:r>
                <w:rPr>
                  <w:rStyle w:val="InternetLink"/>
                  <w:spacing w:val="4"/>
                </w:rPr>
                <w:t>Power of Attorney (included on signature page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2"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13" w:type="dxa"/>
            <w:tcBorders/>
            <w:tcMar>
              <w:bottom w:w="0" w:type="dxa"/>
            </w:tcMar>
            <w:vAlign w:val="center"/>
          </w:tcPr>
          <w:p>
            <w:pPr>
              <w:pStyle w:val="TableContents"/>
              <w:bidi w:val="0"/>
              <w:spacing w:before="0" w:after="0"/>
              <w:jc w:val="left"/>
              <w:rPr/>
            </w:pPr>
            <w:hyperlink w:anchor="tm2624896d1_ex-filingfees.htm">
              <w:r>
                <w:rPr>
                  <w:rStyle w:val="InternetLink"/>
                  <w:spacing w:val="4"/>
                </w:rPr>
                <w:t>Filing Fees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exhibits and schedules have been omitted pursuant to Item 601(a)(5) of Regulation S-K under the Securities Act. The Company agrees to furnish supplementally a copy of all omitted exhibits and schedules to the SEC upon request; provided, that the Company may request confidential treatment for any exhibits or schedules so furnished. </w:t>
      </w:r>
      <w:r>
        <mc:AlternateContent>
          <mc:Choice Requires="wps">
            <w:drawing>
              <wp:anchor behindDoc="0" distT="10033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both"/>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Filed herewith.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953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Financial statement schedules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Schedules for which provision is made in the applicable accounting regulations of the SEC are either not required under the related instructions, are inapplicable or not material, or the information called for thereby is otherwise included in the financial statements incorporated by reference and therefore has been omitted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22.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this registration statement.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undersigned registrant hereby undertakes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every prospectus (i) that is filed pursuant to paragraph (1) immediately preceding, or (ii) that purports to meet the requirements of Section 10(a)(3) of the Securities Act and is used in connection with an offering of securities subject to Rule 415, will be filed as part of an amendment to the registration statement and will not be used until such amendment is effective, and that, for purposes of determining any liability under the Securities Act of 1933, each such post-effective amendment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has caused this registration statement to be signed on its behalf by the undersigned, thereunto duly authorized, in the City of Torrance, State of California, on September 8, 2026.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NAVITAS SEMICONDUCTOR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 </w:t>
      </w:r>
      <w:r>
        <w:rPr>
          <w:rFonts w:ascii="Times New Roman;Times;serif" w:hAnsi="Times New Roman;Times;serif"/>
          <w:b w:val="false"/>
          <w:i w:val="false"/>
          <w:caps/>
          <w:color w:val="000000"/>
          <w:spacing w:val="4"/>
          <w:sz w:val="20"/>
        </w:rPr>
        <w:t>C</w:t>
      </w:r>
      <w:r>
        <w:rPr>
          <w:rFonts w:ascii="Times New Roman;Times;serif" w:hAnsi="Times New Roman;Times;serif"/>
          <w:b w:val="false"/>
          <w:i w:val="false"/>
          <w:caps/>
          <w:color w:val="000000"/>
          <w:spacing w:val="4"/>
          <w:sz w:val="14"/>
        </w:rPr>
        <w:t>hris</w:t>
      </w:r>
      <w:r>
        <w:rPr>
          <w:rFonts w:ascii="Times New Roman;Times;serif" w:hAnsi="Times New Roman;Times;serif"/>
          <w:b w:val="false"/>
          <w:i w:val="false"/>
          <w:caps/>
          <w:color w:val="000000"/>
          <w:spacing w:val="4"/>
          <w:sz w:val="20"/>
        </w:rPr>
        <w:t xml:space="preserve"> A</w:t>
      </w:r>
      <w:r>
        <w:rPr>
          <w:rFonts w:ascii="Times New Roman;Times;serif" w:hAnsi="Times New Roman;Times;serif"/>
          <w:b w:val="false"/>
          <w:i w:val="false"/>
          <w:caps/>
          <w:color w:val="000000"/>
          <w:spacing w:val="4"/>
          <w:sz w:val="14"/>
        </w:rPr>
        <w:t>llexandre</w:t>
      </w:r>
      <w:r>
        <w:rPr>
          <w:rFonts w:ascii="Times New Roman;Times;serif" w:hAnsi="Times New Roman;Times;serif"/>
          <w:b w:val="false"/>
          <w:i w:val="false"/>
          <w:caps w:val="false"/>
          <w:smallCaps w:val="false"/>
          <w:color w:val="000000"/>
          <w:spacing w:val="4"/>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Chris Allexandre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O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undersigned directors and officers of Navitas Semiconductor Corporation hereby constitutes and appoints each of Chris Allexandre, Tonya Stevens and Matthew Sant as his or her true and lawful attorneys-in-fact and agents, with full powers of substitution and resubstitution, for him or her and in his or her name, place and stead, in any and all capacities, to sign the registration statement filed herewith and any and all amendments to this registration statement (including post-effective amendments and any related registration statements thereto filed pursuant to Rule 462 and otherwise), and cause the same to be filed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the undersigned might or could do in person, hereby ratifying and confirming all that said attorneys-in-fact and agents, or any of them, or his or their substitutes, may lawfully do or cause to be done by virtue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990"/>
        <w:gridCol w:w="109"/>
        <w:gridCol w:w="109"/>
        <w:gridCol w:w="4443"/>
        <w:gridCol w:w="109"/>
        <w:gridCol w:w="109"/>
        <w:gridCol w:w="166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9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bottom w:w="0" w:type="dxa"/>
            </w:tcMar>
            <w:vAlign w:val="center"/>
          </w:tcPr>
          <w:p>
            <w:pPr>
              <w:pStyle w:val="TableContents"/>
              <w:bidi w:val="0"/>
              <w:spacing w:before="0" w:after="0"/>
              <w:jc w:val="left"/>
              <w:rPr/>
            </w:pPr>
            <w:r>
              <w:rPr>
                <w:spacing w:val="4"/>
              </w:rPr>
              <w:t>/s/ Chris Allexandre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Chris Allexandre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bottom w:w="0" w:type="dxa"/>
            </w:tcMar>
            <w:vAlign w:val="center"/>
          </w:tcPr>
          <w:p>
            <w:pPr>
              <w:pStyle w:val="TableContents"/>
              <w:bidi w:val="0"/>
              <w:spacing w:before="0" w:after="283"/>
              <w:jc w:val="left"/>
              <w:rPr/>
            </w:pPr>
            <w:r>
              <w:rPr>
                <w:spacing w:val="4"/>
              </w:rPr>
              <w:t>President, 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bottom w:w="0"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Tonya Stevens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Tonya Stevens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Chief Financial Officer and Treasurer (Principal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Richard J. Hendrix</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Richard J. Hendrix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and 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Cristiano Amoruso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Cristiano Amoruso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Gregory M. Fischer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Gregory M.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Davin D. Lee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Davin D. Lee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Brian Long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Brian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David Moxam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David Moxam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Dipender Saluja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Dipender Saluja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September 8,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0" w:type="dxa"/>
            <w:tcBorders/>
            <w:tcMar>
              <w:top w:w="28" w:type="dxa"/>
              <w:left w:w="28" w:type="dxa"/>
              <w:right w:w="28" w:type="dxa"/>
            </w:tcMar>
            <w:vAlign w:val="center"/>
          </w:tcPr>
          <w:p>
            <w:pPr>
              <w:pStyle w:val="TableContents"/>
              <w:bidi w:val="0"/>
              <w:spacing w:before="0" w:after="0"/>
              <w:jc w:val="left"/>
              <w:rPr/>
            </w:pPr>
            <w:r>
              <w:rPr>
                <w:spacing w:val="4"/>
              </w:rPr>
              <w:t>/s/ Gary K. Wunderlich, Jr.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Gary K. Wunderlich,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43"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3" w:type="dxa"/>
            <w:tcBorders/>
            <w:tcMar>
              <w:top w:w="28" w:type="dxa"/>
              <w:left w:w="28" w:type="dxa"/>
              <w:right w:w="28" w:type="dxa"/>
            </w:tcMar>
            <w:vAlign w:val="center"/>
          </w:tcPr>
          <w:p>
            <w:pPr>
              <w:pStyle w:val="TableContents"/>
              <w:bidi w:val="0"/>
              <w:spacing w:before="0" w:after="0"/>
              <w:jc w:val="center"/>
              <w:rPr/>
            </w:pPr>
            <w:r>
              <w:rPr>
                <w:spacing w:val="4"/>
              </w:rPr>
              <w:t>September 8,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5" w:name="tm2624896d2_ex5-1.htm"/>
      <w:bookmarkStart w:id="16" w:name="kstm2624896d2_ex51"/>
      <w:bookmarkEnd w:id="15"/>
      <w:bookmarkEnd w:id="1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7625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32"/>
                    <a:stretch>
                      <a:fillRect/>
                    </a:stretch>
                  </pic:blipFill>
                  <pic:spPr bwMode="auto">
                    <a:xfrm>
                      <a:off x="0" y="0"/>
                      <a:ext cx="13716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Semiconductor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 Challenger Street</w:t>
        <w:br/>
        <w:t>Torrance, California 90503-1640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tab/>
        <w:t>     </w:t>
      </w:r>
      <w:r>
        <w:rPr>
          <w:rFonts w:ascii="Times New Roman;Times;Serif" w:hAnsi="Times New Roman;Times;Serif"/>
          <w:b w:val="false"/>
          <w:i w:val="false"/>
          <w:caps w:val="false"/>
          <w:smallCaps w:val="false"/>
          <w:sz w:val="20"/>
          <w:u w:val="single"/>
        </w:rPr>
        <w:t>Registration Statement on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Navitas Semiconductor Corporation,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in connection with the Company’s filing on the date hereof with the Securities and Exchange Commission (the “</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of a Registration Statement on Form S-4 (such registration statement, including the documents incorporated by reference therein, as amended or supplemented,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 relating to the registration under the Securities Act of 1933, as amended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up to a maximum of 8,202,598 shares of the Company’s Class A common stock, par value $0.0001 per share (the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issuable by the Company in connection with the transactions contemplated by the Agreement and Plan of Merger, dated as of August 24, 2026 (the “</w:t>
      </w:r>
      <w:r>
        <w:rPr>
          <w:rFonts w:ascii="Times New Roman;Times;Serif" w:hAnsi="Times New Roman;Times;Serif"/>
          <w:b w:val="false"/>
          <w:i/>
          <w:caps w:val="false"/>
          <w:smallCaps w:val="false"/>
          <w:sz w:val="20"/>
        </w:rPr>
        <w:t>Merger Agreement</w:t>
      </w:r>
      <w:r>
        <w:rPr>
          <w:rFonts w:ascii="Times New Roman;Times;Serif" w:hAnsi="Times New Roman;Times;Serif"/>
          <w:b w:val="false"/>
          <w:i w:val="false"/>
          <w:caps w:val="false"/>
          <w:smallCaps w:val="false"/>
          <w:sz w:val="20"/>
        </w:rPr>
        <w:t xml:space="preserve">”), by and among the Company, Claros, Inc., a Delaware corporation, Compass Merger Sub 1 Inc., a Delaware corporation, Compass Merger Sub 2 LLC, </w:t>
      </w:r>
      <w:r>
        <w:rPr>
          <w:rFonts w:ascii="Times New Roman;Times;Serif" w:hAnsi="Times New Roman;Times;Serif"/>
          <w:b w:val="false"/>
          <w:i w:val="false"/>
          <w:caps w:val="false"/>
          <w:smallCaps w:val="false"/>
          <w:sz w:val="20"/>
          <w:shd w:fill="FFFFFF" w:val="clear"/>
        </w:rPr>
        <w:t>a Delaware limited liability company, and Shareholder Representative Services LLC, a Colorado limited liability company, solely in its capacity as securityholders’ representative.</w:t>
      </w:r>
      <w:r>
        <w:rPr>
          <w:rFonts w:ascii="Times New Roman;Times;Serif" w:hAnsi="Times New Roman;Times;Serif"/>
          <w:b w:val="false"/>
          <w:i w:val="false"/>
          <w:caps w:val="false"/>
          <w:smallCaps w:val="false"/>
          <w:sz w:val="20"/>
        </w:rPr>
        <w:t xml:space="preserve"> This opinion letter is being furnished in connection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rendering the opinion set forth below, we have examined and are familiar with originals or copies, certified or otherwise identified to our satisfaction, of: (a) the Second Amended and Restated Certificate of Incorporation of the Company, as in effect on the date hereof, together with all amendments thereto adopted through the date hereof (the “</w:t>
      </w:r>
      <w:r>
        <w:rPr>
          <w:rFonts w:ascii="Times New Roman;Times;Serif" w:hAnsi="Times New Roman;Times;Serif"/>
          <w:b w:val="false"/>
          <w:i/>
          <w:caps w:val="false"/>
          <w:smallCaps w:val="false"/>
          <w:sz w:val="20"/>
          <w:shd w:fill="FFFFFF" w:val="clear"/>
        </w:rPr>
        <w:t>Certificate of Incorporation</w:t>
      </w:r>
      <w:r>
        <w:rPr>
          <w:rFonts w:ascii="Times New Roman;Times;Serif" w:hAnsi="Times New Roman;Times;Serif"/>
          <w:b w:val="false"/>
          <w:i w:val="false"/>
          <w:caps w:val="false"/>
          <w:smallCaps w:val="false"/>
          <w:sz w:val="20"/>
          <w:shd w:fill="FFFFFF" w:val="clear"/>
        </w:rPr>
        <w:t>”); (b) the Amended and Restated Bylaws of the Company, as amended, as in effect on the date hereof (the “</w:t>
      </w:r>
      <w:r>
        <w:rPr>
          <w:rFonts w:ascii="Times New Roman;Times;Serif" w:hAnsi="Times New Roman;Times;Serif"/>
          <w:b w:val="false"/>
          <w:i/>
          <w:caps w:val="false"/>
          <w:smallCaps w:val="false"/>
          <w:sz w:val="20"/>
          <w:shd w:fill="FFFFFF" w:val="clear"/>
        </w:rPr>
        <w:t>Bylaws</w:t>
      </w:r>
      <w:r>
        <w:rPr>
          <w:rFonts w:ascii="Times New Roman;Times;Serif" w:hAnsi="Times New Roman;Times;Serif"/>
          <w:b w:val="false"/>
          <w:i w:val="false"/>
          <w:caps w:val="false"/>
          <w:smallCaps w:val="false"/>
          <w:sz w:val="20"/>
          <w:shd w:fill="FFFFFF" w:val="clear"/>
        </w:rPr>
        <w:t xml:space="preserve">”); (c) the </w:t>
      </w:r>
      <w:r>
        <w:rPr>
          <w:rFonts w:ascii="Times New Roman;Times;Serif" w:hAnsi="Times New Roman;Times;Serif"/>
          <w:b w:val="false"/>
          <w:i w:val="false"/>
          <w:caps w:val="false"/>
          <w:smallCaps w:val="false"/>
          <w:sz w:val="20"/>
        </w:rPr>
        <w:t xml:space="preserve">Registration Statement and all exhibits thereto, including the prospectus contained therein; (d) the resolutions of the Company’s board of directors approving the Merger Agreement and the transactions contemplated thereby, including the issuance of the Shares; </w:t>
      </w:r>
      <w:r>
        <w:rPr>
          <w:rFonts w:ascii="Times New Roman;Times;Serif" w:hAnsi="Times New Roman;Times;Serif"/>
          <w:b w:val="false"/>
          <w:i w:val="false"/>
          <w:caps w:val="false"/>
          <w:smallCaps w:val="false"/>
          <w:sz w:val="20"/>
          <w:shd w:fill="FFFFFF" w:val="clear"/>
        </w:rPr>
        <w:t>and (e) such other documents as we have deemed necessary or appropriate as a basis for the opinion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our examination, we have assumed: (a) the legal capacity of all natural persons; (b) the genuineness of all signatures; (c) the authenticity of all documents submitted to us as originals; (d) the conformity to original documents of all documents submitted to us as certified or photostatic copies, (e) the authenticity of the originals of such latter documents; and (f) that the Merger Agreement is the legal, valid and binding obligation of each party thereto, other than the Company, enforceable against each such party in accordance with its terms. As to any facts material to the opinion expressed herein that we did not independently establish or verify, we have relied upon oral or written statements and representations of officers and other representatives of the Company and others.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 the Shares have been duly authorized and, when the Shares have been issued and delivered in accordance with the terms and conditions set forth in the Merger Agreement and as described in the Registration Statement,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our opinion set forth above, we have assumed that, at or prior to the issuance of the Shares referred to therein, </w:t>
      </w:r>
      <w:r>
        <w:rPr>
          <w:rFonts w:ascii="Times New Roman;Times;Serif" w:hAnsi="Times New Roman;Times;Serif"/>
          <w:b w:val="false"/>
          <w:i w:val="false"/>
          <w:caps w:val="false"/>
          <w:smallCaps w:val="false"/>
          <w:sz w:val="20"/>
          <w:shd w:fill="FFFFFF" w:val="clear"/>
        </w:rPr>
        <w:t>the Registration Statement has been declared effective under the Securities Act and such effectiveness shall not have been terminated or rescinded.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strictly limited to the federal laws of the United States of America and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Securities Act. This opinion letter is limited to the matters stated herein, and no opinion may be implied or inferred beyond the matters expressly stated in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given as of the date hereof, and we assume no obligation to advise you after the date hereof of facts or circumstances that come to our attention or changes in the law, including judicial or administrative interpretations thereof, that occur which could affect the opinion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our firm’s name therein and in the prospectus under the heading “Legal Matters.” In giving this consent, we do not thereby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Cozen O’Connor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COZEN O’CONNOR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7" w:name="tm2624896d2_ex23-1.htm"/>
      <w:bookmarkStart w:id="18" w:name="kstm2624896d2_ex231"/>
      <w:bookmarkEnd w:id="17"/>
      <w:bookmarkEnd w:id="1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1590"/>
        <w:gridCol w:w="2330"/>
      </w:tblGrid>
      <w:tr>
        <w:trPr/>
        <w:tc>
          <w:tcPr>
            <w:tcW w:w="1590" w:type="dxa"/>
            <w:tcBorders/>
            <w:vAlign w:val="center"/>
          </w:tcPr>
          <w:p>
            <w:pPr>
              <w:pStyle w:val="TableContents"/>
              <w:bidi w:val="0"/>
              <w:spacing w:before="0" w:after="283"/>
              <w:jc w:val="left"/>
              <w:rPr/>
            </w:pPr>
            <w:r>
              <w:rPr/>
              <w:drawing>
                <wp:inline distT="0" distB="0" distL="0" distR="0">
                  <wp:extent cx="1000125" cy="4857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33"/>
                          <a:stretch>
                            <a:fillRect/>
                          </a:stretch>
                        </pic:blipFill>
                        <pic:spPr bwMode="auto">
                          <a:xfrm>
                            <a:off x="0" y="0"/>
                            <a:ext cx="1000125" cy="485775"/>
                          </a:xfrm>
                          <a:prstGeom prst="rect">
                            <a:avLst/>
                          </a:prstGeom>
                        </pic:spPr>
                      </pic:pic>
                    </a:graphicData>
                  </a:graphic>
                </wp:inline>
              </w:drawing>
            </w:r>
          </w:p>
        </w:tc>
        <w:tc>
          <w:tcPr>
            <w:tcW w:w="2330" w:type="dxa"/>
            <w:tcBorders/>
            <w:vAlign w:val="center"/>
          </w:tcPr>
          <w:p>
            <w:pPr>
              <w:pStyle w:val="TableContents"/>
              <w:bidi w:val="0"/>
              <w:spacing w:before="0" w:after="283"/>
              <w:jc w:val="left"/>
              <w:rPr/>
            </w:pPr>
            <w:r>
              <w:rPr/>
              <w:t> </w:t>
            </w:r>
          </w:p>
        </w:tc>
      </w:tr>
      <w:tr>
        <w:trPr/>
        <w:tc>
          <w:tcPr>
            <w:tcW w:w="159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KPMG LLP</w:t>
              <w:br/>
              <w:t>Suite 1050</w:t>
              <w:br/>
              <w:t>833 East Michigan Street</w:t>
              <w:br/>
              <w:t>Milwaukee, WI 53202-5337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February 27, 2026, with respect to the consolidated financial statements of Navitas Semiconductor Corporation,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Milwaukee, Wisconsin</w:t>
        <w:b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28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KPMG LLP, a Delaware limited liability partnership, and its</w:t>
        <w:br/>
        <w:t>subsidiaries are part of the KPMG global organization of</w:t>
        <w:br/>
        <w:t>independent member firms affiliated with KPMG International</w:t>
        <w:br/>
        <w:t>Limited, a private English company limited by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 w:name="tm2624896d2_ex23-2.htm"/>
      <w:bookmarkStart w:id="20" w:name="kstm2624896d2_ex232"/>
      <w:bookmarkEnd w:id="19"/>
      <w:bookmarkEnd w:id="2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S-4 of Navitas Semiconductor Corporation (the “Company”) of our report dated March 19, 2025, relating to the consolidated financial statements of the Company as of December 31, 2024 and for the year then ended, appearing in the Annual Report on Form 10-K of the Company for the year ended December 31, 2025, filed with the Securities and Exchange Commission.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w:t>
        <w:br/>
        <w:t>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tm2624896d1_ex-filingfees.htm"/>
      <w:bookmarkStart w:id="22" w:name="kstm2624896d1_exfilingfees"/>
      <w:bookmarkStart w:id="23" w:name="tm2624896d1_ex-filingfees.htm"/>
      <w:bookmarkStart w:id="24" w:name="kstm2624896d1_exfilingfees"/>
      <w:bookmarkEnd w:id="23"/>
      <w:bookmarkEnd w:id="24"/>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S-4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Navitas Semiconductor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09"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0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4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8,202,598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$ 106,386,691.63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$ 14,692.00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0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5" w:name="MaxAggtOfferingPrice"/>
            <w:bookmarkEnd w:id="25"/>
            <w:r>
              <w:rPr/>
              <w:t xml:space="preserve">$ 106,386,691.63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$ 14,692.00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$ 14,692.00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223"/>
        <w:gridCol w:w="1589"/>
        <w:gridCol w:w="1826"/>
        <w:gridCol w:w="1581"/>
        <w:gridCol w:w="1819"/>
        <w:gridCol w:w="1813"/>
        <w:gridCol w:w="158"/>
      </w:tblGrid>
      <w:tr>
        <w:trPr/>
        <w:tc>
          <w:tcPr>
            <w:tcW w:w="19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9" w:type="dxa"/>
            <w:gridSpan w:val="7"/>
            <w:tcBorders/>
            <w:vAlign w:val="center"/>
          </w:tcPr>
          <w:p>
            <w:pPr>
              <w:pStyle w:val="TableContents"/>
              <w:bidi w:val="0"/>
              <w:spacing w:before="0" w:after="283"/>
              <w:jc w:val="left"/>
              <w:rPr/>
            </w:pPr>
            <w:r>
              <w:rPr/>
              <w:t xml:space="preserve">Rule 457(f) Fee Calculation Details </w:t>
              <w:br/>
              <w:br/>
              <w:t xml:space="preserve">Represents the maximum number of shares of Navitas Semiconductor Corporation (the "Company") Class A common stock, par value $0.0001 per share ("Class A Common Stock"), issuable by the Company upon completion of the proposed transactions pursuant to the Agreement and Plan of Merger dated August 24,2026 (the "Merger Agreement"), by and among the Company, Claros, Inc., a Delaware corporation ("Claros"), Compass Merger Sub 1 Inc., a Delaware corporation, Compass Merger Sub 2 LLC, a Delaware limited liability company, and Shareholder Representative Services LLC, a Colorado limited liability company, solely in its capacity as the representative, agent and attorney-in-fact of the securityholders of Claros*. In accordance with Rule 416 under the Securities Act of 1933, as amended (the "Securities Act"), this registration statement shall be deemed to cover any additional securities that may from time to time be offered or issued resulting from forward or reverse stock splits, stock dividends or similar transactions. In connection with the consummation of the transactions contemplated by the Merger Agreement, each share of Claros common stock, par value $0.0001 per share ("Claros Common Stock"), and each share of Claros preferred stock, par value $0.0001 per share ("Claros Preferred Stock," and, together with Claros Common Stock, the "Claros Capital Stock"), issued and outstanding immediately prior to the consummation of the transactions will be canceled and converted into the right to receive up to an aggregate of $232.8 million comprised of (a) an aggregate cash amount of approximately $126.4 million, (b) 6,912,729 registered shares of Class A Common Stock issuable at the closing of the transactions contemplated by the Merger Agreement, and (c) no more than 1,289,869 shares of Class A Common Stock issuable by the Company (the "Earnout Shares") based on the achievement of certain business milestones during the period from the closing date of the transactions contemplated by the Merger Agreement through and including the day immediately prior to the two (2)-year anniversary of such date. The value of the shares of Class A Common Stock to be issued by the Company in connection with the transactions contemplated by the Merger Agreement was determined based on the per share closing price of Class A Common Stock on August 21, 2026, which was $12.97 (the "Reference Price"). There are expected to be 13,516,858 shares of Claros Capital Stock outstanding at October 6, 2026 (the expected closing date of the transactions contemplated by the Merger Agreement) comprised of (a) 5,777,393 unrestricted shares of Claros Common Stock issued and outstanding as of August 24, 2026, (b) 42,916 restricted shares of Claros Common Stock that will vest in accordance with the terms of the underlying award agreements on or before October 6, 2026 (the anticipated closing date assuming all closing conditions are satisfied on or before such date), (c) 1,586,468 restricted shares of Claros Common Stock that will vest as of the closing date in accordance with the Merger Agreement; and (d) 6,110,081 shares of Claros Preferred Stock. The number of shares of Claros Capital Stock excludes 549,067 shares of restricted stock that will not be vested as of October 6, 2026, which are not eligible to be paid the merger consideration and will be canceled and converted into restricted stock rights of the Company at the closing of the transactions contemplated by the Merger Agreement. The Maximum Aggregate Offering Price with respect to the shares of Class A Common Stock issuable to holders of Claros Capital Stock pursuant to the Merger Agreement is calculated pursuant to Rules 457(f)(2) and 457(f)(3) under the Securities Act, solely for the purpose of calculating the registration fee required by Section 6(b) of the Securities Act, and the registration fee is estimated at $14,692.01. For purposes of determining the book value of a share of Claros Capital Stock, we have used the maximum aggregate merger consideration to be paid under the Merger Agreement, with the value of the shares of Class A Common Stock to be issuable in connection with the Merger Agreement determined based on the Reference Price. </w:t>
            </w:r>
          </w:p>
        </w:tc>
      </w:tr>
      <w:tr>
        <w:trPr/>
        <w:tc>
          <w:tcPr>
            <w:tcW w:w="196" w:type="dxa"/>
            <w:tcBorders/>
            <w:tcMar>
              <w:top w:w="0" w:type="dxa"/>
              <w:left w:w="0" w:type="dxa"/>
              <w:bottom w:w="0" w:type="dxa"/>
              <w:right w:w="0" w:type="dxa"/>
            </w:tcMar>
            <w:vAlign w:val="center"/>
          </w:tcPr>
          <w:p>
            <w:pPr>
              <w:pStyle w:val="TableHeading"/>
              <w:bidi w:val="0"/>
              <w:spacing w:before="0" w:after="283"/>
              <w:rPr>
                <w:sz w:val="4"/>
                <w:szCs w:val="4"/>
              </w:rPr>
            </w:pPr>
            <w:r>
              <w:rPr>
                <w:sz w:val="4"/>
                <w:szCs w:val="4"/>
              </w:rPr>
            </w:r>
          </w:p>
        </w:tc>
        <w:tc>
          <w:tcPr>
            <w:tcW w:w="1223" w:type="dxa"/>
            <w:tcBorders/>
            <w:tcMar>
              <w:top w:w="0" w:type="dxa"/>
              <w:left w:w="0" w:type="dxa"/>
              <w:bottom w:w="0" w:type="dxa"/>
              <w:right w:w="0" w:type="dxa"/>
            </w:tcMar>
            <w:vAlign w:val="center"/>
          </w:tcPr>
          <w:p>
            <w:pPr>
              <w:pStyle w:val="TableHeading"/>
              <w:suppressLineNumbers/>
              <w:bidi w:val="0"/>
              <w:spacing w:before="0" w:after="283"/>
              <w:jc w:val="center"/>
              <w:rPr/>
            </w:pPr>
            <w:r>
              <w:rPr/>
              <w:t>Amount of Securities to be Received or Cancelled</w:t>
            </w:r>
          </w:p>
        </w:tc>
        <w:tc>
          <w:tcPr>
            <w:tcW w:w="1589" w:type="dxa"/>
            <w:tcBorders/>
            <w:tcMar>
              <w:top w:w="0" w:type="dxa"/>
              <w:left w:w="0" w:type="dxa"/>
              <w:bottom w:w="0" w:type="dxa"/>
              <w:right w:w="0" w:type="dxa"/>
            </w:tcMar>
            <w:vAlign w:val="center"/>
          </w:tcPr>
          <w:p>
            <w:pPr>
              <w:pStyle w:val="TableHeading"/>
              <w:suppressLineNumbers/>
              <w:bidi w:val="0"/>
              <w:spacing w:before="0" w:after="283"/>
              <w:jc w:val="center"/>
              <w:rPr/>
            </w:pPr>
            <w:r>
              <w:rPr/>
              <w:t>Value per Share of Securities to be Received or Cancelled</w:t>
            </w:r>
          </w:p>
        </w:tc>
        <w:tc>
          <w:tcPr>
            <w:tcW w:w="1826" w:type="dxa"/>
            <w:tcBorders/>
            <w:tcMar>
              <w:top w:w="0" w:type="dxa"/>
              <w:left w:w="0" w:type="dxa"/>
              <w:bottom w:w="0" w:type="dxa"/>
              <w:right w:w="0" w:type="dxa"/>
            </w:tcMar>
            <w:vAlign w:val="center"/>
          </w:tcPr>
          <w:p>
            <w:pPr>
              <w:pStyle w:val="TableHeading"/>
              <w:suppressLineNumbers/>
              <w:bidi w:val="0"/>
              <w:spacing w:before="0" w:after="283"/>
              <w:jc w:val="center"/>
              <w:rPr/>
            </w:pPr>
            <w:r>
              <w:rPr/>
              <w:t>Total Value of Securities to be Received or Cancelled</w:t>
            </w:r>
          </w:p>
        </w:tc>
        <w:tc>
          <w:tcPr>
            <w:tcW w:w="1581"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Received by the registrant</w:t>
            </w:r>
          </w:p>
        </w:tc>
        <w:tc>
          <w:tcPr>
            <w:tcW w:w="1819" w:type="dxa"/>
            <w:tcBorders/>
            <w:tcMar>
              <w:top w:w="0" w:type="dxa"/>
              <w:left w:w="0" w:type="dxa"/>
              <w:bottom w:w="0" w:type="dxa"/>
              <w:right w:w="0" w:type="dxa"/>
            </w:tcMar>
            <w:vAlign w:val="center"/>
          </w:tcPr>
          <w:p>
            <w:pPr>
              <w:pStyle w:val="TableHeading"/>
              <w:suppressLineNumbers/>
              <w:bidi w:val="0"/>
              <w:spacing w:before="0" w:after="283"/>
              <w:jc w:val="center"/>
              <w:rPr/>
            </w:pPr>
            <w:r>
              <w:rPr/>
              <w:t>Cash Consideration (Paid) by the registrant</w:t>
            </w:r>
          </w:p>
        </w:tc>
        <w:tc>
          <w:tcPr>
            <w:tcW w:w="1813" w:type="dxa"/>
            <w:tcBorders/>
            <w:tcMar>
              <w:top w:w="0" w:type="dxa"/>
              <w:left w:w="0" w:type="dxa"/>
              <w:bottom w:w="0" w:type="dxa"/>
              <w:right w:w="0" w:type="dxa"/>
            </w:tcMar>
            <w:vAlign w:val="center"/>
          </w:tcPr>
          <w:p>
            <w:pPr>
              <w:pStyle w:val="TableHeading"/>
              <w:suppressLineNumbers/>
              <w:bidi w:val="0"/>
              <w:spacing w:before="0" w:after="283"/>
              <w:jc w:val="center"/>
              <w:rPr/>
            </w:pPr>
            <w:r>
              <w:rPr/>
              <w:t>Maximum Aggregate Offering Price</w:t>
            </w:r>
          </w:p>
        </w:tc>
        <w:tc>
          <w:tcPr>
            <w:tcW w:w="158" w:type="dxa"/>
            <w:tcBorders/>
          </w:tcPr>
          <w:p>
            <w:pPr>
              <w:pStyle w:val="TableContents"/>
              <w:bidi w:val="0"/>
              <w:spacing w:before="0" w:after="283"/>
              <w:jc w:val="left"/>
              <w:rPr>
                <w:sz w:val="4"/>
                <w:szCs w:val="4"/>
              </w:rPr>
            </w:pPr>
            <w:r>
              <w:rPr>
                <w:sz w:val="4"/>
                <w:szCs w:val="4"/>
              </w:rPr>
            </w:r>
          </w:p>
        </w:tc>
      </w:tr>
      <w:tr>
        <w:trPr/>
        <w:tc>
          <w:tcPr>
            <w:tcW w:w="19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pPr>
            <w:r>
              <w:rPr/>
              <w:t xml:space="preserve">13,516,858 </w:t>
            </w:r>
          </w:p>
        </w:tc>
        <w:tc>
          <w:tcPr>
            <w:tcW w:w="1589" w:type="dxa"/>
            <w:tcBorders/>
            <w:vAlign w:val="center"/>
          </w:tcPr>
          <w:p>
            <w:pPr>
              <w:pStyle w:val="TableContents"/>
              <w:bidi w:val="0"/>
              <w:spacing w:before="0" w:after="283"/>
              <w:jc w:val="left"/>
              <w:rPr/>
            </w:pPr>
            <w:r>
              <w:rPr/>
              <w:t xml:space="preserve">$ 17.22088207 </w:t>
            </w:r>
          </w:p>
        </w:tc>
        <w:tc>
          <w:tcPr>
            <w:tcW w:w="1826" w:type="dxa"/>
            <w:tcBorders/>
            <w:vAlign w:val="center"/>
          </w:tcPr>
          <w:p>
            <w:pPr>
              <w:pStyle w:val="TableContents"/>
              <w:bidi w:val="0"/>
              <w:spacing w:before="0" w:after="283"/>
              <w:jc w:val="left"/>
              <w:rPr/>
            </w:pPr>
            <w:r>
              <w:rPr/>
              <w:t xml:space="preserve">$ 232,772,217.57 </w:t>
            </w:r>
          </w:p>
        </w:tc>
        <w:tc>
          <w:tcPr>
            <w:tcW w:w="158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pPr>
            <w:r>
              <w:rPr/>
              <w:t xml:space="preserve">$ 126,385,525.94 </w:t>
            </w:r>
          </w:p>
        </w:tc>
        <w:tc>
          <w:tcPr>
            <w:tcW w:w="1813" w:type="dxa"/>
            <w:tcBorders/>
            <w:vAlign w:val="center"/>
          </w:tcPr>
          <w:p>
            <w:pPr>
              <w:pStyle w:val="TableContents"/>
              <w:bidi w:val="0"/>
              <w:spacing w:before="0" w:after="283"/>
              <w:jc w:val="left"/>
              <w:rPr/>
            </w:pPr>
            <w:r>
              <w:rPr/>
              <w:t xml:space="preserve">$ 106,386,691.63 </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7"/>
            <w:tcBorders/>
            <w:vAlign w:val="center"/>
          </w:tcPr>
          <w:p>
            <w:pPr>
              <w:pStyle w:val="HorizontalLine"/>
              <w:pBdr>
                <w:bottom w:val="double" w:sz="2" w:space="0" w:color="808080"/>
              </w:pBdr>
              <w:bidi w:val="0"/>
              <w:spacing w:before="0" w:after="283"/>
              <w:jc w:val="left"/>
              <w:rPr/>
            </w:pPr>
            <w:r>
              <w:rPr/>
            </w:r>
          </w:p>
        </w:tc>
        <w:tc>
          <w:tcPr>
            <w:tcW w:w="15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s://www.sec.gov/ix?doc=/Archives/edgar/data/1821769/000182176926000007/nvts-20251231.htm" TargetMode="External"/><Relationship Id="rId5" Type="http://schemas.openxmlformats.org/officeDocument/2006/relationships/hyperlink" Target="https://www.sec.gov/ix?doc=/Archives/edgar/data/1821769/000182176926000007/nvts-20251231.htm" TargetMode="External"/><Relationship Id="rId6" Type="http://schemas.openxmlformats.org/officeDocument/2006/relationships/hyperlink" Target="https://www.sec.gov/ix?doc=/Archives/edgar/data/1821769/000182176926000007/nvts-20251231.htm" TargetMode="External"/><Relationship Id="rId7" Type="http://schemas.openxmlformats.org/officeDocument/2006/relationships/hyperlink" Target="https://www.sec.gov/ix?doc=/Archives/edgar/data/1821769/000110465926052971/nvts-20251231x10ka.htm" TargetMode="External"/><Relationship Id="rId8" Type="http://schemas.openxmlformats.org/officeDocument/2006/relationships/hyperlink" Target="https://www.sec.gov/ix?doc=/Archives/edgar/data/1821769/000162828026030524/nvts-20260331.htm" TargetMode="External"/><Relationship Id="rId9" Type="http://schemas.openxmlformats.org/officeDocument/2006/relationships/hyperlink" Target="https://www.sec.gov/ix?doc=/Archives/edgar/data/1821769/000162828026049808/nvts-20260630.htm" TargetMode="External"/><Relationship Id="rId10" Type="http://schemas.openxmlformats.org/officeDocument/2006/relationships/hyperlink" Target="https://www.sec.gov/ix?doc=/Archives/edgar/data/1821769/000182176926000003/i-20260224.htm" TargetMode="External"/><Relationship Id="rId11" Type="http://schemas.openxmlformats.org/officeDocument/2006/relationships/hyperlink" Target="https://www.sec.gov/ix?doc=/Archives/edgar/data/1821769/000110465926019220/tm267059d1_8k.htm" TargetMode="External"/><Relationship Id="rId12" Type="http://schemas.openxmlformats.org/officeDocument/2006/relationships/hyperlink" Target="https://www.sec.gov/ix?doc=/Archives/edgar/data/1821769/000110465926026385/tm268482d1_8k.htm" TargetMode="External"/><Relationship Id="rId13" Type="http://schemas.openxmlformats.org/officeDocument/2006/relationships/hyperlink" Target="https://www.sec.gov/ix?doc=/Archives/edgar/data/1821769/000110465926029469/tm269070d1_8k.htm" TargetMode="External"/><Relationship Id="rId14" Type="http://schemas.openxmlformats.org/officeDocument/2006/relationships/hyperlink" Target="https://www.sec.gov/ix?doc=/Archives/edgar/data/1821769/000110465926042619/tm2611717d1_8k.htm" TargetMode="External"/><Relationship Id="rId15" Type="http://schemas.openxmlformats.org/officeDocument/2006/relationships/hyperlink" Target="https://www.sec.gov/ix?doc=/Archives/edgar/data/1821769/000110465926054482/tm2613278d1_8k.htm" TargetMode="External"/><Relationship Id="rId16" Type="http://schemas.openxmlformats.org/officeDocument/2006/relationships/hyperlink" Target="https://www.sec.gov/ix?doc=/Archives/edgar/data/1821769/000110465926055620/tm2613492d1_8k.htm" TargetMode="External"/><Relationship Id="rId17" Type="http://schemas.openxmlformats.org/officeDocument/2006/relationships/hyperlink" Target="https://www.sec.gov/ix?doc=/Archives/edgar/data/1821769/000110465926058734/tm2613239d3_8k.htm" TargetMode="External"/><Relationship Id="rId18" Type="http://schemas.openxmlformats.org/officeDocument/2006/relationships/hyperlink" Target="https://www.sec.gov/ix?doc=/Archives/edgar/data/1821769/000110465926059828/tm2614473d1_8k.htm" TargetMode="External"/><Relationship Id="rId19" Type="http://schemas.openxmlformats.org/officeDocument/2006/relationships/hyperlink" Target="https://www.sec.gov/ix?doc=/Archives/edgar/data/1821769/000110465926065731/tm2614473d1_8k.htm" TargetMode="External"/><Relationship Id="rId20" Type="http://schemas.openxmlformats.org/officeDocument/2006/relationships/hyperlink" Target="https://www.sec.gov/ix?doc=/Archives/edgar/data/1821769/000110465926065737/tm2615305d2_8k.htm" TargetMode="External"/><Relationship Id="rId21" Type="http://schemas.openxmlformats.org/officeDocument/2006/relationships/hyperlink" Target="https://www.sec.gov/ix?doc=/Archives/edgar/data/1821769/000110465926070530/tm2616859d1_8k.htm" TargetMode="External"/><Relationship Id="rId22" Type="http://schemas.openxmlformats.org/officeDocument/2006/relationships/hyperlink" Target="https://www.sec.gov/ix?doc=/Archives/edgar/data/1821769/000110465926071850/tm2617349d1_8k.htm" TargetMode="External"/><Relationship Id="rId23" Type="http://schemas.openxmlformats.org/officeDocument/2006/relationships/hyperlink" Target="https://www.sec.gov/ix?doc=/Archives/edgar/data/1821769/000110465926074127/tm2617991d1_8k.htm" TargetMode="External"/><Relationship Id="rId24" Type="http://schemas.openxmlformats.org/officeDocument/2006/relationships/hyperlink" Target="https://www.sec.gov/ix?doc=/Archives/edgar/data/1821769/000110465926078274/tm2619097d1_8k.htm" TargetMode="External"/><Relationship Id="rId25" Type="http://schemas.openxmlformats.org/officeDocument/2006/relationships/hyperlink" Target="https://www.sec.gov/ix?doc=/Archives/edgar/data/1821769/000110465926100478/tm2623854d1_8k.htm" TargetMode="External"/><Relationship Id="rId26" Type="http://schemas.openxmlformats.org/officeDocument/2006/relationships/hyperlink" Target="https://www.sec.gov/Archives/edgar/data/1821769/000119312521301974/d242787d8a12b.htm" TargetMode="External"/><Relationship Id="rId27" Type="http://schemas.openxmlformats.org/officeDocument/2006/relationships/hyperlink" Target="https://www.sec.gov/Archives/edgar/data/1821769/000182176924000024/exhibit41-descriptionofsec.htm" TargetMode="External"/><Relationship Id="rId28" Type="http://schemas.openxmlformats.org/officeDocument/2006/relationships/hyperlink" Target="https://www.sec.gov/Archives/edgar/data/1821769/000110465926100478/tm2623854d1_ex2-1.htm" TargetMode="External"/><Relationship Id="rId29" Type="http://schemas.openxmlformats.org/officeDocument/2006/relationships/hyperlink" Target="https://www.sec.gov/Archives/edgar/data/1821769/000119312521306726/d225525dex31.htm" TargetMode="External"/><Relationship Id="rId30" Type="http://schemas.openxmlformats.org/officeDocument/2006/relationships/hyperlink" Target="https://www.sec.gov/Archives/edgar/data/1821769/000182176925000049/a20250408-arbylawsasamende.htm" TargetMode="External"/><Relationship Id="rId31" Type="http://schemas.openxmlformats.org/officeDocument/2006/relationships/hyperlink" Target="https://www.sec.gov/Archives/edgar/data/1821769/000182176924000024/exhibit211-subsidiaries10x.htm" TargetMode="External"/><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11146</Words>
  <Characters>60124</Characters>
  <CharactersWithSpaces>71702</CharactersWithSpaces>
  <Paragraphs>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