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613239d3_8k.htm"/>
      <w:bookmarkStart w:id="1" w:name="kstm2613239d3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5_edei--DocumentType_c20260511__20"/>
      <w:bookmarkEnd w:id="2"/>
      <w:r>
        <w:rPr>
          <w:rFonts w:ascii="Times New Roman;Times;Serif" w:hAnsi="Times New Roman;Times;Serif"/>
          <w:b/>
          <w:i w:val="false"/>
          <w:caps w:val="false"/>
          <w:smallCaps w:val="false"/>
          <w:sz w:val="32"/>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May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97167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71675" cy="4191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5_edei--EntityRegistrantName_c2026"/>
      <w:bookmarkEnd w:id="4"/>
      <w:r>
        <w:rPr>
          <w:rFonts w:ascii="Times New Roman;Times;Serif" w:hAnsi="Times New Roman;Times;Serif"/>
          <w:b/>
          <w:i w:val="false"/>
          <w:caps w:val="false"/>
          <w:smallCaps w:val="false"/>
          <w:sz w:val="36"/>
        </w:rPr>
        <w:t>Navitas Semiconductor Corporation</w:t>
      </w:r>
    </w:p>
    <w:p>
      <w:pPr>
        <w:pStyle w:val="TextBody"/>
        <w:pBdr>
          <w:top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275" w:type="dxa"/>
        <w:jc w:val="left"/>
        <w:tblInd w:w="0" w:type="dxa"/>
        <w:tblLayout w:type="fixed"/>
        <w:tblCellMar>
          <w:top w:w="0" w:type="dxa"/>
          <w:left w:w="0" w:type="dxa"/>
          <w:bottom w:w="28" w:type="dxa"/>
          <w:right w:w="0" w:type="dxa"/>
        </w:tblCellMar>
      </w:tblPr>
      <w:tblGrid>
        <w:gridCol w:w="2165"/>
        <w:gridCol w:w="60"/>
        <w:gridCol w:w="2210"/>
        <w:gridCol w:w="60"/>
        <w:gridCol w:w="2780"/>
      </w:tblGrid>
      <w:tr>
        <w:trPr/>
        <w:tc>
          <w:tcPr>
            <w:tcW w:w="2165" w:type="dxa"/>
            <w:tcBorders>
              <w:bottom w:val="single" w:sz="8" w:space="0" w:color="000000"/>
            </w:tcBorders>
            <w:vAlign w:val="center"/>
          </w:tcPr>
          <w:p>
            <w:pPr>
              <w:pStyle w:val="TableContents"/>
              <w:bidi w:val="0"/>
              <w:spacing w:before="0" w:after="283"/>
              <w:jc w:val="center"/>
              <w:rPr>
                <w:b/>
                <w:sz w:val="20"/>
              </w:rPr>
            </w:pPr>
            <w:bookmarkStart w:id="5" w:name="xdx_90B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vAlign w:val="center"/>
          </w:tcPr>
          <w:p>
            <w:pPr>
              <w:pStyle w:val="TableContents"/>
              <w:bidi w:val="0"/>
              <w:spacing w:before="0" w:after="283"/>
              <w:jc w:val="center"/>
              <w:rPr>
                <w:b/>
                <w:sz w:val="20"/>
              </w:rPr>
            </w:pPr>
            <w:bookmarkStart w:id="6" w:name="xdx_902_edei--EntityFileNumber_c20260511"/>
            <w:bookmarkEnd w:id="6"/>
            <w:r>
              <w:rPr>
                <w:b/>
                <w:sz w:val="20"/>
              </w:rPr>
              <w:t>001-39755</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b/>
                <w:sz w:val="20"/>
              </w:rPr>
            </w:pPr>
            <w:bookmarkStart w:id="7" w:name="xdx_906_edei--EntityTaxIdentificationNum"/>
            <w:bookmarkEnd w:id="7"/>
            <w:r>
              <w:rPr>
                <w:b/>
                <w:sz w:val="20"/>
              </w:rPr>
              <w:t>85-2560226</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3860"/>
        <w:gridCol w:w="60"/>
        <w:gridCol w:w="1040"/>
      </w:tblGrid>
      <w:tr>
        <w:trPr/>
        <w:tc>
          <w:tcPr>
            <w:tcW w:w="3860" w:type="dxa"/>
            <w:tcBorders/>
            <w:vAlign w:val="center"/>
          </w:tcPr>
          <w:p>
            <w:pPr>
              <w:pStyle w:val="TableContents"/>
              <w:bidi w:val="0"/>
              <w:spacing w:before="0" w:after="283"/>
              <w:jc w:val="center"/>
              <w:rPr>
                <w:sz w:val="20"/>
              </w:rPr>
            </w:pPr>
            <w:bookmarkStart w:id="8" w:name="xdx_902_edei--EntityAddressAddressLine1_"/>
            <w:bookmarkEnd w:id="8"/>
            <w:r>
              <w:rPr>
                <w:b/>
                <w:sz w:val="20"/>
              </w:rPr>
              <w:t xml:space="preserve">3520 Challenger Street, </w:t>
            </w:r>
            <w:bookmarkStart w:id="9" w:name="xdx_90F_edei--EntityAddressCityOrTown_c2"/>
            <w:bookmarkEnd w:id="9"/>
            <w:r>
              <w:rPr>
                <w:b/>
                <w:sz w:val="20"/>
              </w:rPr>
              <w:t xml:space="preserve">Torrance, </w:t>
            </w:r>
            <w:bookmarkStart w:id="10" w:name="xdx_906_edei--EntityAddressStateOrProvin"/>
            <w:bookmarkEnd w:id="10"/>
            <w:r>
              <w:rPr>
                <w:b/>
                <w:sz w:val="20"/>
              </w:rPr>
              <w:t>California</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b/>
                <w:sz w:val="20"/>
              </w:rPr>
            </w:pPr>
            <w:bookmarkStart w:id="11" w:name="xdx_906_edei--EntityAddressPostalZipCode"/>
            <w:bookmarkEnd w:id="11"/>
            <w:r>
              <w:rPr>
                <w:b/>
                <w:sz w:val="20"/>
              </w:rPr>
              <w:t>90503-1640</w:t>
            </w:r>
          </w:p>
        </w:tc>
      </w:tr>
      <w:tr>
        <w:trPr/>
        <w:tc>
          <w:tcPr>
            <w:tcW w:w="3860" w:type="dxa"/>
            <w:tcBorders>
              <w:top w:val="single" w:sz="8" w:space="0" w:color="000000"/>
            </w:tcBorders>
            <w:tcMar>
              <w:top w:w="28" w:type="dxa"/>
            </w:tcMar>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1040" w:type="dxa"/>
            <w:tcBorders>
              <w:top w:val="single" w:sz="8" w:space="0" w:color="000000"/>
            </w:tcBorders>
            <w:tcMar>
              <w:top w:w="28"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A_edei--CityAreaCode_c20260511__20"/>
      <w:bookmarkEnd w:id="12"/>
      <w:r>
        <w:rPr>
          <w:rFonts w:ascii="Times New Roman;Times;Serif" w:hAnsi="Times New Roman;Times;Serif"/>
          <w:b/>
          <w:i w:val="false"/>
          <w:caps w:val="false"/>
          <w:smallCaps w:val="false"/>
          <w:sz w:val="20"/>
        </w:rPr>
        <w:t xml:space="preserve">844) </w:t>
      </w:r>
      <w:bookmarkStart w:id="13" w:name="xdx_90E_edei--LocalPhoneNumber_c20260511"/>
      <w:bookmarkEnd w:id="13"/>
      <w:r>
        <w:rPr>
          <w:rFonts w:ascii="Times New Roman;Times;Serif" w:hAnsi="Times New Roman;Times;Serif"/>
          <w:b/>
          <w:i w:val="false"/>
          <w:caps w:val="false"/>
          <w:smallCaps w:val="false"/>
          <w:sz w:val="20"/>
        </w:rPr>
        <w:t>654-2642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A_edei--WrittenCommunications_c202"/>
            <w:bookmarkEnd w:id="14"/>
            <w:r>
              <w:rPr/>
              <w:t>☐</w:t>
            </w:r>
          </w:p>
        </w:tc>
        <w:tc>
          <w:tcPr>
            <w:tcW w:w="729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4_edei--SolicitingMaterial_c202605"/>
            <w:bookmarkEnd w:id="15"/>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1_edei--PreCommencementTenderOffer"/>
            <w:bookmarkEnd w:id="16"/>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4_edei--PreCommencementIssuerTende"/>
            <w:bookmarkEnd w:id="17"/>
            <w:r>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175" w:type="dxa"/>
        <w:jc w:val="left"/>
        <w:tblInd w:w="-10" w:type="dxa"/>
        <w:tblLayout w:type="fixed"/>
        <w:tblCellMar>
          <w:top w:w="28" w:type="dxa"/>
          <w:left w:w="28" w:type="dxa"/>
          <w:bottom w:w="28" w:type="dxa"/>
          <w:right w:w="0" w:type="dxa"/>
        </w:tblCellMar>
      </w:tblPr>
      <w:tblGrid>
        <w:gridCol w:w="4460"/>
        <w:gridCol w:w="860"/>
        <w:gridCol w:w="2855"/>
      </w:tblGrid>
      <w:tr>
        <w:trPr/>
        <w:tc>
          <w:tcPr>
            <w:tcW w:w="446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sz w:val="20"/>
              </w:rPr>
            </w:pPr>
            <w:r>
              <w:rPr>
                <w:b/>
                <w:sz w:val="20"/>
              </w:rPr>
              <w:t>Title of each class</w:t>
            </w:r>
          </w:p>
        </w:tc>
        <w:tc>
          <w:tcPr>
            <w:tcW w:w="860"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b/>
                <w:sz w:val="20"/>
              </w:rPr>
            </w:pPr>
            <w:r>
              <w:rPr>
                <w:b/>
                <w:sz w:val="20"/>
              </w:rPr>
              <w:t xml:space="preserve">Trading </w:t>
              <w:br/>
              <w:t>Symbol(s)</w:t>
            </w:r>
          </w:p>
        </w:tc>
        <w:tc>
          <w:tcPr>
            <w:tcW w:w="2855"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b/>
                <w:sz w:val="20"/>
              </w:rPr>
            </w:pPr>
            <w:r>
              <w:rPr>
                <w:b/>
                <w:sz w:val="20"/>
              </w:rPr>
              <w:t xml:space="preserve">Name of each exchange on which </w:t>
              <w:br/>
              <w:t>registered</w:t>
            </w:r>
          </w:p>
        </w:tc>
      </w:tr>
      <w:tr>
        <w:trPr/>
        <w:tc>
          <w:tcPr>
            <w:tcW w:w="4460" w:type="dxa"/>
            <w:tcBorders>
              <w:left w:val="single" w:sz="8" w:space="0" w:color="000000"/>
              <w:bottom w:val="single" w:sz="8" w:space="0" w:color="000000"/>
            </w:tcBorders>
            <w:tcMar>
              <w:top w:w="0" w:type="dxa"/>
            </w:tcMar>
            <w:vAlign w:val="center"/>
          </w:tcPr>
          <w:p>
            <w:pPr>
              <w:pStyle w:val="TableContents"/>
              <w:bidi w:val="0"/>
              <w:spacing w:before="0" w:after="283"/>
              <w:jc w:val="center"/>
              <w:rPr>
                <w:b/>
                <w:sz w:val="20"/>
              </w:rPr>
            </w:pPr>
            <w:bookmarkStart w:id="18" w:name="xdx_90E_edei--Security12bTitle_c20260511"/>
            <w:bookmarkEnd w:id="18"/>
            <w:r>
              <w:rPr>
                <w:b/>
                <w:sz w:val="20"/>
              </w:rPr>
              <w:t>Class A Common Stock, par value $0.0001 per share</w:t>
            </w:r>
          </w:p>
        </w:tc>
        <w:tc>
          <w:tcPr>
            <w:tcW w:w="86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b/>
                <w:sz w:val="20"/>
              </w:rPr>
            </w:pPr>
            <w:bookmarkStart w:id="19" w:name="xdx_90E_edei--TradingSymbol_c20260511__2"/>
            <w:bookmarkEnd w:id="19"/>
            <w:r>
              <w:rPr>
                <w:b/>
                <w:sz w:val="20"/>
              </w:rPr>
              <w:t>NVTS</w:t>
            </w:r>
          </w:p>
        </w:tc>
        <w:tc>
          <w:tcPr>
            <w:tcW w:w="285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b/>
                <w:sz w:val="20"/>
              </w:rPr>
              <w:t xml:space="preserve">The </w:t>
            </w:r>
            <w:bookmarkStart w:id="20" w:name="xdx_909_edei--SecurityExchangeName_c2026"/>
            <w:bookmarkEnd w:id="20"/>
            <w:r>
              <w:rPr>
                <w:b/>
                <w:sz w:val="20"/>
              </w:rPr>
              <w:t>Nasdaq</w:t>
            </w:r>
            <w:r>
              <w:rPr>
                <w:sz w:val="20"/>
              </w:rPr>
              <w:t xml:space="preserve"> </w:t>
            </w:r>
            <w:r>
              <w:rPr>
                <w:b/>
                <w:sz w:val="20"/>
              </w:rPr>
              <w:t>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7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830"/>
        <w:gridCol w:w="378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1.01</w:t>
            </w:r>
          </w:p>
        </w:tc>
        <w:tc>
          <w:tcPr>
            <w:tcW w:w="37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Entry into a Material Definitive Agreement.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2026, Navitas Semiconductor Corporation, a Delaware corporation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entered into a Sales Agreement (the “</w:t>
      </w:r>
      <w:r>
        <w:rPr>
          <w:rFonts w:ascii="Times New Roman;Times;Serif" w:hAnsi="Times New Roman;Times;Serif"/>
          <w:b w:val="false"/>
          <w:i/>
          <w:caps w:val="false"/>
          <w:smallCaps w:val="false"/>
          <w:sz w:val="20"/>
        </w:rPr>
        <w:t>Sales Agreement</w:t>
      </w:r>
      <w:r>
        <w:rPr>
          <w:rFonts w:ascii="Times New Roman;Times;Serif" w:hAnsi="Times New Roman;Times;Serif"/>
          <w:b w:val="false"/>
          <w:i w:val="false"/>
          <w:caps w:val="false"/>
          <w:smallCaps w:val="false"/>
          <w:sz w:val="20"/>
        </w:rPr>
        <w:t>”) with Craig-Hallum Capital Group LLC and UBS Securities LLC (together, the “</w:t>
      </w:r>
      <w:r>
        <w:rPr>
          <w:rFonts w:ascii="Times New Roman;Times;Serif" w:hAnsi="Times New Roman;Times;Serif"/>
          <w:b w:val="false"/>
          <w:i/>
          <w:caps w:val="false"/>
          <w:smallCaps w:val="false"/>
          <w:sz w:val="20"/>
        </w:rPr>
        <w:t>Sales Agents</w:t>
      </w:r>
      <w:r>
        <w:rPr>
          <w:rFonts w:ascii="Times New Roman;Times;Serif" w:hAnsi="Times New Roman;Times;Serif"/>
          <w:b w:val="false"/>
          <w:i w:val="false"/>
          <w:caps w:val="false"/>
          <w:smallCaps w:val="false"/>
          <w:sz w:val="20"/>
        </w:rPr>
        <w:t>”). The Sales Agreement provides for the offer and sale of the Company’s Class A common stock, par value $0.0001 per share (the “</w:t>
      </w:r>
      <w:r>
        <w:rPr>
          <w:rFonts w:ascii="Times New Roman;Times;Serif" w:hAnsi="Times New Roman;Times;Serif"/>
          <w:b w:val="false"/>
          <w:i/>
          <w:caps w:val="false"/>
          <w:smallCaps w:val="false"/>
          <w:sz w:val="20"/>
        </w:rPr>
        <w:t>Common Stock</w:t>
      </w:r>
      <w:r>
        <w:rPr>
          <w:rFonts w:ascii="Times New Roman;Times;Serif" w:hAnsi="Times New Roman;Times;Serif"/>
          <w:b w:val="false"/>
          <w:i w:val="false"/>
          <w:caps w:val="false"/>
          <w:smallCaps w:val="false"/>
          <w:sz w:val="20"/>
        </w:rPr>
        <w:t>”), from time to time through an “at the market offering” program under which the Sales Agents will act as sales agents or principals, subject to certain limitations. Pursuant to the prospectus supplement filed by the Company on May 11, 2026 (the “ATM Prospectus Supplement”), the Company may offer and sell up to $125.0 million of shares of Common Stock pursuant to the terms of the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Sales Agreement, the Sales Agents may sell the shares of Common Stock by any method permitted by law deemed to be an “at the market offering” as defined in Rule 415(a)(4) promulgated under the Securities Act of 1933, as amended, including sales made directly on the Nasdaq Capital Market (“</w:t>
      </w:r>
      <w:r>
        <w:rPr>
          <w:rFonts w:ascii="Times New Roman;Times;Serif" w:hAnsi="Times New Roman;Times;Serif"/>
          <w:b w:val="false"/>
          <w:i/>
          <w:caps w:val="false"/>
          <w:smallCaps w:val="false"/>
          <w:sz w:val="20"/>
        </w:rPr>
        <w:t>Nasdaq</w:t>
      </w:r>
      <w:r>
        <w:rPr>
          <w:rFonts w:ascii="Times New Roman;Times;Serif" w:hAnsi="Times New Roman;Times;Serif"/>
          <w:b w:val="false"/>
          <w:i w:val="false"/>
          <w:caps w:val="false"/>
          <w:smallCaps w:val="false"/>
          <w:sz w:val="20"/>
        </w:rPr>
        <w:t>”) or on any other existing trading market for the Common Stock, in negotiated transactions at market prices prevailing at the time of sale or at prices related to such prevailing market prices and/or any other method permitted by law. The Sales Agents will use commercially reasonable efforts consistent with their normal trading and sales practices and applicable state and federal laws, rules and regulations and the rules of Nasdaq. The Company has no obligation to sell any shares of Common Stock under the Sales Agreement and may at any time suspend solicitation and offers under the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Agreement provides that the Sales Agents will be entitled to compensation for their services in an amount of up to 3.0% of the aggregate gross proceeds from each sale made by the Sales Agents under the Sales Agreement. The Sales Agreement contains customary representations, warranties and agreements by the Company, indemnification obligations of the Company and the Sales Agents, other obligations of the parties and termination provisions. The representations, warranties and covenants contained in the Sales Agreement were made only for purposes of such agreement and as of specific dates, were solely for the benefit of the parties to such agreement, and may be subject to limitations agreed upon by the contracting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sales of shares under the Sales Agreement will be made pursuant to the Company’s shelf registration statement on Form S-3ASR (File No. 333-295754), including the related prospectus, which became effective immediately upon filing with the Securities and Exchange Commission on May 11, 2026, as supplemented by the ATM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Sales Agreement is not complete and is qualified in its entirety by reference to the full text of such agreement, a copy of which is filed as Exhibit 1.1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shall not constitute an offer to sell or the solicitation of an offer to buy the securities discussed herein, nor shall there be any sale of such securities in any state or jurisdiction in which such offer, solicitation or sale would be unlawful prior to registration or qualification under the securities laws of any such state or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opinion of Cozen O’Connor relating to the validity of the Common Stock issued in the offering is filed herewith as Exhibit 5.1.</w:t>
      </w:r>
    </w:p>
    <w:p>
      <w:pPr>
        <w:pStyle w:val="TextBody"/>
        <w:bidi w:val="0"/>
        <w:spacing w:before="0" w:after="0"/>
        <w:ind w:left="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830"/>
        <w:gridCol w:w="1445"/>
      </w:tblGrid>
      <w:tr>
        <w:trPr/>
        <w:tc>
          <w:tcPr>
            <w:tcW w:w="830" w:type="dxa"/>
            <w:tcBorders/>
            <w:vAlign w:val="center"/>
          </w:tcPr>
          <w:p>
            <w:pPr>
              <w:pStyle w:val="TableContents"/>
              <w:bidi w:val="0"/>
              <w:spacing w:before="0" w:after="283"/>
              <w:jc w:val="left"/>
              <w:rPr>
                <w:b/>
                <w:sz w:val="20"/>
              </w:rPr>
            </w:pPr>
            <w:r>
              <w:rPr>
                <w:b/>
                <w:sz w:val="20"/>
              </w:rPr>
              <w:t>Item 8.01</w:t>
            </w:r>
          </w:p>
        </w:tc>
        <w:tc>
          <w:tcPr>
            <w:tcW w:w="1445" w:type="dxa"/>
            <w:tcBorders/>
            <w:vAlign w:val="center"/>
          </w:tcPr>
          <w:p>
            <w:pPr>
              <w:pStyle w:val="TableContents"/>
              <w:bidi w:val="0"/>
              <w:spacing w:before="0" w:after="283"/>
              <w:jc w:val="both"/>
              <w:rPr>
                <w:b/>
              </w:rPr>
            </w:pPr>
            <w:r>
              <w:rPr>
                <w:b/>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2026, the Company delivered written notice to Jefferies LLC (“</w:t>
      </w:r>
      <w:r>
        <w:rPr>
          <w:rFonts w:ascii="Times New Roman;Times;Serif" w:hAnsi="Times New Roman;Times;Serif"/>
          <w:b w:val="false"/>
          <w:i/>
          <w:caps w:val="false"/>
          <w:smallCaps w:val="false"/>
          <w:sz w:val="20"/>
        </w:rPr>
        <w:t>Jefferies</w:t>
      </w:r>
      <w:r>
        <w:rPr>
          <w:rFonts w:ascii="Times New Roman;Times;Serif" w:hAnsi="Times New Roman;Times;Serif"/>
          <w:b w:val="false"/>
          <w:i w:val="false"/>
          <w:caps w:val="false"/>
          <w:smallCaps w:val="false"/>
          <w:sz w:val="20"/>
        </w:rPr>
        <w:t>”) of the termination of the Open Market Sale Agreement, dated as of March 19, 2025, by and between the Company and Jefferies (the “</w:t>
      </w:r>
      <w:r>
        <w:rPr>
          <w:rFonts w:ascii="Times New Roman;Times;Serif" w:hAnsi="Times New Roman;Times;Serif"/>
          <w:b w:val="false"/>
          <w:i/>
          <w:caps w:val="false"/>
          <w:smallCaps w:val="false"/>
          <w:sz w:val="20"/>
        </w:rPr>
        <w:t>Jefferies Sales Agreement</w:t>
      </w:r>
      <w:r>
        <w:rPr>
          <w:rFonts w:ascii="Times New Roman;Times;Serif" w:hAnsi="Times New Roman;Times;Serif"/>
          <w:b w:val="false"/>
          <w:i w:val="false"/>
          <w:caps w:val="false"/>
          <w:smallCaps w:val="false"/>
          <w:sz w:val="20"/>
        </w:rPr>
        <w:t>”), pursuant to Section 7(a) thereof. The Jefferies Sales Agreement had previously terminated in July 2025 upon the expiration of the applicable agency period; however, the Company provided such notice to avoid any uncertainty regarding the status of the Jefferies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30"/>
        <w:gridCol w:w="300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30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Financial Statements and Exhibits.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0"/>
        <w:gridCol w:w="60"/>
        <w:gridCol w:w="9495"/>
      </w:tblGrid>
      <w:tr>
        <w:trPr/>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w:t>
              <w:br/>
              <w:t>No.</w:t>
            </w:r>
          </w:p>
        </w:tc>
        <w:tc>
          <w:tcPr>
            <w:tcW w:w="6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Description</w:t>
            </w:r>
          </w:p>
        </w:tc>
      </w:tr>
      <w:tr>
        <w:trPr/>
        <w:tc>
          <w:tcPr>
            <w:tcW w:w="6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495" w:type="dxa"/>
            <w:tcBorders/>
            <w:vAlign w:val="center"/>
          </w:tcPr>
          <w:p>
            <w:pPr>
              <w:pStyle w:val="TableContents"/>
              <w:bidi w:val="0"/>
              <w:spacing w:before="0" w:after="283"/>
              <w:jc w:val="both"/>
              <w:rPr/>
            </w:pPr>
            <w:r>
              <w:rPr/>
              <w:t> </w:t>
            </w:r>
          </w:p>
        </w:tc>
      </w:tr>
      <w:tr>
        <w:trPr/>
        <w:tc>
          <w:tcPr>
            <w:tcW w:w="650" w:type="dxa"/>
            <w:tcBorders/>
            <w:vAlign w:val="center"/>
          </w:tcPr>
          <w:p>
            <w:pPr>
              <w:pStyle w:val="TableContents"/>
              <w:bidi w:val="0"/>
              <w:spacing w:before="0" w:after="283"/>
              <w:jc w:val="both"/>
              <w:rPr/>
            </w:pPr>
            <w:hyperlink w:anchor="tm2613239d3_ex1-1.htm">
              <w:r>
                <w:rPr>
                  <w:rStyle w:val="InternetLink"/>
                  <w:rFonts w:ascii="Times New Roman;Times;Serif" w:hAnsi="Times New Roman;Times;Serif"/>
                  <w:sz w:val="20"/>
                </w:rPr>
                <w:t>1.1</w:t>
              </w:r>
            </w:hyperlink>
          </w:p>
        </w:tc>
        <w:tc>
          <w:tcPr>
            <w:tcW w:w="60" w:type="dxa"/>
            <w:tcBorders/>
            <w:vAlign w:val="center"/>
          </w:tcPr>
          <w:p>
            <w:pPr>
              <w:pStyle w:val="TableContents"/>
              <w:bidi w:val="0"/>
              <w:spacing w:before="0" w:after="283"/>
              <w:jc w:val="both"/>
              <w:rPr/>
            </w:pPr>
            <w:r>
              <w:rPr/>
              <w:t> </w:t>
            </w:r>
          </w:p>
        </w:tc>
        <w:tc>
          <w:tcPr>
            <w:tcW w:w="9495" w:type="dxa"/>
            <w:tcBorders/>
            <w:vAlign w:val="center"/>
          </w:tcPr>
          <w:p>
            <w:pPr>
              <w:pStyle w:val="TableContents"/>
              <w:bidi w:val="0"/>
              <w:spacing w:before="0" w:after="283"/>
              <w:jc w:val="both"/>
              <w:rPr/>
            </w:pPr>
            <w:hyperlink w:anchor="tm2613239d3_ex1-1.htm">
              <w:r>
                <w:rPr>
                  <w:rStyle w:val="InternetLink"/>
                  <w:rFonts w:ascii="Times New Roman;Times;Serif" w:hAnsi="Times New Roman;Times;Serif"/>
                  <w:sz w:val="20"/>
                </w:rPr>
                <w:t xml:space="preserve">Sales Agreement, dated May 11, 2026, by and among Navitas Semiconductor Corporation, Craig-Hallum Capital Group LLC and UBS Securities LLC. </w:t>
              </w:r>
            </w:hyperlink>
          </w:p>
        </w:tc>
      </w:tr>
      <w:tr>
        <w:trPr/>
        <w:tc>
          <w:tcPr>
            <w:tcW w:w="6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495" w:type="dxa"/>
            <w:tcBorders/>
            <w:vAlign w:val="center"/>
          </w:tcPr>
          <w:p>
            <w:pPr>
              <w:pStyle w:val="TableContents"/>
              <w:bidi w:val="0"/>
              <w:spacing w:before="0" w:after="283"/>
              <w:jc w:val="both"/>
              <w:rPr/>
            </w:pPr>
            <w:r>
              <w:rPr/>
              <w:t> </w:t>
            </w:r>
          </w:p>
        </w:tc>
      </w:tr>
      <w:tr>
        <w:trPr/>
        <w:tc>
          <w:tcPr>
            <w:tcW w:w="650" w:type="dxa"/>
            <w:tcBorders/>
            <w:vAlign w:val="center"/>
          </w:tcPr>
          <w:p>
            <w:pPr>
              <w:pStyle w:val="TableContents"/>
              <w:bidi w:val="0"/>
              <w:spacing w:before="0" w:after="283"/>
              <w:jc w:val="both"/>
              <w:rPr/>
            </w:pPr>
            <w:hyperlink w:anchor="tm2613239d3_ex5-1.htm">
              <w:r>
                <w:rPr>
                  <w:rStyle w:val="InternetLink"/>
                  <w:rFonts w:ascii="Times New Roman;Times;Serif" w:hAnsi="Times New Roman;Times;Serif"/>
                  <w:sz w:val="20"/>
                </w:rPr>
                <w:t>5.1</w:t>
              </w:r>
            </w:hyperlink>
          </w:p>
        </w:tc>
        <w:tc>
          <w:tcPr>
            <w:tcW w:w="60" w:type="dxa"/>
            <w:tcBorders/>
            <w:vAlign w:val="center"/>
          </w:tcPr>
          <w:p>
            <w:pPr>
              <w:pStyle w:val="TableContents"/>
              <w:bidi w:val="0"/>
              <w:spacing w:before="0" w:after="283"/>
              <w:jc w:val="both"/>
              <w:rPr/>
            </w:pPr>
            <w:r>
              <w:rPr/>
              <w:t> </w:t>
            </w:r>
          </w:p>
        </w:tc>
        <w:tc>
          <w:tcPr>
            <w:tcW w:w="9495" w:type="dxa"/>
            <w:tcBorders/>
            <w:vAlign w:val="center"/>
          </w:tcPr>
          <w:p>
            <w:pPr>
              <w:pStyle w:val="TableContents"/>
              <w:bidi w:val="0"/>
              <w:spacing w:before="0" w:after="283"/>
              <w:jc w:val="both"/>
              <w:rPr/>
            </w:pPr>
            <w:hyperlink w:anchor="tm2613239d3_ex5-1.htm">
              <w:r>
                <w:rPr>
                  <w:rStyle w:val="InternetLink"/>
                  <w:rFonts w:ascii="Times New Roman;Times;Serif" w:hAnsi="Times New Roman;Times;Serif"/>
                  <w:sz w:val="20"/>
                </w:rPr>
                <w:t>Legal Opinion of Cozen O’Connor.</w:t>
              </w:r>
            </w:hyperlink>
          </w:p>
        </w:tc>
      </w:tr>
      <w:tr>
        <w:trPr/>
        <w:tc>
          <w:tcPr>
            <w:tcW w:w="6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495" w:type="dxa"/>
            <w:tcBorders/>
            <w:vAlign w:val="center"/>
          </w:tcPr>
          <w:p>
            <w:pPr>
              <w:pStyle w:val="TableContents"/>
              <w:bidi w:val="0"/>
              <w:spacing w:before="0" w:after="283"/>
              <w:jc w:val="both"/>
              <w:rPr/>
            </w:pPr>
            <w:r>
              <w:rPr/>
              <w:t> </w:t>
            </w:r>
          </w:p>
        </w:tc>
      </w:tr>
      <w:tr>
        <w:trPr/>
        <w:tc>
          <w:tcPr>
            <w:tcW w:w="650" w:type="dxa"/>
            <w:tcBorders/>
            <w:vAlign w:val="center"/>
          </w:tcPr>
          <w:p>
            <w:pPr>
              <w:pStyle w:val="TableContents"/>
              <w:bidi w:val="0"/>
              <w:spacing w:before="0" w:after="283"/>
              <w:jc w:val="both"/>
              <w:rPr/>
            </w:pPr>
            <w:hyperlink w:anchor="tm2613239d3_ex5-1.htm">
              <w:r>
                <w:rPr>
                  <w:rStyle w:val="InternetLink"/>
                  <w:rFonts w:ascii="Times New Roman;Times;Serif" w:hAnsi="Times New Roman;Times;Serif"/>
                  <w:sz w:val="20"/>
                </w:rPr>
                <w:t>23.1</w:t>
              </w:r>
            </w:hyperlink>
          </w:p>
        </w:tc>
        <w:tc>
          <w:tcPr>
            <w:tcW w:w="60" w:type="dxa"/>
            <w:tcBorders/>
            <w:vAlign w:val="center"/>
          </w:tcPr>
          <w:p>
            <w:pPr>
              <w:pStyle w:val="TableContents"/>
              <w:bidi w:val="0"/>
              <w:spacing w:before="0" w:after="283"/>
              <w:jc w:val="both"/>
              <w:rPr/>
            </w:pPr>
            <w:r>
              <w:rPr/>
              <w:t> </w:t>
            </w:r>
          </w:p>
        </w:tc>
        <w:tc>
          <w:tcPr>
            <w:tcW w:w="9495" w:type="dxa"/>
            <w:tcBorders/>
            <w:vAlign w:val="center"/>
          </w:tcPr>
          <w:p>
            <w:pPr>
              <w:pStyle w:val="TableContents"/>
              <w:bidi w:val="0"/>
              <w:spacing w:before="0" w:after="283"/>
              <w:jc w:val="both"/>
              <w:rPr/>
            </w:pPr>
            <w:hyperlink w:anchor="tm2613239d3_ex5-1.htm">
              <w:r>
                <w:rPr>
                  <w:rStyle w:val="InternetLink"/>
                  <w:rFonts w:ascii="Times New Roman;Times;Serif" w:hAnsi="Times New Roman;Times;Serif"/>
                  <w:sz w:val="20"/>
                </w:rPr>
                <w:t xml:space="preserve">Consent of Cozen O’Connor (included in Exhibit 5.1). </w:t>
              </w:r>
            </w:hyperlink>
          </w:p>
        </w:tc>
      </w:tr>
      <w:tr>
        <w:trPr/>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both"/>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934" w:type="dxa"/>
        <w:jc w:val="left"/>
        <w:tblInd w:w="0" w:type="dxa"/>
        <w:tblLayout w:type="fixed"/>
        <w:tblCellMar>
          <w:top w:w="0" w:type="dxa"/>
          <w:left w:w="0" w:type="dxa"/>
          <w:bottom w:w="0" w:type="dxa"/>
          <w:right w:w="0" w:type="dxa"/>
        </w:tblCellMar>
      </w:tblPr>
      <w:tblGrid>
        <w:gridCol w:w="1760"/>
        <w:gridCol w:w="391"/>
        <w:gridCol w:w="3783"/>
      </w:tblGrid>
      <w:tr>
        <w:trPr/>
        <w:tc>
          <w:tcPr>
            <w:tcW w:w="1760"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NAVITAS SEMICONDUCTOR CORPORATION</w:t>
            </w:r>
          </w:p>
        </w:tc>
      </w:tr>
      <w:tr>
        <w:trPr/>
        <w:tc>
          <w:tcPr>
            <w:tcW w:w="1760"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May 11, 2026</w:t>
            </w:r>
          </w:p>
        </w:tc>
        <w:tc>
          <w:tcPr>
            <w:tcW w:w="4174"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 Allexandre</w:t>
            </w:r>
          </w:p>
        </w:tc>
      </w:tr>
      <w:tr>
        <w:trPr/>
        <w:tc>
          <w:tcPr>
            <w:tcW w:w="17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3783"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 Allexandre</w:t>
            </w:r>
          </w:p>
        </w:tc>
      </w:tr>
      <w:tr>
        <w:trPr/>
        <w:tc>
          <w:tcPr>
            <w:tcW w:w="17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37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13239d3_ex1-1.htm"/>
      <w:bookmarkStart w:id="23" w:name="kstm2613239d3_ex11"/>
      <w:bookmarkEnd w:id="22"/>
      <w:bookmarkEnd w:id="23"/>
      <w:r>
        <w:rPr/>
        <w:t> </w:t>
      </w:r>
      <w:r>
        <w:br w:type="page"/>
      </w:r>
    </w:p>
    <w:p>
      <w:pPr>
        <w:pStyle w:val="TextBody"/>
        <w:bidi w:val="0"/>
        <w:jc w:val="right"/>
        <w:rPr>
          <w:b/>
        </w:rPr>
      </w:pPr>
      <w:r>
        <w:rPr>
          <w:b/>
        </w:rPr>
        <w:t>Exhibit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Craig-Hallum Capital Group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 N. Washington Ave., Suite 300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MN 55401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UBS Securities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Madison Avenue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Navitas Semiconductor Corporation,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proposes, subject to the terms and conditions stated herein, to issue and sell from time to time through Craig-Hallum Capital Group LLC and UBS Securities LLC, as sales agents and/or principals (collectively, the “</w:t>
      </w:r>
      <w:r>
        <w:rPr>
          <w:rFonts w:ascii="Times New Roman;Times;Serif" w:hAnsi="Times New Roman;Times;Serif"/>
          <w:b/>
          <w:i w:val="false"/>
          <w:caps w:val="false"/>
          <w:smallCaps w:val="false"/>
          <w:sz w:val="20"/>
        </w:rPr>
        <w:t>Agents</w:t>
      </w:r>
      <w:r>
        <w:rPr>
          <w:rFonts w:ascii="Times New Roman;Times;Serif" w:hAnsi="Times New Roman;Times;Serif"/>
          <w:b w:val="false"/>
          <w:i w:val="false"/>
          <w:caps w:val="false"/>
          <w:smallCaps w:val="false"/>
          <w:sz w:val="20"/>
        </w:rPr>
        <w:t>” and each individually an “</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shares of the Company’s Class A common stock, par value $0.0001 per share (the “</w:t>
      </w:r>
      <w:r>
        <w:rPr>
          <w:rFonts w:ascii="Times New Roman;Times;Serif" w:hAnsi="Times New Roman;Times;Serif"/>
          <w:b/>
          <w:i w:val="false"/>
          <w:caps w:val="false"/>
          <w:smallCaps w:val="false"/>
          <w:sz w:val="20"/>
        </w:rPr>
        <w:t>Common Shares</w:t>
      </w:r>
      <w:r>
        <w:rPr>
          <w:rFonts w:ascii="Times New Roman;Times;Serif" w:hAnsi="Times New Roman;Times;Serif"/>
          <w:b w:val="false"/>
          <w:i w:val="false"/>
          <w:caps w:val="false"/>
          <w:smallCaps w:val="false"/>
          <w:sz w:val="20"/>
        </w:rPr>
        <w:t>”), on the terms set forth in this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Agreement, capitalized terms used herein and not otherwise defined shall have the following respective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Agency Period</w:t>
      </w:r>
      <w:r>
        <w:rPr>
          <w:rFonts w:ascii="Times New Roman;Times;Serif" w:hAnsi="Times New Roman;Times;Serif"/>
          <w:b w:val="false"/>
          <w:i w:val="false"/>
          <w:caps w:val="false"/>
          <w:smallCaps w:val="false"/>
          <w:sz w:val="20"/>
        </w:rPr>
        <w:t xml:space="preserve">” means the period commencing on the date of this Agreement and expiring on the earliest to occur of (x) the date on which the Agents shall have placed the Maximum Program Amount pursuant to this Agreement and (y) the date this Agreement is terminated pursuant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Floor Price</w:t>
      </w:r>
      <w:r>
        <w:rPr>
          <w:rFonts w:ascii="Times New Roman;Times;Serif" w:hAnsi="Times New Roman;Times;Serif"/>
          <w:b w:val="false"/>
          <w:i w:val="false"/>
          <w:caps w:val="false"/>
          <w:smallCaps w:val="false"/>
          <w:sz w:val="20"/>
        </w:rPr>
        <w:t>” means the minimum price set by the Company in the Issuance Notice below which the Designated Agent shall not sell Shares during the applicable period set forth in the Issuance Notice, which may be adjusted by the Company at any time during the period set forth in the Issuance Notice by delivering written notice of such change to the Designated Agent and which in no event shall be less than $1.00 without the prior written consent of the Designated Agent, which may be withheld in the Designated Agent’s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Issuance Amount</w:t>
      </w:r>
      <w:r>
        <w:rPr>
          <w:rFonts w:ascii="Times New Roman;Times;Serif" w:hAnsi="Times New Roman;Times;Serif"/>
          <w:b w:val="false"/>
          <w:i w:val="false"/>
          <w:caps w:val="false"/>
          <w:smallCaps w:val="false"/>
          <w:sz w:val="20"/>
        </w:rPr>
        <w:t>” means the aggregate Sales Price of the Shares to be sold by the Designated Agent pursuant to any Issuance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Issuance Notice</w:t>
      </w:r>
      <w:r>
        <w:rPr>
          <w:rFonts w:ascii="Times New Roman;Times;Serif" w:hAnsi="Times New Roman;Times;Serif"/>
          <w:b w:val="false"/>
          <w:i w:val="false"/>
          <w:caps w:val="false"/>
          <w:smallCaps w:val="false"/>
          <w:sz w:val="20"/>
        </w:rPr>
        <w:t xml:space="preserve">” means a written notice delivered to the Designated Agent by the Company in accordance with this Agreement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that is executed by its Chief Executive Officer or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Issuance Notice Date</w:t>
      </w:r>
      <w:r>
        <w:rPr>
          <w:rFonts w:ascii="Times New Roman;Times;Serif" w:hAnsi="Times New Roman;Times;Serif"/>
          <w:b w:val="false"/>
          <w:i w:val="false"/>
          <w:caps w:val="false"/>
          <w:smallCaps w:val="false"/>
          <w:sz w:val="20"/>
        </w:rPr>
        <w:t>” means any Trading Day during the Agency Period that an Issuance Notice is delivered pursuant to ‎</w:t>
      </w:r>
      <w:r>
        <w:rPr>
          <w:rFonts w:ascii="Times New Roman;Times;Serif" w:hAnsi="Times New Roman;Times;Serif"/>
          <w:b w:val="false"/>
          <w:i w:val="false"/>
          <w:caps w:val="false"/>
          <w:smallCaps w:val="false"/>
          <w:sz w:val="20"/>
          <w:u w:val="single"/>
        </w:rPr>
        <w:t>Section 3(b)(i)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Issuance Price</w:t>
      </w:r>
      <w:r>
        <w:rPr>
          <w:rFonts w:ascii="Times New Roman;Times;Serif" w:hAnsi="Times New Roman;Times;Serif"/>
          <w:b w:val="false"/>
          <w:i w:val="false"/>
          <w:caps w:val="false"/>
          <w:smallCaps w:val="false"/>
          <w:sz w:val="20"/>
        </w:rPr>
        <w:t>” means the Sales Price less the Selling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Maximum Program Amount</w:t>
      </w:r>
      <w:r>
        <w:rPr>
          <w:rFonts w:ascii="Times New Roman;Times;Serif" w:hAnsi="Times New Roman;Times;Serif"/>
          <w:b w:val="false"/>
          <w:i w:val="false"/>
          <w:caps w:val="false"/>
          <w:smallCaps w:val="false"/>
          <w:sz w:val="20"/>
        </w:rPr>
        <w:t>” means Common Shares with an aggregate Sales Price of $125,000,000.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or a corporation, partnership, limited liability company, trust, incorporated or unincorporated association, joint venture, joint stock company, governmental authority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Nasdaq Global Market or such other national securities exchange on which the Common Shares, including any Shares, are then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Sales Price</w:t>
      </w:r>
      <w:r>
        <w:rPr>
          <w:rFonts w:ascii="Times New Roman;Times;Serif" w:hAnsi="Times New Roman;Times;Serif"/>
          <w:b w:val="false"/>
          <w:i w:val="false"/>
          <w:caps w:val="false"/>
          <w:smallCaps w:val="false"/>
          <w:sz w:val="20"/>
        </w:rPr>
        <w:t>” means the actual sale execution price of each Share placed by the Agents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and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Selling Commission</w:t>
      </w:r>
      <w:r>
        <w:rPr>
          <w:rFonts w:ascii="Times New Roman;Times;Serif" w:hAnsi="Times New Roman;Times;Serif"/>
          <w:b w:val="false"/>
          <w:i w:val="false"/>
          <w:caps w:val="false"/>
          <w:smallCaps w:val="false"/>
          <w:sz w:val="20"/>
        </w:rPr>
        <w:t>” means up to three percent (3.0%) of the gross proceeds of Shares sold pursuant to this Agreement, or as otherwise agreed between the Company and the Agents with respect to any Shares sold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Settlement Date</w:t>
      </w:r>
      <w:r>
        <w:rPr>
          <w:rFonts w:ascii="Times New Roman;Times;Serif" w:hAnsi="Times New Roman;Times;Serif"/>
          <w:b w:val="false"/>
          <w:i w:val="false"/>
          <w:caps w:val="false"/>
          <w:smallCaps w:val="false"/>
          <w:sz w:val="20"/>
        </w:rPr>
        <w:t>” means the first business day following each Trading Day during the period set forth in the Issuance Notice on which Shares are sold pursuant to this Agreement, when the Company shall deliver to the Designated Agent the amount of Shares sold on such Trading Day and the Designated Agent shall deliver to the Company the Issuance Price received on such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means the Common Shares issued or issuable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any day on which the Principal Market is open for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REPRESENTATIONS AND WARRANTIES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represents and warrants to, and agrees with, the Agents that as of (1) the date of this Agreement, (2) each Issuance Notice Date, (3) each Settlement Date, (4) each Triggering Event Date (as defined below) and (5) as of each Time of Sale (as defined below) (each of the times referenced above is referred to herein as a “</w:t>
      </w:r>
      <w:r>
        <w:rPr>
          <w:rFonts w:ascii="Times New Roman;Times;Serif" w:hAnsi="Times New Roman;Times;Serif"/>
          <w:b/>
          <w:i w:val="false"/>
          <w:caps w:val="false"/>
          <w:smallCaps w:val="false"/>
          <w:sz w:val="20"/>
        </w:rPr>
        <w:t>Representation Date</w:t>
      </w:r>
      <w:r>
        <w:rPr>
          <w:rFonts w:ascii="Times New Roman;Times;Serif" w:hAnsi="Times New Roman;Times;Serif"/>
          <w:b w:val="false"/>
          <w:i w:val="false"/>
          <w:caps w:val="false"/>
          <w:smallCaps w:val="false"/>
          <w:sz w:val="20"/>
        </w:rPr>
        <w:t>”), except as may be disclosed in the Prospectus (including any documents incorporated by reference therein and any supplements thereto) on or before a Representation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The Company has prepared and has filed or will file with the Commission an “automatic shelf registration statement,” as defined under Rule 405 of the Securities Act, on Form S-3ASR that contains a base prospectus. Such registration statement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S-3ASR under the Securities Act as from time to time amended or supplemented, is herein referred to as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and the base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S-3ASR under the Securities Act, in each case, as from time to time amended or supplemented, is referred to herein as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except that if any revised prospectus is provided to the Agents by the Company for use in connection with the offering of the Shares that is not required to be filed by the Company pursuant to Rule 424(b) under the Securities Act, the term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shall refer to such revised prospectus from and after the time it is first provided to the Agents for such use. The Registration Statement at the time it originally became effective is herein called the “</w:t>
      </w:r>
      <w:r>
        <w:rPr>
          <w:rFonts w:ascii="Times New Roman;Times;Serif" w:hAnsi="Times New Roman;Times;Serif"/>
          <w:b/>
          <w:i w:val="false"/>
          <w:caps w:val="false"/>
          <w:smallCaps w:val="false"/>
          <w:sz w:val="20"/>
        </w:rPr>
        <w:t>Original Registration Statement</w:t>
      </w:r>
      <w:r>
        <w:rPr>
          <w:rFonts w:ascii="Times New Roman;Times;Serif" w:hAnsi="Times New Roman;Times;Serif"/>
          <w:b w:val="false"/>
          <w:i w:val="false"/>
          <w:caps w:val="false"/>
          <w:smallCaps w:val="false"/>
          <w:sz w:val="20"/>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 The Company’s obligations under this Agreement to furnish, provide, deliver or make available (and all other references of like import) copies of any report or statement shall be deemed satisfied if the same is filed with the Commission through its Electronic Data Gathering, Analysis and Retrieval system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the Original Registration Statement became effective and at the time the Company’s most recent annual report on Form 10-K was filed with the Commission, if later, the Company was a “well-known seasoned issuer” as defined in Rule 405 under the Securities Act. The Original Registration Statement is an “automatic shelf registration statement,” as defined in Rule 405 under the Securities Act. The Company has not received from the Commission any notice pursuant to Rule 401(g)(2) under the Securities Act objecting to the Company’s use of the automatic shelf registration form. The Company meets the requirements for use of Form S-3 under the Securities Act. During the Agency Period, each time the Company files an annual report on Form 10-K the Company will meet the then-applicable requirements for use of Form S-3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Compliance with Registration Requirements</w:t>
      </w:r>
      <w:r>
        <w:rPr>
          <w:rFonts w:ascii="Times New Roman;Times;Serif" w:hAnsi="Times New Roman;Times;Serif"/>
          <w:b w:val="false"/>
          <w:i w:val="false"/>
          <w:caps w:val="false"/>
          <w:smallCaps w:val="false"/>
          <w:sz w:val="20"/>
        </w:rPr>
        <w:t>. The Original Registration Statement will become or became automatically effective upon filing with the Commission and prior to the issuance of any Issuance Notice by the Company. The Company has complied to the Commission’s satisfaction with all requests of the Commission for additional or supplemental information. No stop order suspending the effectiveness of the Registration Statement or any post-effective amendment thereto, is in effect and no proceedings for such purpose have been instituted or are pending or, to the knowledge of the Company, are contemplated or threatened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when filed complied or will comply in all material respects with the Securities Act and, if filed with the Commission through EDGAR (except as may be permitted by Regulation S-T under the Securities Act), was identical to the copy thereof delivered to the Agents for use in connection with the issuance and sale of the Shares. Each of the Registration Statement and any post-effective amendment or supplement thereto, at the time it became effective and at each Representation Date,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Times New Roman;Times;Serif" w:hAnsi="Times New Roman;Times;Serif"/>
          <w:b/>
          <w:i w:val="false"/>
          <w:caps w:val="false"/>
          <w:smallCaps w:val="false"/>
          <w:sz w:val="20"/>
        </w:rPr>
        <w:t>Time of Sale Information</w:t>
      </w:r>
      <w:r>
        <w:rPr>
          <w:rFonts w:ascii="Times New Roman;Times;Serif" w:hAnsi="Times New Roman;Times;Serif"/>
          <w:b w:val="false"/>
          <w:i w:val="false"/>
          <w:caps w:val="false"/>
          <w:smallCaps w:val="false"/>
          <w:sz w:val="20"/>
        </w:rPr>
        <w:t xml:space="preserve">”) did not contain any untrue statement of a material fact or omit to state a material fact necessary to make the statements therein, in the light of the circumstances under which they were made, not misleading. The Prospectus, as amended or supplemented, as of its date and at each Representation Date,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any amendments or supplements thereto, made in reliance upon and in conformity with information relating to the Agents furnished to the Company in writing by the Agents expressly for use therein, it being understood and agreed that the only such information furnished by the Agents to the Company consists of the information described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Ineligible Issuer Status</w:t>
      </w:r>
      <w:r>
        <w:rPr>
          <w:rFonts w:ascii="Times New Roman;Times;Serif" w:hAnsi="Times New Roman;Times;Serif"/>
          <w:b w:val="false"/>
          <w:i w:val="false"/>
          <w:caps w:val="false"/>
          <w:smallCaps w:val="false"/>
          <w:sz w:val="20"/>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the Agents before first use, the Company has not prepared, used or referred to, and will not, without the Agents’ prior consent (which consent shall not be unreasonably withheld, conditioned or delayed), prepare, use or refer to, any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Incorporated Documents</w:t>
      </w:r>
      <w:r>
        <w:rPr>
          <w:rFonts w:ascii="Times New Roman;Times;Serif" w:hAnsi="Times New Roman;Times;Serif"/>
          <w:b w:val="false"/>
          <w:i w:val="false"/>
          <w:caps w:val="false"/>
          <w:smallCaps w:val="false"/>
          <w:sz w:val="20"/>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Exchange Act Compliance</w:t>
      </w:r>
      <w:r>
        <w:rPr>
          <w:rFonts w:ascii="Times New Roman;Times;Serif" w:hAnsi="Times New Roman;Times;Serif"/>
          <w:b w:val="false"/>
          <w:i w:val="false"/>
          <w:caps w:val="false"/>
          <w:smallCaps w:val="false"/>
          <w:sz w:val="20"/>
        </w:rPr>
        <w:t>.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each Time of Sale,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Statistical and Market-Related Data</w:t>
      </w:r>
      <w:r>
        <w:rPr>
          <w:rFonts w:ascii="Times New Roman;Times;Serif" w:hAnsi="Times New Roman;Times;Serif"/>
          <w:b w:val="false"/>
          <w:i w:val="false"/>
          <w:caps w:val="false"/>
          <w:smallCaps w:val="false"/>
          <w:sz w:val="20"/>
        </w:rPr>
        <w:t>. The statistical, industry-related and market-related data included in each of the Registration Statement and the Prospectus are based on or derived from sources which the Company reasonably and in good faith believes are reliable and accurate and such data is consistent with the sources from which they are derived, in each case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Incorporation and Good Standing of the Company</w:t>
      </w:r>
      <w:r>
        <w:rPr>
          <w:rFonts w:ascii="Times New Roman;Times;Serif" w:hAnsi="Times New Roman;Times;Serif"/>
          <w:b w:val="false"/>
          <w:i w:val="false"/>
          <w:caps w:val="false"/>
          <w:smallCaps w:val="false"/>
          <w:sz w:val="20"/>
        </w:rPr>
        <w:t>. The Company has been duly incorporated, is validly existing as a corporation in good standing under the laws of the jurisdiction of its incorporation, has the corporate power and authority to own, lease or operate its properties and to conduct its business as described in each of the Registration Statement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have a material adverse effect on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Each subsidiary of the Company has been duly incorporated, organized or formed, is validly existing as a corporation or other business entity in good standing under the laws of the jurisdiction of its incorporation, organization or formation, has the corporate or other business entity power and authority to own or lease its property and to conduct its business as described in each of the Registration Statement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have a material adverse effect on the Company and its subsidiaries, taken as a whole; all of the issued shares of capital stock or other equity interests of each subsidiary of the Company have been duly and validly authorized and issued, are fully paid and non-assessable and are owned directly or indirectly by the Company, free and clear of all liens, encumbrances, equities or claims. The Company does not own or control, directly or indirectly, any corporation, association or other entity other than the subsidiaries listed in Exhibit 21 to the Company’s most recent annual report on Form 10-K and subsidiaries which, considered in the aggregate as a single subsidiary, would not constitute a significant subsidiary as defined in 17 C.F.R. § 210.1-02(w).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This Agreement</w:t>
      </w:r>
      <w:r>
        <w:rPr>
          <w:rFonts w:ascii="Times New Roman;Times;Serif" w:hAnsi="Times New Roman;Times;Serif"/>
          <w:b w:val="false"/>
          <w:i w:val="false"/>
          <w:caps w:val="false"/>
          <w:smallCaps w:val="false"/>
          <w:sz w:val="20"/>
        </w:rPr>
        <w:t>. This Agreement has been duly authorized, executed and delivered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Capital Stock Matters</w:t>
      </w:r>
      <w:r>
        <w:rPr>
          <w:rFonts w:ascii="Times New Roman;Times;Serif" w:hAnsi="Times New Roman;Times;Serif"/>
          <w:b w:val="false"/>
          <w:i w:val="false"/>
          <w:caps w:val="false"/>
          <w:smallCaps w:val="false"/>
          <w:sz w:val="20"/>
        </w:rPr>
        <w:t>. The authorized capital stock of the Company conforms as to legal matters to the description thereof contained in each of the Registration Statement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Common Shares outstanding prior to the issuance of the Shares have been duly authorized and are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Authorization of the Shares</w:t>
      </w:r>
      <w:r>
        <w:rPr>
          <w:rFonts w:ascii="Times New Roman;Times;Serif" w:hAnsi="Times New Roman;Times;Serif"/>
          <w:b w:val="false"/>
          <w:i w:val="false"/>
          <w:caps w:val="false"/>
          <w:smallCaps w:val="false"/>
          <w:sz w:val="20"/>
        </w:rPr>
        <w:t>. The Shares have been duly authorized for issuance and sale pursuant to this Agreement and, when issued, delivered and paid for in accordance with the terms of this Agreement, will be validly issued, fully paid and non-assessable, and the issuance and sale of the Shares will not be subject to any preemptive or similar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Stock Exchange Listing</w:t>
      </w:r>
      <w:r>
        <w:rPr>
          <w:rFonts w:ascii="Times New Roman;Times;Serif" w:hAnsi="Times New Roman;Times;Serif"/>
          <w:b w:val="false"/>
          <w:i w:val="false"/>
          <w:caps w:val="false"/>
          <w:smallCaps w:val="false"/>
          <w:sz w:val="20"/>
        </w:rPr>
        <w:t>. The Common Shares are registered pursuant to Section 12(b) of the Exchange Act and are listed on the Principal Market, and the Company has taken no action designed to, or reasonably likely to have the effect of, terminating the registration of the Common Shares under the Exchange Act or delisting the Common Shares from the Principal Market, nor has the Company received any notification that the Commission or the Principal Market is contemplating terminating such registration or listing. To the Company’s knowledge, it is in compliance in all material respects with all applicable listing requirements of the Principal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Non-Contravention of Agreement; No Further Authorizations or Approvals Required</w:t>
      </w:r>
      <w:r>
        <w:rPr>
          <w:rFonts w:ascii="Times New Roman;Times;Serif" w:hAnsi="Times New Roman;Times;Serif"/>
          <w:b w:val="false"/>
          <w:i w:val="false"/>
          <w:caps w:val="false"/>
          <w:smallCaps w:val="false"/>
          <w:sz w:val="20"/>
        </w:rPr>
        <w:t>. The execution and delivery by the Company of, and the performance by the Company of its obligations under, this Agreement will not contravene any provision of applicable law or the certificate of incorporation or bylaws of the Company or any agreement or other instrument binding upon the Company or any of its subsidiaries that is material to the Company and its subsidiaries, taken as a whole, or any judgment, order or decree of any governmental body, agency or court having jurisdiction over the Company or any subsidiary, and no consent, approval, authorization or order of, or qualification with, any governmental body, agency or court is required for the performance by the Company of its obligations under this Agreement, except such as may be required by the securities or blue sky laws of the various states or foreign jurisdictions or the rules and regulations of the Financial Industry Regulatory Authority, Inc. (“</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 in connection with the offer and 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No Price Stabilization or Manipulation; Compliance with Regulation M</w:t>
      </w:r>
      <w:r>
        <w:rPr>
          <w:rFonts w:ascii="Times New Roman;Times;Serif" w:hAnsi="Times New Roman;Times;Serif"/>
          <w:b w:val="false"/>
          <w:i w:val="false"/>
          <w:caps w:val="false"/>
          <w:smallCaps w:val="false"/>
          <w:sz w:val="20"/>
        </w:rPr>
        <w:t>. Neither the Company nor any of its subsidiaries has taken, directly or indirectly, any action designed to or that might cause or result in stabilization or manipulation of the price of the Common Shares or of any “reference security” (as defined in Rule 100 of Regulation M under the Exchange Act (“</w:t>
      </w:r>
      <w:r>
        <w:rPr>
          <w:rFonts w:ascii="Times New Roman;Times;Serif" w:hAnsi="Times New Roman;Times;Serif"/>
          <w:b/>
          <w:i w:val="false"/>
          <w:caps w:val="false"/>
          <w:smallCaps w:val="false"/>
          <w:sz w:val="20"/>
        </w:rPr>
        <w:t>Regulation M</w:t>
      </w:r>
      <w:r>
        <w:rPr>
          <w:rFonts w:ascii="Times New Roman;Times;Serif" w:hAnsi="Times New Roman;Times;Serif"/>
          <w:b w:val="false"/>
          <w:i w:val="false"/>
          <w:caps w:val="false"/>
          <w:smallCaps w:val="false"/>
          <w:sz w:val="20"/>
        </w:rPr>
        <w:t>”)) with respect to the Common Shares, whether to facilitate the sale or resale of the Shares or otherwise, and has taken no action which would directly or indirectly violate Regulation 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FINRA Matters</w:t>
      </w:r>
      <w:r>
        <w:rPr>
          <w:rFonts w:ascii="Times New Roman;Times;Serif" w:hAnsi="Times New Roman;Times;Serif"/>
          <w:b w:val="false"/>
          <w:i w:val="false"/>
          <w:caps w:val="false"/>
          <w:smallCaps w:val="false"/>
          <w:sz w:val="20"/>
        </w:rPr>
        <w:t>. All of the information provided to the Agents or to counsel for the Agents by the Company, its counsel, its officers and directors and, to the Company’s knowledge, the holders of any securities (debt or equity) or options to acquire any securities of the Company in connection with the offering of the Shares is true, complete, correct in all material respects and compliant with FINRA’s rules and any letters, filings or other supplemental information provided to FINRA pursuant to FINRA Rules or NASD Conduct Rules is true, complete and correct in all material respects. The Company meets the definition of the term “experienced issuer” specified in FINRA Rule 5110(j)(6).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No Material Adverse Change</w:t>
      </w:r>
      <w:r>
        <w:rPr>
          <w:rFonts w:ascii="Times New Roman;Times;Serif" w:hAnsi="Times New Roman;Times;Serif"/>
          <w:b w:val="false"/>
          <w:i w:val="false"/>
          <w:caps w:val="false"/>
          <w:smallCaps w:val="false"/>
          <w:sz w:val="20"/>
        </w:rPr>
        <w:t>. 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Registration Statement and the Prospectus (any such change being referred to herein as a “</w:t>
      </w:r>
      <w:r>
        <w:rPr>
          <w:rFonts w:ascii="Times New Roman;Times;Serif" w:hAnsi="Times New Roman;Times;Serif"/>
          <w:b/>
          <w:i w:val="false"/>
          <w:caps w:val="false"/>
          <w:smallCaps w:val="false"/>
          <w:sz w:val="20"/>
        </w:rPr>
        <w:t>Material Adverse 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Non-Contravention of Existing Instruments</w:t>
      </w:r>
      <w:r>
        <w:rPr>
          <w:rFonts w:ascii="Times New Roman;Times;Serif" w:hAnsi="Times New Roman;Times;Serif"/>
          <w:b w:val="false"/>
          <w:i w:val="false"/>
          <w:caps w:val="false"/>
          <w:smallCaps w:val="false"/>
          <w:sz w:val="20"/>
        </w:rPr>
        <w:t>. Neither the Company nor any of its subsidiaries is (i) in violation of its respective certificate of incorporation or bylaws (or other applicable organizational document);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or any judgment, order, rule or regulation of any court or arbitrator or governmental or regulatory authority applicable to the Company, any of its subsidiaries or their respective businesses and properties, except in the case of clauses (ii) and (iii) above for any such default or violation that would not, singly or in the aggregate, have a material adverse effect on the Company and its subsidiaries, taken as a whole, whether or not arising from transactions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No Material Actions or Proceedings</w:t>
      </w:r>
      <w:r>
        <w:rPr>
          <w:rFonts w:ascii="Times New Roman;Times;Serif" w:hAnsi="Times New Roman;Times;Serif"/>
          <w:b w:val="false"/>
          <w:i w:val="false"/>
          <w:caps w:val="false"/>
          <w:smallCaps w:val="false"/>
          <w:sz w:val="20"/>
        </w:rPr>
        <w:t>. There are no legal or governmental proceedings pending or, to the Company’s knowledge, threatened to which the Company or any of its subsidiaries is a party or to which any of the properties of the Company or any of its subsidiaries is subject (i) other than proceedings accurately described in all material respects in each of the Registration Statement and the Prospectus and proceedings that would not, singly or in the aggregate, have a material adverse effect on the Company and its subsidiaries, taken as a whole, or on the power or ability of the Company to perform its obligations under this Agreement or to consummate the transactions contemplated by each of the Registration Statement and the Prospectus or (ii) that are required to be described in the Registration Statement or the Prospectus and are not so described; and there are no statutes, regulations, contracts or other documents that are required to be described in the Registration Statement or the Prospectus or to be filed as exhibits to the Registration Statement that are not described or filed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Company Not an “Investment Company</w:t>
      </w:r>
      <w:r>
        <w:rPr>
          <w:rFonts w:ascii="Times New Roman;Times;Serif" w:hAnsi="Times New Roman;Times;Serif"/>
          <w:b w:val="false"/>
          <w:i w:val="false"/>
          <w:caps w:val="false"/>
          <w:smallCaps w:val="false"/>
          <w:sz w:val="20"/>
        </w:rPr>
        <w:t>.” The Company is not, and after giving effect to the offering and sale of the Shares and the application of the proceeds thereof as described in each of the Registration Statement and the Prospectus will not be, required to register as an “investment company” as such term is defined in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Compliance with Environmental Laws</w:t>
      </w:r>
      <w:r>
        <w:rPr>
          <w:rFonts w:ascii="Times New Roman;Times;Serif" w:hAnsi="Times New Roman;Times;Serif"/>
          <w:b w:val="false"/>
          <w:i w:val="false"/>
          <w:caps w:val="false"/>
          <w:smallCaps w:val="false"/>
          <w:sz w:val="20"/>
        </w:rPr>
        <w:t>. The Company and each of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have a material adverse effect on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No Outstanding Costs of Environmental Compliance</w:t>
      </w:r>
      <w:r>
        <w:rPr>
          <w:rFonts w:ascii="Times New Roman;Times;Serif" w:hAnsi="Times New Roman;Times;Serif"/>
          <w:b w:val="false"/>
          <w:i w:val="false"/>
          <w:caps w:val="false"/>
          <w:smallCaps w:val="false"/>
          <w:sz w:val="20"/>
        </w:rPr>
        <w:t>.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have a material adverse effect on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Outstanding Registration and Other Rights</w:t>
      </w:r>
      <w:r>
        <w:rPr>
          <w:rFonts w:ascii="Times New Roman;Times;Serif" w:hAnsi="Times New Roman;Times;Serif"/>
          <w:b w:val="false"/>
          <w:i w:val="false"/>
          <w:caps w:val="false"/>
          <w:smallCaps w:val="false"/>
          <w:sz w:val="20"/>
        </w:rPr>
        <w:t>. Other than as disclosed in the Registration Statement and the Prospectus,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Anti-Corruption and Anti-Bribery</w:t>
      </w:r>
      <w:r>
        <w:rPr>
          <w:rFonts w:ascii="Times New Roman;Times;Serif" w:hAnsi="Times New Roman;Times;Serif"/>
          <w:b w:val="false"/>
          <w:i w:val="false"/>
          <w:caps w:val="false"/>
          <w:smallCaps w:val="false"/>
          <w:sz w:val="20"/>
        </w:rPr>
        <w:t>. (i) None of the Company or any of its subsidiaries or Affiliates, or any director, officer, or employee thereof, or, to the Company’s knowledge, any agent or representative of the Company or of any of its subsidiaries or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influence official action, or to any Person in violation of any applicable anti-corruption laws; (ii) the Company and each of its subsidiaries and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Times New Roman;Times;Serif" w:hAnsi="Times New Roman;Times;Serif"/>
          <w:b/>
          <w:i w:val="false"/>
          <w:caps w:val="false"/>
          <w:smallCaps w:val="false"/>
          <w:sz w:val="20"/>
        </w:rPr>
        <w:t>Anti-Money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(i) None of the Company, any of its subsidiaries, or any director, officer, or employee thereof, or, to the Company’s knowledge, any agent, Affiliate or representative of the Company or any of its subsidiaries, is a Person that is, or is owned or controlled by one or more Persons that 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subject of any sanctions administered or enforced by the U.S. Department of the Treasury’s Office of Foreign Assets Control, the United Nations Security Council, the European Union, His Majesty’s Treasury, or other relevant sanctions authority (collectively, “</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located, organized or resident in a country or territory that is the subject of Sanctions (including, without limitation, Crimea, Cuba, Iran, North Korea, Syria, the non-government-controlled areas of the Zaporizhzhia and Kherson Regions of Ukraine and the so-called Donetsk People’s Republic and so-called Luhansk People’s Republic regions of Ukraine).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will not, directly or indirectly, use the proceeds of the offering, or lend, contribute or otherwise make available such proceeds to any subsidiary, joint venture partner or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fund or facilitate any activities or business of or with any Person or in any country or territory that, at the time of such funding or facilitation, is the subject of Sanctions;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any other manner that will result in a violation of Sanctions by any Person (including any Person participating in the offering, whether as underwriter, advisor, investor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and each of its subsidiaries have not knowingly engaged in, are not now knowingly engaged in, and will not engage in, any dealings or transactions with any Person, or in any country or territory, that at the time of the dealing or transaction is or was the subject of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val="false"/>
          <w:caps w:val="false"/>
          <w:smallCaps w:val="false"/>
          <w:sz w:val="20"/>
          <w:u w:val="single"/>
        </w:rPr>
        <w:t>Compliance with UFLPA Entity List</w:t>
      </w:r>
      <w:r>
        <w:rPr>
          <w:rFonts w:ascii="Times New Roman;Times;Serif" w:hAnsi="Times New Roman;Times;Serif"/>
          <w:b w:val="false"/>
          <w:i w:val="false"/>
          <w:caps w:val="false"/>
          <w:smallCaps w:val="false"/>
          <w:sz w:val="20"/>
        </w:rPr>
        <w:t>. To the knowledge of the Company, the operations of neither the Company nor any of its subsidiaries involve the sale or import into the United States of any goods, wares, articles, or merchandise mined, produced, or manufactured wholly or in part in the Xinjiang Uyghur Autonomous Region of the People’s Republic of China, or produced by an entity on the Department of Homeland Security’s UFLPA Entity List. In the past five (5) years, none of the goods the Company or any of its subsidiaries have sold or imported into the United States have been seized by Customs and Border Patrol as being contrary to Section 307 of the Tariff Act of 1930 due to the use of forced labor in China in the production of such goods, and neither the Company nor its respective subsidiaries have been the subject of any fines, penalties, enforcement actions, litigation, or other liability in relation to the use of forced labor or alleged forced labor in the supply chain of the products it sells or imports into the United States. The Company and its subsidiaries have implemented policies and controls reasonably designed to mitigate the risks of forced labor in their supply chains and to ensure compliance with Section 307 of the Tariff Act of 1930.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val="false"/>
          <w:caps w:val="false"/>
          <w:smallCaps w:val="false"/>
          <w:sz w:val="20"/>
          <w:u w:val="single"/>
        </w:rPr>
        <w:t>Title to Properties</w:t>
      </w:r>
      <w:r>
        <w:rPr>
          <w:rFonts w:ascii="Times New Roman;Times;Serif" w:hAnsi="Times New Roman;Times;Serif"/>
          <w:b w:val="false"/>
          <w:i w:val="false"/>
          <w:caps w:val="false"/>
          <w:smallCaps w:val="false"/>
          <w:sz w:val="20"/>
        </w:rPr>
        <w:t xml:space="preserve">. Except as otherwise disclosed in the Prospectus, the Company and its subsidiaries do not own any real property. The Company and its subsidiaries have good and marketable title to all personal property (other than intellectual property, which is covered by </w:t>
      </w:r>
      <w:r>
        <w:rPr>
          <w:rFonts w:ascii="Times New Roman;Times;Serif" w:hAnsi="Times New Roman;Times;Serif"/>
          <w:b w:val="false"/>
          <w:i w:val="false"/>
          <w:caps w:val="false"/>
          <w:smallCaps w:val="false"/>
          <w:sz w:val="20"/>
          <w:u w:val="single"/>
        </w:rPr>
        <w:t>Section 2(cc)</w:t>
      </w:r>
      <w:r>
        <w:rPr>
          <w:rFonts w:ascii="Times New Roman;Times;Serif" w:hAnsi="Times New Roman;Times;Serif"/>
          <w:b w:val="false"/>
          <w:i w:val="false"/>
          <w:caps w:val="false"/>
          <w:smallCaps w:val="false"/>
          <w:sz w:val="20"/>
        </w:rPr>
        <w:t xml:space="preserve"> below) owned by them which is material to the business of the Company and its subsidiaries, in each case free and clear of all liens, encumbrances and defects except such as do not materially affect the value of such property and do not interfere with the use made and proposed to be made of such property by the Company and its subsidiaries; and any real property and buildings held under lease by the Company and its subsidiaries are held by them under valid, subsisting and, to the Company’s knowledge, enforceable leases with such exceptions as are not material and do not materially interfere with the use made and proposed to be made of such property and buildings by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(i) The Company and its subsidiaries own or have a valid enforceable license to all intellectual property and intellectual property rights, including, without limitation, patents, patent applications, inventions, copyrights, know how (including trade secrets and other unpatented and/or unpatentable proprietary or confidential information, systems or procedures), trademarks, service marks and trade names, together with all moral rights and goodwill associated therewith, and all applications, registrations and renewals in connection with the foregoing (collectively, “</w:t>
      </w:r>
      <w:r>
        <w:rPr>
          <w:rFonts w:ascii="Times New Roman;Times;Serif" w:hAnsi="Times New Roman;Times;Serif"/>
          <w:b/>
          <w:i w:val="false"/>
          <w:caps w:val="false"/>
          <w:smallCaps w:val="false"/>
          <w:sz w:val="20"/>
        </w:rPr>
        <w:t>Intellectual Property Rights</w:t>
      </w:r>
      <w:r>
        <w:rPr>
          <w:rFonts w:ascii="Times New Roman;Times;Serif" w:hAnsi="Times New Roman;Times;Serif"/>
          <w:b w:val="false"/>
          <w:i w:val="false"/>
          <w:caps w:val="false"/>
          <w:smallCaps w:val="false"/>
          <w:sz w:val="20"/>
        </w:rPr>
        <w:t>”) used in or reasonably necessary to the conduct of their businesses as presently conducted and as presently proposed to be conducted; (ii) the Intellectual Property Rights owned by, purported to be owned by, or exclusively licensed to the Company and its subsidiaries and, to the Company’s knowledge, the Intellectual Property Rights non-exclusively licensed to the Company and its subsidiaries, are valid, subsisting and enforceable, and there is no pending or, to the Company’s knowledge, threatened action, suit, claim or proceeding by others challenging the validity, scope or enforceability of any such Intellectual Property Rights, and the Company is unaware of any facts which would form a reasonable basis for any such action, suit, claim or proceeding; (iii) there are no rights of third parties to any Intellectual Property Rights owned by the Company and its subsidiaries, including no liens, security interests, licenses (other than non-exclusive licenses entered into in the ordinary course), or other encumbrances; (iv) to the Company’s knowledge, no third party is infringing, misappropriating or otherwise violating, or has infringed, misappropriated or otherwise violated, any Intellectual Property Rights owned by or purported to be owned by the Company; (v) neither the Company nor any of its subsidiaries infringes, misappropriates or otherwise violates, or has infringed, misappropriated or otherwise violated, any Intellectual Property Rights, nor would the Company or any of its subsidiaries, upon commercialization of any product or service currently under development, infringe, misappropriate, or otherwise violate any Intellectual Property Rights; (vi) all current and former founders, employees, consultants and contractors engaged in the development of Intellectual Property Rights on behalf of the Company or any subsidiary of the Company have executed a valid and enforceable invention assignment agreement whereby such founders, employees, consultants or contractors presently assigned all of their right, title and interest in and to such Intellectual Property Rights to the Company or the applicable subsidiary and are bound by obligations sufficiently protective of the Company’s or the applicable subsidiary’s confidential and proprietary information (including information that the Company or the applicable subsidiary receives from third parties), and to the Company’s knowledge, no such agreement has been breached or violated by the counterparty to any such agreements; (vii) the Company and its subsidiaries use, and have used, commercially reasonable efforts to appropriately maintain all information intended to be maintained as confidential (including as a trade secret); and (viii) the Company and its subsidiaries have complied in all material respects with the terms of all licenses for Intellectual Property Rights, and said license(s) are in full force and effect. All patents and patent applications, trademark applications and trademark registrations, domain name registrations, copyright applications and copyright registrations owned by or licensed to the Company or under which the Company has rights have been duly and properly filed and maintained, and there are no material defects in any of the patents or patent applications, trademark applications or trademark registration, copyright applications or copyright registrations that are owned by or purported to be owned by the Company. The Company is not aware of any facts required to be disclosed to the USPTO that were not disclosed to the USPTO and which would preclude the grant of a patent in connection with any such application or could form the basis of a finding of invalidity with respect to any patents that have issued with respect to such applications. To the Company’s knowledge, there is no prior art that may render any patent within the Intellectual Property Rights owned by the Company invalid or that may render any patent application within the Intellectual Property Rights owned by the Company unpatentable that has not been disclosed to the USPTO.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val="false"/>
          <w:caps w:val="false"/>
          <w:smallCaps w:val="false"/>
          <w:sz w:val="20"/>
          <w:u w:val="single"/>
        </w:rPr>
        <w:t>Software Licenses</w:t>
      </w:r>
      <w:r>
        <w:rPr>
          <w:rFonts w:ascii="Times New Roman;Times;Serif" w:hAnsi="Times New Roman;Times;Serif"/>
          <w:b w:val="false"/>
          <w:i w:val="false"/>
          <w:caps w:val="false"/>
          <w:smallCaps w:val="false"/>
          <w:sz w:val="20"/>
        </w:rPr>
        <w:t>. (i)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Times New Roman;Times;Serif" w:hAnsi="Times New Roman;Times;Serif"/>
          <w:b/>
          <w:i w:val="false"/>
          <w:caps w:val="false"/>
          <w:smallCaps w:val="false"/>
          <w:sz w:val="20"/>
        </w:rPr>
        <w:t>Open Source Software</w:t>
      </w:r>
      <w:r>
        <w:rPr>
          <w:rFonts w:ascii="Times New Roman;Times;Serif" w:hAnsi="Times New Roman;Times;Serif"/>
          <w:b w:val="false"/>
          <w:i w:val="false"/>
          <w:caps w:val="false"/>
          <w:smallCaps w:val="false"/>
          <w:sz w:val="20"/>
        </w:rPr>
        <w:t>”) or any modification or derivative thereof in material compliance with all license terms applicable to such Open Source Software; and (ii) neither the Company nor any of its subsidiaries uses or distributes or has used or distributed any Open Source Software or any modification or derivative thereof in any manner that requires or has required (A) the Company or any of its subsidiaries to permit reverse engineering of any software code or other technology owned by the Company or any of its subsidiaries, (B) any software code or other technology owned by the Company or any of its subsidiaries to be (1) disclosed or distributed in source code form, (2) licensed for the purpose of making derivative works or (3) redistributed at no charge, or (C) the Company or any of its subsidiaries to grant any third-party any rights or immunities under the Intellectual Property Rights owned or purported to be owned by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val="false"/>
          <w:caps w:val="false"/>
          <w:smallCaps w:val="false"/>
          <w:sz w:val="20"/>
          <w:u w:val="single"/>
        </w:rPr>
        <w:t>Data Security</w:t>
      </w:r>
      <w:r>
        <w:rPr>
          <w:rFonts w:ascii="Times New Roman;Times;Serif" w:hAnsi="Times New Roman;Times;Serif"/>
          <w:b w:val="false"/>
          <w:i w:val="false"/>
          <w:caps w:val="false"/>
          <w:smallCaps w:val="false"/>
          <w:sz w:val="20"/>
        </w:rPr>
        <w:t>. (i) The Company and each of its subsidiaries have complied in all material respects and are presently in compliance in all material respects with all internal and external privacy policies, contractual obligations, contractually binding industry standards,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or any of its subsidiaries of personal, personally identifiable, household, sensitive, confidential or regulated data (“</w:t>
      </w:r>
      <w:r>
        <w:rPr>
          <w:rFonts w:ascii="Times New Roman;Times;Serif" w:hAnsi="Times New Roman;Times;Serif"/>
          <w:b/>
          <w:i w:val="false"/>
          <w:caps w:val="false"/>
          <w:smallCaps w:val="false"/>
          <w:sz w:val="20"/>
        </w:rPr>
        <w:t>Data Security Obligations</w:t>
      </w:r>
      <w:r>
        <w:rPr>
          <w:rFonts w:ascii="Times New Roman;Times;Serif" w:hAnsi="Times New Roman;Times;Serif"/>
          <w:b w:val="false"/>
          <w:i w:val="false"/>
          <w:caps w:val="false"/>
          <w:smallCaps w:val="false"/>
          <w:sz w:val="20"/>
        </w:rPr>
        <w:t>,” and such data, “</w:t>
      </w:r>
      <w:r>
        <w:rPr>
          <w:rFonts w:ascii="Times New Roman;Times;Serif" w:hAnsi="Times New Roman;Times;Serif"/>
          <w:b/>
          <w:i w:val="false"/>
          <w:caps w:val="false"/>
          <w:smallCaps w:val="false"/>
          <w:sz w:val="20"/>
        </w:rPr>
        <w:t>Data</w:t>
      </w:r>
      <w:r>
        <w:rPr>
          <w:rFonts w:ascii="Times New Roman;Times;Serif" w:hAnsi="Times New Roman;Times;Serif"/>
          <w:b w:val="false"/>
          <w:i w:val="false"/>
          <w:caps w:val="false"/>
          <w:smallCaps w:val="false"/>
          <w:sz w:val="20"/>
        </w:rPr>
        <w:t>”); (ii) the Company has not received any notification of or complaint regarding and is unaware of any other facts that, individually or in the aggregate, would reasonably indicate non-compliance with any Data Security Obligation; and (iii) there is no (A) action, suit or proceeding by or before any court or governmental agency, authority or body pending or, to the Company’s knowledge, threatened or (B) contractual claim by any third party alleging non-compliance with any Data Security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The Company and each of its subsidiaries have taken all reasonable technical and organizational measures necessary to protect the information technology systems and Data used in connection with the operation of the Company’s and its subsidiaries’ businesses. Without limiting the foregoing, the Company and its subsidiaries have used reasonable efforts to establish and maintain, and have established, maintained, implemented and complied with, reasonable information technology, information security, cyber security and data protection controls, policies and procedures, including oversight, access controls, encryption, technological and physical safeguards and business continuity/disaster recovery and security plans to protect against and prevent breach, destruction, loss, unauthorized distribution, use, access, disablement, misappropriation or modification, or other compromise or misuse of or relating to any information technology system or Data used by the Company or any of its third-party service providers in connection with the operation of the Company’s and its subsidiaries’ businesses (“</w:t>
      </w:r>
      <w:r>
        <w:rPr>
          <w:rFonts w:ascii="Times New Roman;Times;Serif" w:hAnsi="Times New Roman;Times;Serif"/>
          <w:b/>
          <w:i w:val="false"/>
          <w:caps w:val="false"/>
          <w:smallCaps w:val="false"/>
          <w:sz w:val="20"/>
        </w:rPr>
        <w:t>Breach</w:t>
      </w:r>
      <w:r>
        <w:rPr>
          <w:rFonts w:ascii="Times New Roman;Times;Serif" w:hAnsi="Times New Roman;Times;Serif"/>
          <w:b w:val="false"/>
          <w:i w:val="false"/>
          <w:caps w:val="false"/>
          <w:smallCaps w:val="false"/>
          <w:sz w:val="20"/>
        </w:rPr>
        <w:t>”). There has been no such material Breach, and the Company and its subsidiaries have not been notified of and have no knowledge of any event or condition that would reasonably be expected to result in, any such material Breach.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val="false"/>
          <w:i w:val="false"/>
          <w:caps w:val="false"/>
          <w:smallCaps w:val="false"/>
          <w:sz w:val="20"/>
          <w:u w:val="single"/>
        </w:rPr>
        <w:t>No Labor Dispute</w:t>
      </w:r>
      <w:r>
        <w:rPr>
          <w:rFonts w:ascii="Times New Roman;Times;Serif" w:hAnsi="Times New Roman;Times;Serif"/>
          <w:b w:val="false"/>
          <w:i w:val="false"/>
          <w:caps w:val="false"/>
          <w:smallCaps w:val="false"/>
          <w:sz w:val="20"/>
        </w:rPr>
        <w:t>. No material labor dispute with the employees of the Company or any of its subsidiaries exists or, to the Company’s knowledge, is imminent; and the Company is not aware of any existing, threatened or imminent labor disturbance by the employees of any of its principal suppliers, manufacturers or contractors that could, singly or in the aggregate, have a material adverse effect on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each of its subsidiaries are insured by insurers of recognized financial responsibility against such losses and risks and in such amounts as the Company reasonably believes are prudent and customary in the businesses in which they are engaged;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singly or in the aggregate, have a material adverse effect on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The Company and each of its subsidiaries possess all certificates, authorizations and permits issued by the appropriate federal, state or foreign regulatory authorities necessary to conduct their respective businesses, except where the failure to obtain such certificates, authorizations or permits would not, singly or in the aggregate, have a material adverse effect on the Company and its subsidiaries, taken as a whole, and neither the Company nor any of its subsidiaries has received any notice of proceedings relating to the revocation or modification of any such certificate, authorization or permit which, singly or in the aggregate, if the subject of an unfavorable decision, ruling or finding, would have a material adverse effect on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The Company and each of its subsidiaries have filed all federal, state, local and foreign tax returns required to be filed through the date of this Agreement or have requested extensions thereof (except where the failure to file would not, singly or in the aggregate, have a material adverse effect on the Company and its subsidiaries, taken as a whole) and have paid all taxes required to be paid thereon (except for cases in which the failure to file or pay would not, singly or in the aggregate, have a material adverse effect on the Company and its subsidiaries, taken as a whole, or, except as currently being contested in good faith and for which reserves required by generally accepted accounting principles in the United States (“</w:t>
      </w:r>
      <w:r>
        <w:rPr>
          <w:rFonts w:ascii="Times New Roman;Times;Serif" w:hAnsi="Times New Roman;Times;Serif"/>
          <w:b/>
          <w:i w:val="false"/>
          <w:caps w:val="false"/>
          <w:smallCaps w:val="false"/>
          <w:sz w:val="20"/>
        </w:rPr>
        <w:t>U.S. GAAP</w:t>
      </w:r>
      <w:r>
        <w:rPr>
          <w:rFonts w:ascii="Times New Roman;Times;Serif" w:hAnsi="Times New Roman;Times;Serif"/>
          <w:b w:val="false"/>
          <w:i w:val="false"/>
          <w:caps w:val="false"/>
          <w:smallCaps w:val="false"/>
          <w:sz w:val="20"/>
        </w:rPr>
        <w:t>”) have been created in the financial statements of the Company), and no tax deficiency has been determined adversely to the Company or any of its subsidiaries which, singly or in the aggregate, has had (nor does the Company nor any of its subsidiaries have any notice or knowledge of any tax deficiency which could reasonably be expected to be determined adversely to the Company or its subsidiaries and which could reasonably be expected to have) a material adverse effect on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The financial statements included or incorporated by reference in each of the Registration Statement and the Prospectus, together with the related schedules and notes thereto, comply as to form in all material respects with the applicable accounting requirements of the Securities Act and present fairly the consolidated financial position of the Company and its subsidiaries as of the dates shown and its results of operations and cash flows for the periods shown, and such financial statements have been prepared in conformity with U.S. GAAP applied on a consistent basis throughout the periods covered thereby except for any normal year-end adjustments in the Company’s quarterly financial statements. The other financial information included in each of the Registration Statement and the Prospectus has been derived from the accounting records of the Company and its consolidated subsidiaries and presents fairly in all material respects the information shown thereby. The pro forma financial statements and the related notes thereto included in each of the Registration Statement and the Prospectus present fairly the information shown therein, have been prepared in accordance with the Commission’s rules and guidelines with respect to pro forma financial statements and have been properly compiled on the bases described therein, and the assumptions used in the preparation thereof are reasonable and the adjustments used therein are appropriate to give effect to the transactions and circumstances referred to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val="false"/>
          <w:i w:val="false"/>
          <w:caps w:val="false"/>
          <w:smallCaps w:val="false"/>
          <w:sz w:val="20"/>
          <w:u w:val="single"/>
        </w:rPr>
        <w:t>Independent Accountants</w:t>
      </w:r>
      <w:r>
        <w:rPr>
          <w:rFonts w:ascii="Times New Roman;Times;Serif" w:hAnsi="Times New Roman;Times;Serif"/>
          <w:b w:val="false"/>
          <w:i w:val="false"/>
          <w:caps w:val="false"/>
          <w:smallCaps w:val="false"/>
          <w:sz w:val="20"/>
        </w:rPr>
        <w:t>. Each of Baker Tilly US, LLP and KPMG LLP, or such other accountants, who have certified certain financial statements of the Company and its subsidiaries and delivered its report with respect to the audited consolidated financial statements and schedules filed with the Commission as part of the Registration Statement and included in each of the Registration Statement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val="false"/>
          <w:i w:val="false"/>
          <w:caps w:val="false"/>
          <w:smallCaps w:val="false"/>
          <w:sz w:val="20"/>
          <w:u w:val="single"/>
        </w:rPr>
        <w:t>Disclosure Controls</w:t>
      </w:r>
      <w:r>
        <w:rPr>
          <w:rFonts w:ascii="Times New Roman;Times;Serif" w:hAnsi="Times New Roman;Times;Serif"/>
          <w:b w:val="false"/>
          <w:i w:val="false"/>
          <w:caps w:val="false"/>
          <w:smallCaps w:val="false"/>
          <w:sz w:val="20"/>
        </w:rPr>
        <w:t>. Other than as disclosed in the Registration Statement and the Prospectus, 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accurate. Other than as disclosed in the Registration Statement and the Prospectus, since the end of the Company’s most recent audited fiscal year, there has been (x) no material weakness in the Company’s internal control over financial reporting (whether or not remediated) and (y) no change in the Company’s internal control over financial reporting that has materially affected, or is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val="false"/>
          <w:i w:val="false"/>
          <w:caps w:val="false"/>
          <w:smallCaps w:val="false"/>
          <w:sz w:val="20"/>
          <w:u w:val="single"/>
        </w:rPr>
        <w:t>Sarbanes-Oxley</w:t>
      </w:r>
      <w:r>
        <w:rPr>
          <w:rFonts w:ascii="Times New Roman;Times;Serif" w:hAnsi="Times New Roman;Times;Serif"/>
          <w:b w:val="false"/>
          <w:i w:val="false"/>
          <w:caps w:val="false"/>
          <w:smallCaps w:val="false"/>
          <w:sz w:val="20"/>
        </w:rPr>
        <w:t>. The Company has taken all necessary actions to ensure that it is in compliance with the provisions of the Sarbanes-Oxley Act of 2002 and the rules and regulations promulgated in connection therewith (the “</w:t>
      </w:r>
      <w:r>
        <w:rPr>
          <w:rFonts w:ascii="Times New Roman;Times;Serif" w:hAnsi="Times New Roman;Times;Serif"/>
          <w:b/>
          <w:i w:val="false"/>
          <w:caps w:val="false"/>
          <w:smallCaps w:val="false"/>
          <w:sz w:val="20"/>
        </w:rPr>
        <w:t>Sarbanes-Oxley Act</w:t>
      </w:r>
      <w:r>
        <w:rPr>
          <w:rFonts w:ascii="Times New Roman;Times;Serif" w:hAnsi="Times New Roman;Times;Serif"/>
          <w:b w:val="false"/>
          <w:i w:val="false"/>
          <w:caps w:val="false"/>
          <w:smallCaps w:val="false"/>
          <w:sz w:val="20"/>
        </w:rPr>
        <w:t>”) that are currently in effect and with which the Company is required to comply. There is and has been no material failure on the part of the Company or, to the knowledge of the Company, any of the Company’s directors or officers, in their capacities as such, to comply with any applicable provision of the Sarbanes-Oxley Act, including Section 402 related to loans and Sections 302 and 906 related to 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val="false"/>
          <w:i w:val="false"/>
          <w:caps w:val="false"/>
          <w:smallCaps w:val="false"/>
          <w:sz w:val="20"/>
          <w:u w:val="single"/>
        </w:rPr>
        <w:t>XBRL</w:t>
      </w:r>
      <w:r>
        <w:rPr>
          <w:rFonts w:ascii="Times New Roman;Times;Serif" w:hAnsi="Times New Roman;Times;Serif"/>
          <w:b w:val="false"/>
          <w:i w:val="false"/>
          <w:caps w:val="false"/>
          <w:smallCaps w:val="false"/>
          <w:sz w:val="20"/>
        </w:rPr>
        <w:t>.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val="false"/>
          <w:i w:val="false"/>
          <w:caps w:val="false"/>
          <w:smallCaps w:val="false"/>
          <w:sz w:val="20"/>
          <w:u w:val="single"/>
        </w:rPr>
        <w:t>Related Party Transactions</w:t>
      </w:r>
      <w:r>
        <w:rPr>
          <w:rFonts w:ascii="Times New Roman;Times;Serif" w:hAnsi="Times New Roman;Times;Serif"/>
          <w:b w:val="false"/>
          <w:i w:val="false"/>
          <w:caps w:val="false"/>
          <w:smallCaps w:val="false"/>
          <w:sz w:val="20"/>
        </w:rPr>
        <w:t>. There are no business relationships or related party transactions involving the Company or any of its subsidiaries or any other Person required to be described in the Registration Statement or the Prospectus which have not been described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Except as otherwise disclosed in the Prospectus, there is no broker, finder or other party that is entitled to receive from the Company any brokerage or finder’s fee or other fee or commission as a result of any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val="false"/>
          <w:i w:val="false"/>
          <w:caps w:val="false"/>
          <w:smallCaps w:val="false"/>
          <w:sz w:val="20"/>
          <w:u w:val="single"/>
        </w:rPr>
        <w:t>Duties, Transfer Taxes, Etc</w:t>
      </w:r>
      <w:r>
        <w:rPr>
          <w:rFonts w:ascii="Times New Roman;Times;Serif" w:hAnsi="Times New Roman;Times;Serif"/>
          <w:b w:val="false"/>
          <w:i w:val="false"/>
          <w:caps w:val="false"/>
          <w:smallCaps w:val="false"/>
          <w:sz w:val="20"/>
        </w:rPr>
        <w:t>. No stamp or other issuance or transfer taxes or duties and no capital gains, income, withholding or other taxes are payable by the Agents in the United States or any political subdivision or taxing authority thereof or therein in connection with the execution, delivery or performance of this Agreement by the Company or the sale and delivery by the Company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w:t>
      </w:r>
      <w:r>
        <w:rPr>
          <w:rFonts w:ascii="Times New Roman;Times;Serif" w:hAnsi="Times New Roman;Times;Serif"/>
          <w:b w:val="false"/>
          <w:i w:val="false"/>
          <w:caps w:val="false"/>
          <w:smallCaps w:val="false"/>
          <w:sz w:val="20"/>
          <w:u w:val="single"/>
        </w:rPr>
        <w:t>Other Underwriting Agreements</w:t>
      </w:r>
      <w:r>
        <w:rPr>
          <w:rFonts w:ascii="Times New Roman;Times;Serif" w:hAnsi="Times New Roman;Times;Serif"/>
          <w:b w:val="false"/>
          <w:i w:val="false"/>
          <w:caps w:val="false"/>
          <w:smallCaps w:val="false"/>
          <w:sz w:val="20"/>
        </w:rPr>
        <w:t>. The Company is not a party to any agreement with an agent or underwriter for any other “at the market” or continuous equity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w:t>
      </w:r>
      <w:r>
        <w:rPr>
          <w:rFonts w:ascii="Times New Roman;Times;Serif" w:hAnsi="Times New Roman;Times;Serif"/>
          <w:b w:val="false"/>
          <w:i w:val="false"/>
          <w:caps w:val="false"/>
          <w:smallCaps w:val="false"/>
          <w:sz w:val="20"/>
          <w:u w:val="single"/>
        </w:rPr>
        <w:t>OISP</w:t>
      </w:r>
      <w:r>
        <w:rPr>
          <w:rFonts w:ascii="Times New Roman;Times;Serif" w:hAnsi="Times New Roman;Times;Serif"/>
          <w:b w:val="false"/>
          <w:i w:val="false"/>
          <w:caps w:val="false"/>
          <w:smallCaps w:val="false"/>
          <w:sz w:val="20"/>
        </w:rPr>
        <w:t>. As of the date hereof, the Company is a “covered foreign person”, as that term is defined in 31 C.F.R. § 850.209.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w:t>
      </w:r>
      <w:r>
        <w:rPr>
          <w:rFonts w:ascii="Times New Roman;Times;Serif" w:hAnsi="Times New Roman;Times;Serif"/>
          <w:b w:val="false"/>
          <w:i w:val="false"/>
          <w:caps w:val="false"/>
          <w:smallCaps w:val="false"/>
          <w:sz w:val="20"/>
          <w:u w:val="single"/>
        </w:rPr>
        <w:t>Well-known Seasoned Issuer</w:t>
      </w:r>
      <w:r>
        <w:rPr>
          <w:rFonts w:ascii="Times New Roman;Times;Serif" w:hAnsi="Times New Roman;Times;Serif"/>
          <w:b w:val="false"/>
          <w:i w:val="false"/>
          <w:caps w:val="false"/>
          <w:smallCaps w:val="false"/>
          <w:sz w:val="20"/>
        </w:rPr>
        <w:t>. (A) At the original effectiveness of the Registration Statement, (B) at the time of the most recent amendment thereto for the purposes of complying with Section 10(a)(3) of the Securities Act (whether such amendment was by post-effective amendment or incorporated report filed pursuant to Section 13 or 15(d) of the Exchange Act or in the form of a prospectus), and (C) at the time the Company or any person acting on its behalf (within the meaning, for this clause only, of Rule 163(c) under the Securities Act) made any offer relating to the Shares in reliance on the exemption of Rule 163 under the Securities Act, the Company was and is a “well-known seasoned issuer” (as defined in Rule 405).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signed by any officer or representative of the Company or any of its subsidiaries and delivered to the Agents or counsel for the Agents in connection with an issuance of Shares shall be deemed a representation and warranty by the Company to the Agents as to the matters covered thereby on the date of such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acknowledges that the Agents and, for purposes of the opinions to be delivered pursuant to </w:t>
      </w:r>
      <w:r>
        <w:rPr>
          <w:rFonts w:ascii="Times New Roman;Times;Serif" w:hAnsi="Times New Roman;Times;Serif"/>
          <w:b w:val="false"/>
          <w:i w:val="false"/>
          <w:caps w:val="false"/>
          <w:smallCaps w:val="false"/>
          <w:sz w:val="20"/>
          <w:u w:val="single"/>
        </w:rPr>
        <w:t>Section 4(o)</w:t>
      </w:r>
      <w:r>
        <w:rPr>
          <w:rFonts w:ascii="Times New Roman;Times;Serif" w:hAnsi="Times New Roman;Times;Serif"/>
          <w:b w:val="false"/>
          <w:i w:val="false"/>
          <w:caps w:val="false"/>
          <w:smallCaps w:val="false"/>
          <w:sz w:val="20"/>
        </w:rPr>
        <w:t> hereof, counsel to the Company and counsel to the Agents, will rely upon the accuracy and truthfulness of the foregoing representations and hereby consents to such reliance.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ISSUANCE AND SALE OF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Sale of Securities</w:t>
      </w:r>
      <w:r>
        <w:rPr>
          <w:rFonts w:ascii="Times New Roman;Times;Serif" w:hAnsi="Times New Roman;Times;Serif"/>
          <w:b w:val="false"/>
          <w:i w:val="false"/>
          <w:caps w:val="false"/>
          <w:smallCaps w:val="false"/>
          <w:sz w:val="20"/>
        </w:rPr>
        <w:t>. On the basis of the representations, warranties and agreements herein contained, but subject to the terms and conditions herein set forth, the Company and the Agents agree that the Company may from time to time seek to sell Shares through the Agents, acting as sales agents, or directly to the Agents, acting as principals, as follows, with an aggregate Sales Price of up to the Maximum Program Amount, based on and in accordance with Issuance Notices as the Company may deliver, during the Agency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Mechanics of Issuances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Issuance Notice</w:t>
      </w:r>
      <w:r>
        <w:rPr>
          <w:rFonts w:ascii="Times New Roman;Times;Serif" w:hAnsi="Times New Roman;Times;Serif"/>
          <w:b w:val="false"/>
          <w:i w:val="false"/>
          <w:caps w:val="false"/>
          <w:smallCaps w:val="false"/>
          <w:sz w:val="20"/>
        </w:rPr>
        <w:t>. Upon the terms and subject to the conditions set forth herein, on any Trading Day during the Agency Period on which the conditions set forth in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5(b)</w:t>
      </w:r>
      <w:r>
        <w:rPr>
          <w:rFonts w:ascii="Times New Roman;Times;Serif" w:hAnsi="Times New Roman;Times;Serif"/>
          <w:b w:val="false"/>
          <w:i w:val="false"/>
          <w:caps w:val="false"/>
          <w:smallCaps w:val="false"/>
          <w:sz w:val="20"/>
        </w:rPr>
        <w:t> shall have been satisfied, the Company may exercise its right to request an issuance of Shares by delivering to an Agent (the “</w:t>
      </w:r>
      <w:r>
        <w:rPr>
          <w:rFonts w:ascii="Times New Roman;Times;Serif" w:hAnsi="Times New Roman;Times;Serif"/>
          <w:b/>
          <w:i w:val="false"/>
          <w:caps w:val="false"/>
          <w:smallCaps w:val="false"/>
          <w:sz w:val="20"/>
        </w:rPr>
        <w:t>Designated Agent</w:t>
      </w:r>
      <w:r>
        <w:rPr>
          <w:rFonts w:ascii="Times New Roman;Times;Serif" w:hAnsi="Times New Roman;Times;Serif"/>
          <w:b w:val="false"/>
          <w:i w:val="false"/>
          <w:caps w:val="false"/>
          <w:smallCaps w:val="false"/>
          <w:sz w:val="20"/>
        </w:rPr>
        <w:t xml:space="preserve">”) an Issuance Notice; provided, however, that (A) in no event may the Company deliver an Issuance Notice to the extent that 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electronic mail to the persons set forth in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and confirmed by the Company by telephone (including a voicemail message to the persons so identified), with the understanding that, with adequate prior written notice, the Designated Agent may modify the list of such persons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Designated Agent’s Efforts</w:t>
      </w:r>
      <w:r>
        <w:rPr>
          <w:rFonts w:ascii="Times New Roman;Times;Serif" w:hAnsi="Times New Roman;Times;Serif"/>
          <w:b w:val="false"/>
          <w:i w:val="false"/>
          <w:caps w:val="false"/>
          <w:smallCaps w:val="false"/>
          <w:sz w:val="20"/>
        </w:rPr>
        <w:t>. Upon the terms and subject to the conditions set forth in this Agreement, upon the receipt of an Issuance Notice, the Designated Agent will use its commercially reasonable efforts consistent with its normal sales and trading practices to place the Shares with respect to which the Designated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Method of Offer and Sale</w:t>
      </w:r>
      <w:r>
        <w:rPr>
          <w:rFonts w:ascii="Times New Roman;Times;Serif" w:hAnsi="Times New Roman;Times;Serif"/>
          <w:b w:val="false"/>
          <w:i w:val="false"/>
          <w:caps w:val="false"/>
          <w:smallCaps w:val="false"/>
          <w:sz w:val="20"/>
        </w:rPr>
        <w:t>. The Shares may be offered and sold (A) in negotiated transactions with the consent of the Company or (B) by any other method permitted by law deemed to be an “</w:t>
      </w:r>
      <w:r>
        <w:rPr>
          <w:rFonts w:ascii="Times New Roman;Times;Serif" w:hAnsi="Times New Roman;Times;Serif"/>
          <w:b/>
          <w:i w:val="false"/>
          <w:caps w:val="false"/>
          <w:smallCaps w:val="false"/>
          <w:sz w:val="20"/>
        </w:rPr>
        <w:t>at the market offering</w:t>
      </w:r>
      <w:r>
        <w:rPr>
          <w:rFonts w:ascii="Times New Roman;Times;Serif" w:hAnsi="Times New Roman;Times;Serif"/>
          <w:b w:val="false"/>
          <w:i w:val="false"/>
          <w:caps w:val="false"/>
          <w:smallCaps w:val="false"/>
          <w:sz w:val="20"/>
        </w:rPr>
        <w:t>” as defined in Rule 415(a)(4) under the Securities Act, including block transactions,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 (A) above) the method of placement of any Shares by the Designated Agent shall be at the Designated Agent’s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Confirmation to the Company</w:t>
      </w:r>
      <w:r>
        <w:rPr>
          <w:rFonts w:ascii="Times New Roman;Times;Serif" w:hAnsi="Times New Roman;Times;Serif"/>
          <w:b w:val="false"/>
          <w:i w:val="false"/>
          <w:caps w:val="false"/>
          <w:smallCaps w:val="false"/>
          <w:sz w:val="20"/>
        </w:rPr>
        <w:t>. If acting as sales agent hereunder, the Designated Agent will provide written confirmation to the Company no later than the opening of the Trading Day immediately following the Trading Day on which it has placed Shares hereunder setting forth the number of Shares sold on such Trading Day, the corresponding Sales Price and the Issuance Price payable to the Company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Settlement</w:t>
      </w:r>
      <w:r>
        <w:rPr>
          <w:rFonts w:ascii="Times New Roman;Times;Serif" w:hAnsi="Times New Roman;Times;Serif"/>
          <w:b w:val="false"/>
          <w:i w:val="false"/>
          <w:caps w:val="false"/>
          <w:smallCaps w:val="false"/>
          <w:sz w:val="20"/>
        </w:rPr>
        <w:t>. Each issuance of Shares will be settled on the applicable Settlement Date for such issuance of Shares and, subject to the provisions of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on or before each Settlement Date, the Company will, or will cause its transfer agent to, electronically transfer the Shares being sold by crediting Designated Agent or such Designated Agent’s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Common Shares in good deliverable form, the Designated Agent will deliver, by wire transfer of immediately available funds, the related Issuance Price to an account designated by the Company prior to the Settlement Date. The Company may sell Shares to the Designated Agent as principal at a price agreed upon at each relevant time Shares are sold pursuant to this Agreement (each, a “</w:t>
      </w:r>
      <w:r>
        <w:rPr>
          <w:rFonts w:ascii="Times New Roman;Times;Serif" w:hAnsi="Times New Roman;Times;Serif"/>
          <w:b/>
          <w:i w:val="false"/>
          <w:caps w:val="false"/>
          <w:smallCaps w:val="false"/>
          <w:sz w:val="20"/>
        </w:rPr>
        <w:t>Time of Sale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Suspension or Termination of Sales</w:t>
      </w:r>
      <w:r>
        <w:rPr>
          <w:rFonts w:ascii="Times New Roman;Times;Serif" w:hAnsi="Times New Roman;Times;Serif"/>
          <w:b w:val="false"/>
          <w:i w:val="false"/>
          <w:caps w:val="false"/>
          <w:smallCaps w:val="false"/>
          <w:sz w:val="20"/>
        </w:rPr>
        <w:t>. Consistent with standard market settlement practices, the Company or the Designated Agent may, upon notice to the other party hereto in writing or by telephone (confirmed immediately by verifiable email), suspend any sale of Shares, and the period set forth in an Issuance Notice shall immediately terminate; provided, however, that (A) such suspension and termination shall not affect or impair either party’s obligations with respect to any Shares placed or sold hereunder prior to the receipt of such notice; (B) if the Company suspends or terminates any sale of Shares after the Designated Agent confirms such sale to the Company, the Company shall still be obligated to comply with ‎</w:t>
      </w:r>
      <w:r>
        <w:rPr>
          <w:rFonts w:ascii="Times New Roman;Times;Serif" w:hAnsi="Times New Roman;Times;Serif"/>
          <w:b w:val="false"/>
          <w:i w:val="false"/>
          <w:caps w:val="false"/>
          <w:smallCaps w:val="false"/>
          <w:sz w:val="20"/>
          <w:u w:val="single"/>
        </w:rPr>
        <w:t>Section 3(b)(v)</w:t>
      </w:r>
      <w:r>
        <w:rPr>
          <w:rFonts w:ascii="Times New Roman;Times;Serif" w:hAnsi="Times New Roman;Times;Serif"/>
          <w:b w:val="false"/>
          <w:i w:val="false"/>
          <w:caps w:val="false"/>
          <w:smallCaps w:val="false"/>
          <w:sz w:val="20"/>
        </w:rPr>
        <w:t xml:space="preserve"> with respect to such Shares; and (C) if the Company defaults in its obligation to deliver Shares on a Settlement Date, the Company agrees that it will hold the Designated Agent harmless against any loss, claim, damage or expense (including, without limitation, penalties, interest and reasonable and documented legal fees and expenses), as incurred, arising out of or in connection with such default by the Company. The parties hereto acknowledge and agree that, in performing its obligations under this Agreement, the Designated Agent may borrow Common Shares from stock lenders in the event that the Company has not delivered Shares to settle sales as required by </w:t>
      </w:r>
      <w:r>
        <w:rPr>
          <w:rFonts w:ascii="Times New Roman;Times;Serif" w:hAnsi="Times New Roman;Times;Serif"/>
          <w:b w:val="false"/>
          <w:i w:val="false"/>
          <w:caps w:val="false"/>
          <w:smallCaps w:val="false"/>
          <w:sz w:val="20"/>
          <w:u w:val="single"/>
        </w:rPr>
        <w:t>Section 3(b)(v)</w:t>
      </w:r>
      <w:r>
        <w:rPr>
          <w:rFonts w:ascii="Times New Roman;Times;Serif" w:hAnsi="Times New Roman;Times;Serif"/>
          <w:b w:val="false"/>
          <w:i w:val="false"/>
          <w:caps w:val="false"/>
          <w:smallCaps w:val="false"/>
          <w:sz w:val="20"/>
        </w:rPr>
        <w:t xml:space="preserve"> above, and may use the Shares to settle or close out such borrowings. The Company agrees that no such notice shall be effective against the Designated Agent unless it is made to the persons identified in writing by the Designated Agent pursuant to </w:t>
      </w:r>
      <w:r>
        <w:rPr>
          <w:rFonts w:ascii="Times New Roman;Times;Serif" w:hAnsi="Times New Roman;Times;Serif"/>
          <w:b w:val="false"/>
          <w:i w:val="false"/>
          <w:caps w:val="false"/>
          <w:smallCaps w:val="false"/>
          <w:sz w:val="20"/>
          <w:u w:val="single"/>
        </w:rPr>
        <w:t>Section 3(b)(i)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No Guarantee of Placement, Etc</w:t>
      </w:r>
      <w:r>
        <w:rPr>
          <w:rFonts w:ascii="Times New Roman;Times;Serif" w:hAnsi="Times New Roman;Times;Serif"/>
          <w:b w:val="false"/>
          <w:i w:val="false"/>
          <w:caps w:val="false"/>
          <w:smallCaps w:val="false"/>
          <w:sz w:val="20"/>
        </w:rPr>
        <w:t>. The Company acknowledges and agrees that (A) there can be no assurance that the Designated Agent will be successful in placing Shares; (B) the Designated Agent will incur no liability or obligation to the Company or any other Person if it does not sell Shares; and (C) the Designated Agent shall be under no obligation to purchase Shares on a principal basis pursuant to this Agreement, except as otherwise specifically agreed by the Designated Agent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t>
      </w:r>
      <w:r>
        <w:rPr>
          <w:rFonts w:ascii="Times New Roman;Times;Serif" w:hAnsi="Times New Roman;Times;Serif"/>
          <w:b w:val="false"/>
          <w:i w:val="false"/>
          <w:caps w:val="false"/>
          <w:smallCaps w:val="false"/>
          <w:sz w:val="20"/>
          <w:u w:val="single"/>
        </w:rPr>
        <w:t>Material Non-Public Information</w:t>
      </w:r>
      <w:r>
        <w:rPr>
          <w:rFonts w:ascii="Times New Roman;Times;Serif" w:hAnsi="Times New Roman;Times;Serif"/>
          <w:b w:val="false"/>
          <w:i w:val="false"/>
          <w:caps w:val="false"/>
          <w:smallCaps w:val="false"/>
          <w:sz w:val="20"/>
        </w:rPr>
        <w:t>. Notwithstanding any other provision of this Agreement, the Company and the Agents agree that the Company shall not deliver any Issuance Notice to the Agents, and the Agents shall not be obligated to place any Shares, during any period in which the Company is in possession of material non-public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t>
      </w:r>
      <w:r>
        <w:rPr>
          <w:rFonts w:ascii="Times New Roman;Times;Serif" w:hAnsi="Times New Roman;Times;Serif"/>
          <w:b w:val="false"/>
          <w:i w:val="false"/>
          <w:caps w:val="false"/>
          <w:smallCaps w:val="false"/>
          <w:sz w:val="20"/>
          <w:u w:val="single"/>
        </w:rPr>
        <w:t>Sales Through Agents</w:t>
      </w:r>
      <w:r>
        <w:rPr>
          <w:rFonts w:ascii="Times New Roman;Times;Serif" w:hAnsi="Times New Roman;Times;Serif"/>
          <w:b w:val="false"/>
          <w:i w:val="false"/>
          <w:caps w:val="false"/>
          <w:smallCaps w:val="false"/>
          <w:sz w:val="20"/>
        </w:rPr>
        <w:t>. With respect to the offering and sale of Shares pursuant to this Agreement, the Company agrees that any offer to sell Shares, any solicitation of an offer to buy Shares, and any sales of Shares shall only be effected by or through a single Agent on any single given day, and the Company shall in no event request that more than one Agent offer or sell Shares pursuant to this Agreement on the same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 xml:space="preserve">. As compensation for services rendered, the Company shall pay to the Designated Agent, on the applicable Settlement Date, the Selling Commission for the applicable Issuance Amount (including with respect to any suspended or terminated sale pursuant to </w:t>
      </w:r>
      <w:r>
        <w:rPr>
          <w:rFonts w:ascii="Times New Roman;Times;Serif" w:hAnsi="Times New Roman;Times;Serif"/>
          <w:b w:val="false"/>
          <w:i w:val="false"/>
          <w:caps w:val="false"/>
          <w:smallCaps w:val="false"/>
          <w:sz w:val="20"/>
          <w:u w:val="single"/>
        </w:rPr>
        <w:t>Section 3(b)(vi)</w:t>
      </w:r>
      <w:r>
        <w:rPr>
          <w:rFonts w:ascii="Times New Roman;Times;Serif" w:hAnsi="Times New Roman;Times;Serif"/>
          <w:b w:val="false"/>
          <w:i w:val="false"/>
          <w:caps w:val="false"/>
          <w:smallCaps w:val="false"/>
          <w:sz w:val="20"/>
        </w:rPr>
        <w:t>) by the Designated Agent deducting the Selling Commission from the applicable Issuance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xml:space="preserve">.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prepared by or on behalf of, used by, or referred to by the Company, and all amendments and supplements thereto, and this Agreement; (vi) all filing fees, attorneys’ fees and expenses incurred by the Company or the Agents in connection with qualifying or registering (or obtaining exemptions from the qualification or registration of) all or any part of the Shares for offer and sale under the state securities or blue sky laws or the provincial securities laws of Canada, and, if requested by the Agents, preparing and printing a “Blue Sky Survey” or memorandum and a “Canadian wrapper”, and any supplements thereto, advising the Agents of such qualifications, registrations, determinations and exemptions; (vii) the reasonable fees and disbursements of the Agents’ counsel, including the reasonable fees and expenses of counsel for the Agents in connection with, FINRA review, if any, and approval of the Agents’ participation in the offering and distribution of the Shares; (viii) the filing fees incident to FINRA review, if any; (ix)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Agents and any such consultants, and the cost of any aircraft chartered in connection with the road show; and (x) the fees and expenses associated with listing the Shares on the Principal Market. The fees and disbursements of Agents’ counsel pursuant to clauses (vi) and (vii) above shall not exceed (A) $100,000 in connection with execution of this Agreement, (B) $25,000 in connection with each Triggering Event Date involving the filing of an annual report on Form 10-K on which the Company is required to provide a certificate pursuant to </w:t>
      </w:r>
      <w:r>
        <w:rPr>
          <w:rFonts w:ascii="Times New Roman;Times;Serif" w:hAnsi="Times New Roman;Times;Serif"/>
          <w:b w:val="false"/>
          <w:i w:val="false"/>
          <w:caps w:val="false"/>
          <w:smallCaps w:val="false"/>
          <w:sz w:val="20"/>
          <w:u w:val="single"/>
        </w:rPr>
        <w:t>Section 4(o)</w:t>
      </w:r>
      <w:r>
        <w:rPr>
          <w:rFonts w:ascii="Times New Roman;Times;Serif" w:hAnsi="Times New Roman;Times;Serif"/>
          <w:b w:val="false"/>
          <w:i w:val="false"/>
          <w:caps w:val="false"/>
          <w:smallCaps w:val="false"/>
          <w:sz w:val="20"/>
        </w:rPr>
        <w:t xml:space="preserve"> and (C) $15,000 in connection with each other Triggering Event Date on which the Company is required to provide a certificate pursuant to </w:t>
      </w:r>
      <w:r>
        <w:rPr>
          <w:rFonts w:ascii="Times New Roman;Times;Serif" w:hAnsi="Times New Roman;Times;Serif"/>
          <w:b w:val="false"/>
          <w:i w:val="false"/>
          <w:caps w:val="false"/>
          <w:smallCaps w:val="false"/>
          <w:sz w:val="20"/>
          <w:u w:val="single"/>
        </w:rPr>
        <w:t>Section 4(o)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         ADDITIONAL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with the Agents as follows, in addition to any other covenants and agreements made elsewhere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Exchange Act Compliance</w:t>
      </w:r>
      <w:r>
        <w:rPr>
          <w:rFonts w:ascii="Times New Roman;Times;Serif" w:hAnsi="Times New Roman;Times;Serif"/>
          <w:b w:val="false"/>
          <w:i w:val="false"/>
          <w:caps w:val="false"/>
          <w:smallCaps w:val="false"/>
          <w:sz w:val="20"/>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 (1) the number of Shares sold through the Agents pursuant to this Agreement and (2) the net proceeds received by the Company from such sales, or (B) prepare a prospectus supplement containing, or include in such other filing permitted by the Securities Act or Exchange Act (each an “</w:t>
      </w:r>
      <w:r>
        <w:rPr>
          <w:rFonts w:ascii="Times New Roman;Times;Serif" w:hAnsi="Times New Roman;Times;Serif"/>
          <w:b/>
          <w:i w:val="false"/>
          <w:caps w:val="false"/>
          <w:smallCaps w:val="false"/>
          <w:sz w:val="20"/>
        </w:rPr>
        <w:t>Interim Prospectus Supplement</w:t>
      </w:r>
      <w:r>
        <w:rPr>
          <w:rFonts w:ascii="Times New Roman;Times;Serif" w:hAnsi="Times New Roman;Times;Serif"/>
          <w:b w:val="false"/>
          <w:i w:val="false"/>
          <w:caps w:val="false"/>
          <w:smallCaps w:val="false"/>
          <w:sz w:val="20"/>
        </w:rPr>
        <w:t xml:space="preserve">”), such summary information and, at least once a quarter and subject to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file such Interim Prospectus Supplement pursuant to Rule 424(b) under the Securities Act (and within the time periods required by Rule 424(b) and Rule 430B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Securities Act Compliance</w:t>
      </w:r>
      <w:r>
        <w:rPr>
          <w:rFonts w:ascii="Times New Roman;Times;Serif" w:hAnsi="Times New Roman;Times;Serif"/>
          <w:b w:val="false"/>
          <w:i w:val="false"/>
          <w:caps w:val="false"/>
          <w:smallCaps w:val="false"/>
          <w:sz w:val="20"/>
        </w:rPr>
        <w:t>. After the date of this Agreement, the Company shall promptly advise the Agents in writing (i) of the receipt of any comments of, or requests for additional or supplemental information from, the Commission; (ii) of the time and date of any filing of any post-effective amendment to the Registration Statement, any amendment or supplement to the Prospectus, or any Free Writing Prospectus; (iii) of the time and date that any post-effective amendment to the Registration Statement becomes effective; and (iv) of the issuance by the Commission of any stop order suspending the effectiveness of the Registration Statement or any post-effective amendment thereto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reasonable best efforts to obtain the lifting of such order as soon as reasonably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Amendments and Supplements to the Prospectus and Other Securities Act Matters</w:t>
      </w:r>
      <w:r>
        <w:rPr>
          <w:rFonts w:ascii="Times New Roman;Times;Serif" w:hAnsi="Times New Roman;Times;Serif"/>
          <w:b w:val="false"/>
          <w:i w:val="false"/>
          <w:caps w:val="false"/>
          <w:smallCaps w:val="false"/>
          <w:sz w:val="20"/>
        </w:rPr>
        <w:t xml:space="preserve">.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Agents or counsel for the Agents it is otherwise necessary to amend or supplement the Prospectus to comply with applicable law, including the Securities Act, the Company agrees (subject to </w:t>
      </w:r>
      <w:r>
        <w:rPr>
          <w:rFonts w:ascii="Times New Roman;Times;Serif" w:hAnsi="Times New Roman;Times;Serif"/>
          <w:b w:val="false"/>
          <w:i w:val="false"/>
          <w:caps w:val="false"/>
          <w:smallCaps w:val="false"/>
          <w:sz w:val="20"/>
          <w:u w:val="single"/>
        </w:rPr>
        <w:t>Section 4(d)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4(f)</w:t>
      </w:r>
      <w:r>
        <w:rPr>
          <w:rFonts w:ascii="Times New Roman;Times;Serif" w:hAnsi="Times New Roman;Times;Serif"/>
          <w:b w:val="false"/>
          <w:i w:val="false"/>
          <w:caps w:val="false"/>
          <w:smallCaps w:val="false"/>
          <w:sz w:val="20"/>
        </w:rPr>
        <w:t xml:space="preserve">) to promptly prepare and file with the Commission at its own expense and furnish to the Agents,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not misleading or so that the Prospectus, as amended or supplemented, will comply with applicable law including the Securities Act. Neither the Agents’ consent to, or delivery of, any such amendment or supplement shall constitute a waiver of any of the Company’s obligations under </w:t>
      </w:r>
      <w:r>
        <w:rPr>
          <w:rFonts w:ascii="Times New Roman;Times;Serif" w:hAnsi="Times New Roman;Times;Serif"/>
          <w:b w:val="false"/>
          <w:i w:val="false"/>
          <w:caps w:val="false"/>
          <w:smallCaps w:val="false"/>
          <w:sz w:val="20"/>
          <w:u w:val="single"/>
        </w:rPr>
        <w:t>Section 4(d)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4(f)</w:t>
      </w:r>
      <w:r>
        <w:rPr>
          <w:rFonts w:ascii="Times New Roman;Times;Serif" w:hAnsi="Times New Roman;Times;Serif"/>
          <w:b w:val="false"/>
          <w:i w:val="false"/>
          <w:caps w:val="false"/>
          <w:smallCaps w:val="false"/>
          <w:sz w:val="20"/>
        </w:rPr>
        <w:t>. Notwithstanding the foregoing, the Company shall not be required to file such amendment or supplement if there is no pending Issuance Notice and the Company believes that it is in its best interests not to file such amendment or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Agents’ Review of Proposed Amendments and Supplements</w:t>
      </w:r>
      <w:r>
        <w:rPr>
          <w:rFonts w:ascii="Times New Roman;Times;Serif" w:hAnsi="Times New Roman;Times;Serif"/>
          <w:b w:val="false"/>
          <w:i w:val="false"/>
          <w:caps w:val="false"/>
          <w:smallCaps w:val="false"/>
          <w:sz w:val="20"/>
        </w:rPr>
        <w:t>. Prior to amending or supplementing the Registration Statement or the Prospectus (excluding any amendment or supplement through incorporation of any report filed under the Exchange Act), the Company shall furnish to the Agents for review, a reasonable amount of time prior to the proposed time of filing or use thereof, a copy of each such proposed amendment or supplement, insofar as such proposed amendment or supplement relates to the transactions contemplated hereby, and the Company shall not file or use any such proposed amendment or supplement without the Agents’ prior consent (which shall not be unreasonably withheld, conditioned or delayed). The Company shall file with the Commission within the applicable period specified in Rule 424(b) under the Securities Act any prospectus required to be filed pursuant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Use of Free Writing Prospectus</w:t>
      </w:r>
      <w:r>
        <w:rPr>
          <w:rFonts w:ascii="Times New Roman;Times;Serif" w:hAnsi="Times New Roman;Times;Serif"/>
          <w:b w:val="false"/>
          <w:i w:val="false"/>
          <w:caps w:val="false"/>
          <w:smallCaps w:val="false"/>
          <w:sz w:val="20"/>
        </w:rPr>
        <w:t>. Neither the Company nor the Agents have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Times New Roman;Times;Serif" w:hAnsi="Times New Roman;Times;Serif"/>
          <w:b/>
          <w:i w:val="false"/>
          <w:caps w:val="false"/>
          <w:smallCaps w:val="false"/>
          <w:sz w:val="20"/>
        </w:rPr>
        <w:t>Free Writing Prospectus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Free Writing Prospectuses</w:t>
      </w:r>
      <w:r>
        <w:rPr>
          <w:rFonts w:ascii="Times New Roman;Times;Serif" w:hAnsi="Times New Roman;Times;Serif"/>
          <w:b w:val="false"/>
          <w:i w:val="false"/>
          <w:caps w:val="false"/>
          <w:smallCaps w:val="false"/>
          <w:sz w:val="20"/>
        </w:rPr>
        <w:t>. The Company shall furnish to the Agents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(which shall not be unreasonably withheld, conditioned or delayed). The Company shall furnish to the Agents, without charge, as many copies of any Free Writing Prospectus prepared by or on behalf of, or used by the Company, as the Agents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provided, however, that prior to amending or supplementing any such Free Writing Prospectus, the Company shall furnish to the Agents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 (which shall not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Filing of Agents Free Writing Prospectuses</w:t>
      </w:r>
      <w:r>
        <w:rPr>
          <w:rFonts w:ascii="Times New Roman;Times;Serif" w:hAnsi="Times New Roman;Times;Serif"/>
          <w:b w:val="false"/>
          <w:i w:val="false"/>
          <w:caps w:val="false"/>
          <w:smallCaps w:val="false"/>
          <w:sz w:val="20"/>
        </w:rPr>
        <w:t>. The Company shall not take any action that would result in the Agents or the Company being required to file with the Commission pursuant to Rule 433(d) under the Securities Act a Free Writing Prospectus prepared by or on behalf of the Agents that the Agents otherwise would not have been required to file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Copies of Registration Statement and Prospectus</w:t>
      </w:r>
      <w:r>
        <w:rPr>
          <w:rFonts w:ascii="Times New Roman;Times;Serif" w:hAnsi="Times New Roman;Times;Serif"/>
          <w:b w:val="false"/>
          <w:i w:val="false"/>
          <w:caps w:val="false"/>
          <w:smallCaps w:val="false"/>
          <w:sz w:val="20"/>
        </w:rPr>
        <w:t>. After the date of this Agreement through the last time that a prospectus is required by the Securities Act (including, without limitation, pursuant to Rule 173(d)) to be delivered in connection with sales of the Shares, the Company agrees to furnish the Agents with copies (which may be electronic copies) of the Registration Statement and each amendment thereto, and with copies of the Prospectus and each amendment or supplement thereto in the form in which it is filed with the Commission pursuant to the Securities Act or Rule 424(b) under the Securities Act, both in such quantities as the Agents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the Company agrees to notify the Agents and to request that the Agents suspend offers to sell Shares (and, if so notified, the Agents shall cease such offers as soon as practicable); and if the Company decides to amend or supplement the Registration Statement or the Prospectus as then amended or supplemented, the Company agrees to advise the Agents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Agents are required to deliver a prospectus in respect of transactions in the Shares, the Company shall promptly prepare and file with the Commission such an amendment or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Blue Sky Compliance</w:t>
      </w:r>
      <w:r>
        <w:rPr>
          <w:rFonts w:ascii="Times New Roman;Times;Serif" w:hAnsi="Times New Roman;Times;Serif"/>
          <w:b w:val="false"/>
          <w:i w:val="false"/>
          <w:caps w:val="false"/>
          <w:smallCaps w:val="false"/>
          <w:sz w:val="20"/>
        </w:rPr>
        <w:t>. The Company shall cooperate with the Agents and counsel for the Agents to qualify or register the Shares for sale under (or obtain exemptions from the application of) the state securities or blue sky laws or Canadian provincial securities laws of those jurisdictions designated by the Agents,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Agents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reasonable best efforts to obtain the withdrawal thereof as soon as reasonably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Earnings Statement</w:t>
      </w:r>
      <w:r>
        <w:rPr>
          <w:rFonts w:ascii="Times New Roman;Times;Serif" w:hAnsi="Times New Roman;Times;Serif"/>
          <w:b w:val="false"/>
          <w:i w:val="false"/>
          <w:caps w:val="false"/>
          <w:smallCaps w:val="false"/>
          <w:sz w:val="20"/>
        </w:rPr>
        <w:t>. As soon as reasonably practicable, the Company will make generally available to its security holders and to the Agents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 which requirement (for the avoidance of doubt) may be satisfied by publicly filing the required information on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Listing; Reservation of Shares</w:t>
      </w:r>
      <w:r>
        <w:rPr>
          <w:rFonts w:ascii="Times New Roman;Times;Serif" w:hAnsi="Times New Roman;Times;Serif"/>
          <w:b w:val="false"/>
          <w:i w:val="false"/>
          <w:caps w:val="false"/>
          <w:smallCaps w:val="false"/>
          <w:sz w:val="20"/>
        </w:rPr>
        <w:t>. (a)  The Company will maintain the listing of the Shares on the Principal Market; and (b) the Company will reserve and keep available at all times, free of preemptive rights, Shares for the purpose of enabling the Company to satisfy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The Company shall engage and maintain, at its expense, a registrar and transfer agent for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Due Diligence</w:t>
      </w:r>
      <w:r>
        <w:rPr>
          <w:rFonts w:ascii="Times New Roman;Times;Serif" w:hAnsi="Times New Roman;Times;Serif"/>
          <w:b w:val="false"/>
          <w:i w:val="false"/>
          <w:caps w:val="false"/>
          <w:smallCaps w:val="false"/>
          <w:sz w:val="20"/>
        </w:rPr>
        <w:t>. During the term of this Agreement, the Company will reasonably cooperate with any reasonable due diligence review conducted by the Agents in connection with the transactions contemplated hereby, including, without limitation, providing information and making available documents and senior corporate officers, during normal business hours and at the Company’s principal offices or virtually, as the Agents may reasonably request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Company acknowledges that each delivery of an Issuance Notice and each delivery of Shares on a Settlement Date shall be deemed to be (i) an affirmation to the Designated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Designated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Deliverables at Triggering Event Dates; Certificates</w:t>
      </w:r>
      <w:r>
        <w:rPr>
          <w:rFonts w:ascii="Times New Roman;Times;Serif" w:hAnsi="Times New Roman;Times;Serif"/>
          <w:b w:val="false"/>
          <w:i w:val="false"/>
          <w:caps w:val="false"/>
          <w:smallCaps w:val="false"/>
          <w:sz w:val="20"/>
        </w:rPr>
        <w:t>. The Company agrees that on or prior to the date of the first Issuance Notice and, during the term of this Agreement after the date of the first Issuance Notice, upon: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filing of the Prospectus or the amendment or supplement of any Registration Statement or Prospectus (other than a prospectus supplement relating solely to an offering of securities other than the Shares or a prospectus filed pursuant to </w:t>
      </w:r>
      <w:r>
        <w:rPr>
          <w:rFonts w:ascii="Times New Roman;Times;Serif" w:hAnsi="Times New Roman;Times;Serif"/>
          <w:b w:val="false"/>
          <w:i w:val="false"/>
          <w:caps w:val="false"/>
          <w:smallCaps w:val="false"/>
          <w:sz w:val="20"/>
          <w:u w:val="single"/>
        </w:rPr>
        <w:t>Section 4(a)(ii)(B)</w:t>
      </w:r>
      <w:r>
        <w:rPr>
          <w:rFonts w:ascii="Times New Roman;Times;Serif" w:hAnsi="Times New Roman;Times;Serif"/>
          <w:b w:val="false"/>
          <w:i w:val="false"/>
          <w:caps w:val="false"/>
          <w:smallCaps w:val="false"/>
          <w:sz w:val="20"/>
        </w:rPr>
        <w:t>), by means of a post-effective amendment, sticker or supplement, but not by means of incorporation of documents by reference into the Registration Statement or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event, a “</w:t>
      </w:r>
      <w:r>
        <w:rPr>
          <w:rFonts w:ascii="Times New Roman;Times;Serif" w:hAnsi="Times New Roman;Times;Serif"/>
          <w:b/>
          <w:i w:val="false"/>
          <w:caps w:val="false"/>
          <w:smallCaps w:val="false"/>
          <w:sz w:val="20"/>
        </w:rPr>
        <w:t>Triggering Event Date</w:t>
      </w:r>
      <w:r>
        <w:rPr>
          <w:rFonts w:ascii="Times New Roman;Times;Serif" w:hAnsi="Times New Roman;Times;Serif"/>
          <w:b w:val="false"/>
          <w:i w:val="false"/>
          <w:caps w:val="false"/>
          <w:smallCaps w:val="false"/>
          <w:sz w:val="20"/>
        </w:rPr>
        <w:t xml:space="preserve">”), the Company shall furnish the Agents (but in the case of clause (C) above only if the Agents reasonably determine that the information contained in such current report on Form 8-K of the Company is material) with a certificate as of the Triggering Event Date, in the form and substance satisfactory to the Agents and their counsel, substantially similar to the form previously provided to the Agents and their counsel, modified, as necessary, to relate to the Registration Statement and the Prospectus as amended or supplemented, (A) confirming that the representations and warranties of the Company contained in this Agreement are true and correct, (B) confirming that the Company has performed all of its obligations hereunder to be performed on or prior to the date of such certificate and as to the matters set forth in </w:t>
      </w:r>
      <w:r>
        <w:rPr>
          <w:rFonts w:ascii="Times New Roman;Times;Serif" w:hAnsi="Times New Roman;Times;Serif"/>
          <w:b w:val="false"/>
          <w:i w:val="false"/>
          <w:caps w:val="false"/>
          <w:smallCaps w:val="false"/>
          <w:sz w:val="20"/>
          <w:u w:val="single"/>
        </w:rPr>
        <w:t>Section 5(a)(i)</w:t>
      </w:r>
      <w:r>
        <w:rPr>
          <w:rFonts w:ascii="Times New Roman;Times;Serif" w:hAnsi="Times New Roman;Times;Serif"/>
          <w:b w:val="false"/>
          <w:i w:val="false"/>
          <w:caps w:val="false"/>
          <w:smallCaps w:val="false"/>
          <w:sz w:val="20"/>
        </w:rPr>
        <w:t xml:space="preserve"> hereof, and (C) containing any other certification that the Agents shall reasonably request. The requirement to provide a certificate under this </w:t>
      </w:r>
      <w:r>
        <w:rPr>
          <w:rFonts w:ascii="Times New Roman;Times;Serif" w:hAnsi="Times New Roman;Times;Serif"/>
          <w:b w:val="false"/>
          <w:i w:val="false"/>
          <w:caps w:val="false"/>
          <w:smallCaps w:val="false"/>
          <w:sz w:val="20"/>
          <w:u w:val="single"/>
        </w:rPr>
        <w:t>Section 4(o)</w:t>
      </w:r>
      <w:r>
        <w:rPr>
          <w:rFonts w:ascii="Times New Roman;Times;Serif" w:hAnsi="Times New Roman;Times;Serif"/>
          <w:b w:val="false"/>
          <w:i w:val="false"/>
          <w:caps w:val="false"/>
          <w:smallCaps w:val="false"/>
          <w:sz w:val="20"/>
        </w:rPr>
        <w:t xml:space="preserve"> shall be automatically waived for any Triggering Event Date occurring at a time when no Issuance Notice is pending or a suspension is in effect, which waiver shall continue until the earlier to occur of the date the Company delivers an Issuance Notice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Agents with a certificate under this </w:t>
      </w:r>
      <w:r>
        <w:rPr>
          <w:rFonts w:ascii="Times New Roman;Times;Serif" w:hAnsi="Times New Roman;Times;Serif"/>
          <w:b w:val="false"/>
          <w:i w:val="false"/>
          <w:caps w:val="false"/>
          <w:smallCaps w:val="false"/>
          <w:sz w:val="20"/>
          <w:u w:val="single"/>
        </w:rPr>
        <w:t>Section 4(o)</w:t>
      </w:r>
      <w:r>
        <w:rPr>
          <w:rFonts w:ascii="Times New Roman;Times;Serif" w:hAnsi="Times New Roman;Times;Serif"/>
          <w:b w:val="false"/>
          <w:i w:val="false"/>
          <w:caps w:val="false"/>
          <w:smallCaps w:val="false"/>
          <w:sz w:val="20"/>
        </w:rPr>
        <w:t xml:space="preserve">, then before the Company delivers the Issuance Notice for such sale of Shares or the Designated Agent sells any Shares pursuant to such Issuance Notice, the Company shall provide the Designated Agent with a certificate in conformity with this </w:t>
      </w:r>
      <w:r>
        <w:rPr>
          <w:rFonts w:ascii="Times New Roman;Times;Serif" w:hAnsi="Times New Roman;Times;Serif"/>
          <w:b w:val="false"/>
          <w:i w:val="false"/>
          <w:caps w:val="false"/>
          <w:smallCaps w:val="false"/>
          <w:sz w:val="20"/>
          <w:u w:val="single"/>
        </w:rPr>
        <w:t>Section 4(o)</w:t>
      </w:r>
      <w:r>
        <w:rPr>
          <w:rFonts w:ascii="Times New Roman;Times;Serif" w:hAnsi="Times New Roman;Times;Serif"/>
          <w:b w:val="false"/>
          <w:i w:val="false"/>
          <w:caps w:val="false"/>
          <w:smallCaps w:val="false"/>
          <w:sz w:val="20"/>
        </w:rPr>
        <w:t> dated as of the Issuance Notice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Legal Opinions</w:t>
      </w:r>
      <w:r>
        <w:rPr>
          <w:rFonts w:ascii="Times New Roman;Times;Serif" w:hAnsi="Times New Roman;Times;Serif"/>
          <w:b w:val="false"/>
          <w:i w:val="false"/>
          <w:caps w:val="false"/>
          <w:smallCaps w:val="false"/>
          <w:sz w:val="20"/>
        </w:rPr>
        <w:t xml:space="preserve">. On or prior to the date of the first Issuance Notice and on or prior to each Triggering Event Date with respect to which the Company is obligated to deliver a certificate pursuant to </w:t>
      </w:r>
      <w:r>
        <w:rPr>
          <w:rFonts w:ascii="Times New Roman;Times;Serif" w:hAnsi="Times New Roman;Times;Serif"/>
          <w:b w:val="false"/>
          <w:i w:val="false"/>
          <w:caps w:val="false"/>
          <w:smallCaps w:val="false"/>
          <w:sz w:val="20"/>
          <w:u w:val="single"/>
        </w:rPr>
        <w:t>Section 4(o)</w:t>
      </w:r>
      <w:r>
        <w:rPr>
          <w:rFonts w:ascii="Times New Roman;Times;Serif" w:hAnsi="Times New Roman;Times;Serif"/>
          <w:b w:val="false"/>
          <w:i w:val="false"/>
          <w:caps w:val="false"/>
          <w:smallCaps w:val="false"/>
          <w:sz w:val="20"/>
        </w:rPr>
        <w:t> for which no waiver is applicable and excluding the date of this Agreement, the Company shall cause to be furnished to the Agents a negative assurance letter and the written legal opinion of Cozen O’Connor, counsel to the Company, dated the date of delivery, in form and substance reasonably satisfactory to Agents and their counsel, substantially similar to the form previously provided to the Agents and their counsel, modified, as necessary, to relate to the Registration Statement and the Prospectus as then amended or supplemented. In lieu of such opinions for subsequent periodic filings, in the discretion of the Agents, the Company may furnish a reliance letter from such counsel to the Agents, permitting the Agents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 The Company shall be required to furnish no more than one negative assurance letter and one written legal opinion hereunder per calendar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Comfort Letter</w:t>
      </w:r>
      <w:r>
        <w:rPr>
          <w:rFonts w:ascii="Times New Roman;Times;Serif" w:hAnsi="Times New Roman;Times;Serif"/>
          <w:b w:val="false"/>
          <w:i w:val="false"/>
          <w:caps w:val="false"/>
          <w:smallCaps w:val="false"/>
          <w:sz w:val="20"/>
        </w:rPr>
        <w:t xml:space="preserve">. On or prior to the date of the first Issuance Notice and on or prior to each Triggering Event Date with respect to which the Company is obligated to deliver a certificate pursuant to </w:t>
      </w:r>
      <w:r>
        <w:rPr>
          <w:rFonts w:ascii="Times New Roman;Times;Serif" w:hAnsi="Times New Roman;Times;Serif"/>
          <w:b w:val="false"/>
          <w:i w:val="false"/>
          <w:caps w:val="false"/>
          <w:smallCaps w:val="false"/>
          <w:sz w:val="20"/>
          <w:u w:val="single"/>
        </w:rPr>
        <w:t>Section 4(o)</w:t>
      </w:r>
      <w:r>
        <w:rPr>
          <w:rFonts w:ascii="Times New Roman;Times;Serif" w:hAnsi="Times New Roman;Times;Serif"/>
          <w:b w:val="false"/>
          <w:i w:val="false"/>
          <w:caps w:val="false"/>
          <w:smallCaps w:val="false"/>
          <w:sz w:val="20"/>
        </w:rPr>
        <w:t> for which no waiver is applicable and excluding the date of this Agreement, the Company shall cause Baker Tilly US, LLP and KPMG LLP, the independent registered public accounting firms who have audited the financial statements included or incorporated by reference in the Registration Statement, or such other accountants who have audited the financial statements included or incorporated by reference in the Registration Statement, to furnish the Agents a comfort letter, dated the date of delivery, in form and substance reasonably satisfactory to the Agents and their counsel, substantially similar to the form previously provided to the Agents and their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Agents, the Company shall also cause a comfort letter to be furnished to the Agents on the date of occurrence of 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each filing of an annual report on Form 10-K or a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Secretary’s Certificate</w:t>
      </w:r>
      <w:r>
        <w:rPr>
          <w:rFonts w:ascii="Times New Roman;Times;Serif" w:hAnsi="Times New Roman;Times;Serif"/>
          <w:b w:val="false"/>
          <w:i w:val="false"/>
          <w:caps w:val="false"/>
          <w:smallCaps w:val="false"/>
          <w:sz w:val="20"/>
        </w:rPr>
        <w:t xml:space="preserve">. On or prior to the date of the first Issuance Notice and on or prior to each Triggering Event Date with respect to which the Company is obligated to deliver a certificate pursuant to </w:t>
      </w:r>
      <w:r>
        <w:rPr>
          <w:rFonts w:ascii="Times New Roman;Times;Serif" w:hAnsi="Times New Roman;Times;Serif"/>
          <w:b w:val="false"/>
          <w:i w:val="false"/>
          <w:caps w:val="false"/>
          <w:smallCaps w:val="false"/>
          <w:sz w:val="20"/>
          <w:u w:val="single"/>
        </w:rPr>
        <w:t>Section 4(o)</w:t>
      </w:r>
      <w:r>
        <w:rPr>
          <w:rFonts w:ascii="Times New Roman;Times;Serif" w:hAnsi="Times New Roman;Times;Serif"/>
          <w:b w:val="false"/>
          <w:i w:val="false"/>
          <w:caps w:val="false"/>
          <w:smallCaps w:val="false"/>
          <w:sz w:val="20"/>
        </w:rPr>
        <w:t> for which no waiver is applicable, the Company shall furnish the Agents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Agents shall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Agents’ Own Account; Clients’ Account</w:t>
      </w:r>
      <w:r>
        <w:rPr>
          <w:rFonts w:ascii="Times New Roman;Times;Serif" w:hAnsi="Times New Roman;Times;Serif"/>
          <w:b w:val="false"/>
          <w:i w:val="false"/>
          <w:caps w:val="false"/>
          <w:smallCaps w:val="false"/>
          <w:sz w:val="20"/>
        </w:rPr>
        <w:t>. The Company consents to the Agents trading, in compliance with applicable law, in the Common Shares for the Agents’ own accounts and for the accounts of their clients at the same time as sales of the Shares occur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Investment Limitation</w:t>
      </w:r>
      <w:r>
        <w:rPr>
          <w:rFonts w:ascii="Times New Roman;Times;Serif" w:hAnsi="Times New Roman;Times;Serif"/>
          <w:b w:val="false"/>
          <w:i w:val="false"/>
          <w:caps w:val="false"/>
          <w:smallCaps w:val="false"/>
          <w:sz w:val="20"/>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Market Activities</w:t>
      </w:r>
      <w:r>
        <w:rPr>
          <w:rFonts w:ascii="Times New Roman;Times;Serif" w:hAnsi="Times New Roman;Times;Serif"/>
          <w:b w:val="false"/>
          <w:i w:val="false"/>
          <w:caps w:val="false"/>
          <w:smallCaps w:val="false"/>
          <w:sz w:val="20"/>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use commercially reasonable efforts to cause each of its Affiliates to, comply with all applicable provisions of Regulation M. If the limitations of Rule 102 of Regulation M (“</w:t>
      </w:r>
      <w:r>
        <w:rPr>
          <w:rFonts w:ascii="Times New Roman;Times;Serif" w:hAnsi="Times New Roman;Times;Serif"/>
          <w:b/>
          <w:i w:val="false"/>
          <w:caps w:val="false"/>
          <w:smallCaps w:val="false"/>
          <w:sz w:val="20"/>
        </w:rPr>
        <w:t>Rule 102</w:t>
      </w:r>
      <w:r>
        <w:rPr>
          <w:rFonts w:ascii="Times New Roman;Times;Serif" w:hAnsi="Times New Roman;Times;Serif"/>
          <w:b w:val="false"/>
          <w:i w:val="false"/>
          <w:caps w:val="false"/>
          <w:smallCaps w:val="false"/>
          <w:sz w:val="20"/>
        </w:rPr>
        <w:t>”) do not apply with respect to the Shares or any other reference security pursuant to any exception set forth in Section (d) of Rule 102, then promptly upon notice from the Agents (or, if later, at the time stated in the notice), the Company will, and shall use commercially reasonable efforts to cause each of its Affiliates to, comply with Rule 102 as though such exception were not available but the other provisions of Rule 102 (as interpreted by the Commission) did apply. The Company shall promptly notify the Agents if it no longer meets the requirements set forth in Section (d) of Rule 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Notice of Other Sale</w:t>
      </w:r>
      <w:r>
        <w:rPr>
          <w:rFonts w:ascii="Times New Roman;Times;Serif" w:hAnsi="Times New Roman;Times;Serif"/>
          <w:b w:val="false"/>
          <w:i w:val="false"/>
          <w:caps w:val="false"/>
          <w:smallCaps w:val="false"/>
          <w:sz w:val="20"/>
        </w:rPr>
        <w:t xml:space="preserve">. Without the written consent of the Agents,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or effect a reverse stock split, recapitalization, share consolidation, reclassification or similar transaction affecting the outstanding Common Shares, during the period beginning on the third Trading Day immediately prior to the date on which any Issuance Notice is delivered to the Agents hereunder and ending on the third Trading Day immediately following the Settlement Date with respect to Shares sold pursuant to such Issuance Notice; and will not directly or indirectly enter into any other “at the market” or continuous equity offering transaction (other than the Shares offered pursuant to this Agreement); provided, however, that such restrictions will not be required in connection with the Company’s (i) issuance or sale of Common Shares, options to purchase Common Shares or Common Shares issuable upon the exercise of options or other equity awards pursuant to any employee or director share option, incentive or benefit plan, share purchase or ownership plan, long-term incentive plan, dividend reinvestment plan, inducement award under the Principal Market rules or other compensation plan of the Company or its subsidiaries, as in effect on the date of this Agreement, (ii) issuance or sale of Common Shares issuable upon exchange, conversion or redemption of securities or the exercise or vesting of warrants, options or other equity awards outstanding at the date of this Agreement, or issued after the date of this Agreement in compliance with this </w:t>
      </w:r>
      <w:r>
        <w:rPr>
          <w:rFonts w:ascii="Times New Roman;Times;Serif" w:hAnsi="Times New Roman;Times;Serif"/>
          <w:b w:val="false"/>
          <w:i w:val="false"/>
          <w:caps w:val="false"/>
          <w:smallCaps w:val="false"/>
          <w:sz w:val="20"/>
          <w:u w:val="single"/>
        </w:rPr>
        <w:t>Section 4(v)</w:t>
      </w:r>
      <w:r>
        <w:rPr>
          <w:rFonts w:ascii="Times New Roman;Times;Serif" w:hAnsi="Times New Roman;Times;Serif"/>
          <w:b w:val="false"/>
          <w:i w:val="false"/>
          <w:caps w:val="false"/>
          <w:smallCaps w:val="false"/>
          <w:sz w:val="20"/>
        </w:rPr>
        <w:t>, and (iii) modification of any outstanding options, warrants of any rights to purchase or acquire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         CONDITIONS TO DELIVERY OF ISSUANCE NOTICES AND TO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Conditions Precedent to the Right of the Company to Deliver an Issuance Notice and the Obligation of the Designated Agent to Sell Shares</w:t>
      </w:r>
      <w:r>
        <w:rPr>
          <w:rFonts w:ascii="Times New Roman;Times;Serif" w:hAnsi="Times New Roman;Times;Serif"/>
          <w:b w:val="false"/>
          <w:i w:val="false"/>
          <w:caps w:val="false"/>
          <w:smallCaps w:val="false"/>
          <w:sz w:val="20"/>
        </w:rPr>
        <w:t>. The right of the Company to deliver an Issuance Notice hereunder is subject to the satisfaction, on the date of delivery of such Issuance Notice, and the obligation of the Designated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Accuracy of the Company’s Representations and Warranties; Performance by the Company</w:t>
      </w:r>
      <w:r>
        <w:rPr>
          <w:rFonts w:ascii="Times New Roman;Times;Serif" w:hAnsi="Times New Roman;Times;Serif"/>
          <w:b w:val="false"/>
          <w:i w:val="false"/>
          <w:caps w:val="false"/>
          <w:smallCaps w:val="false"/>
          <w:sz w:val="20"/>
        </w:rPr>
        <w:t xml:space="preserve">. The Company shall have delivered the certificate required to be delivered pursuant to </w:t>
      </w:r>
      <w:r>
        <w:rPr>
          <w:rFonts w:ascii="Times New Roman;Times;Serif" w:hAnsi="Times New Roman;Times;Serif"/>
          <w:b w:val="false"/>
          <w:i w:val="false"/>
          <w:caps w:val="false"/>
          <w:smallCaps w:val="false"/>
          <w:sz w:val="20"/>
          <w:u w:val="single"/>
        </w:rPr>
        <w:t>Section 4(o)</w:t>
      </w:r>
      <w:r>
        <w:rPr>
          <w:rFonts w:ascii="Times New Roman;Times;Serif" w:hAnsi="Times New Roman;Times;Serif"/>
          <w:b w:val="false"/>
          <w:i w:val="false"/>
          <w:caps w:val="false"/>
          <w:smallCaps w:val="false"/>
          <w:sz w:val="20"/>
        </w:rPr>
        <w:t xml:space="preserve"> on or before the date on which delivery of such certificate is required pursuant to </w:t>
      </w:r>
      <w:r>
        <w:rPr>
          <w:rFonts w:ascii="Times New Roman;Times;Serif" w:hAnsi="Times New Roman;Times;Serif"/>
          <w:b w:val="false"/>
          <w:i w:val="false"/>
          <w:caps w:val="false"/>
          <w:smallCaps w:val="false"/>
          <w:sz w:val="20"/>
          <w:u w:val="single"/>
        </w:rPr>
        <w:t>Section 4(o)</w:t>
      </w:r>
      <w:r>
        <w:rPr>
          <w:rFonts w:ascii="Times New Roman;Times;Serif" w:hAnsi="Times New Roman;Times;Serif"/>
          <w:b w:val="false"/>
          <w:i w:val="false"/>
          <w:caps w:val="false"/>
          <w:smallCaps w:val="false"/>
          <w:sz w:val="20"/>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Times New Roman;Times;Serif" w:hAnsi="Times New Roman;Times;Serif"/>
          <w:b w:val="false"/>
          <w:i w:val="false"/>
          <w:caps w:val="false"/>
          <w:smallCaps w:val="false"/>
          <w:sz w:val="20"/>
          <w:u w:val="single"/>
        </w:rPr>
        <w:t>‎Section 4(p)</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4(q)</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No Injunction</w:t>
      </w:r>
      <w:r>
        <w:rPr>
          <w:rFonts w:ascii="Times New Roman;Times;Serif" w:hAnsi="Times New Roman;Times;Serif"/>
          <w:b w:val="false"/>
          <w:i w:val="false"/>
          <w:caps w:val="false"/>
          <w:smallCaps w:val="false"/>
          <w:sz w:val="20"/>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Material Adverse Changes</w:t>
      </w:r>
      <w:r>
        <w:rPr>
          <w:rFonts w:ascii="Times New Roman;Times;Serif" w:hAnsi="Times New Roman;Times;Serif"/>
          <w:b w:val="false"/>
          <w:i w:val="false"/>
          <w:caps w:val="false"/>
          <w:smallCaps w:val="false"/>
          <w:sz w:val="20"/>
        </w:rPr>
        <w:t>. Except as disclosed in the Prospectus and the Time of Sale Information, (a) in the judgment of the Agents there shall not have occurred any Material Adverse Change;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No Suspension of Trading in or Delisting of Common Shares; Other Events</w:t>
      </w:r>
      <w:r>
        <w:rPr>
          <w:rFonts w:ascii="Times New Roman;Times;Serif" w:hAnsi="Times New Roman;Times;Serif"/>
          <w:b w:val="false"/>
          <w:i w:val="false"/>
          <w:caps w:val="false"/>
          <w:smallCaps w:val="false"/>
          <w:sz w:val="20"/>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the Principal Market shall have been suspended or limited, or minimum or maximum prices shall have been generally established on any of such stock exchanges by the Commission or the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Agents is material and adverse and makes it impracticable to market the Shares in the manner and on the terms described in the Prospectus or to enforce contracts for the sale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Documents Required to be Delivered on each Issuance Notice Date</w:t>
      </w:r>
      <w:r>
        <w:rPr>
          <w:rFonts w:ascii="Times New Roman;Times;Serif" w:hAnsi="Times New Roman;Times;Serif"/>
          <w:b w:val="false"/>
          <w:i w:val="false"/>
          <w:caps w:val="false"/>
          <w:smallCaps w:val="false"/>
          <w:sz w:val="20"/>
        </w:rPr>
        <w:t>. The Agents’ obligation to use their commercially reasonable efforts to place Shares hereunder shall additionally be conditioned upon the delivery to the Agents on or before the Issuance Notice Date of a certificate in form and substance reasonably satisfactory to the Agents,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Misstatement or Material Omission</w:t>
      </w:r>
      <w:r>
        <w:rPr>
          <w:rFonts w:ascii="Times New Roman;Times;Serif" w:hAnsi="Times New Roman;Times;Serif"/>
          <w:b w:val="false"/>
          <w:i w:val="false"/>
          <w:caps w:val="false"/>
          <w:smallCaps w:val="false"/>
          <w:sz w:val="20"/>
        </w:rPr>
        <w:t>. Agents shall not have advised the Company that the Registration Statement, the Prospectus or the Time of Sale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Agents Counsel Legal Opinion</w:t>
      </w:r>
      <w:r>
        <w:rPr>
          <w:rFonts w:ascii="Times New Roman;Times;Serif" w:hAnsi="Times New Roman;Times;Serif"/>
          <w:b w:val="false"/>
          <w:i w:val="false"/>
          <w:caps w:val="false"/>
          <w:smallCaps w:val="false"/>
          <w:sz w:val="20"/>
        </w:rPr>
        <w:t xml:space="preserve">. The Agents shall have received from Cooley LLP, counsel for Agents, such opinion or opinions, on or before the date on which the delivery of the Company counsel legal opinion is required pursuant to </w:t>
      </w:r>
      <w:r>
        <w:rPr>
          <w:rFonts w:ascii="Times New Roman;Times;Serif" w:hAnsi="Times New Roman;Times;Serif"/>
          <w:b w:val="false"/>
          <w:i w:val="false"/>
          <w:caps w:val="false"/>
          <w:smallCaps w:val="false"/>
          <w:sz w:val="20"/>
          <w:u w:val="single"/>
        </w:rPr>
        <w:t>Section 4(p)</w:t>
      </w:r>
      <w:r>
        <w:rPr>
          <w:rFonts w:ascii="Times New Roman;Times;Serif" w:hAnsi="Times New Roman;Times;Serif"/>
          <w:b w:val="false"/>
          <w:i w:val="false"/>
          <w:caps w:val="false"/>
          <w:smallCaps w:val="false"/>
          <w:sz w:val="20"/>
        </w:rPr>
        <w:t>, with respect to such matters as Agents may reasonably require, and the Company shall have furnished to such counsel such documents as they request for enabling them to pass upon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         INDEMNIFICATION AND CONTRIBUTION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Indemnification of the Agents</w:t>
      </w:r>
      <w:r>
        <w:rPr>
          <w:rFonts w:ascii="Times New Roman;Times;Serif" w:hAnsi="Times New Roman;Times;Serif"/>
          <w:b w:val="false"/>
          <w:i w:val="false"/>
          <w:caps w:val="false"/>
          <w:smallCaps w:val="false"/>
          <w:sz w:val="20"/>
        </w:rPr>
        <w:t xml:space="preserve">. The Company agrees to indemnify and hold harmless the Agents, their officers and employees, and each person, if any, who controls the Agents within the meaning of the Securities Act or the Exchange Act against any loss, claim, damage, liability or expense, as incurred, to which the Agents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Agents and each such officer, employee and controlling person for any and all documented expenses (including the reasonable and documented fees and disbursements of counsel chosen by the Agents) as such expenses are reasonably incurred by the Agents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Agents expressly for use in the Registration Statement, any such Free Writing Prospectus or the Prospectus (or any amendment or supplement thereto), it being understood and agreed that the only such information furnished by the Agents to the Company consists of the information described in </w:t>
      </w:r>
      <w:r>
        <w:rPr>
          <w:rFonts w:ascii="Times New Roman;Times;Serif" w:hAnsi="Times New Roman;Times;Serif"/>
          <w:b w:val="false"/>
          <w:i w:val="false"/>
          <w:caps w:val="false"/>
          <w:smallCaps w:val="false"/>
          <w:sz w:val="20"/>
          <w:u w:val="single"/>
        </w:rPr>
        <w:t>Section 6(b)</w:t>
      </w:r>
      <w:r>
        <w:rPr>
          <w:rFonts w:ascii="Times New Roman;Times;Serif" w:hAnsi="Times New Roman;Times;Serif"/>
          <w:b w:val="false"/>
          <w:i w:val="false"/>
          <w:caps w:val="false"/>
          <w:smallCaps w:val="false"/>
          <w:sz w:val="20"/>
        </w:rPr>
        <w:t> below. The indemnity agreement set forth in this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 shall be in addition to any liabilities that the Company may otherwise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Indemnification of the Company, its Directors and Officers</w:t>
      </w:r>
      <w:r>
        <w:rPr>
          <w:rFonts w:ascii="Times New Roman;Times;Serif" w:hAnsi="Times New Roman;Times;Serif"/>
          <w:b w:val="false"/>
          <w:i w:val="false"/>
          <w:caps w:val="false"/>
          <w:smallCaps w:val="false"/>
          <w:sz w:val="20"/>
        </w:rPr>
        <w:t xml:space="preserve">. Each Agent, severally but not jointly,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that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for each of (i) and (ii) above, only to the extent arising out of or based upon any untrue statement or alleged untrue statement or omission or alleged omission made in reliance upon and in conformity with written information furnished to the Company by the Agents expressly for use in the Registration Statement, any such Free Writing Prospectus or the Prospectus (or any amendment or supplement thereto), it being understood and agreed that the only such information furnished by the Agents to the Company consists of the information set forth in the first sentence of the ninth paragraph under the caption “Plan of Distribution” in the Prospectus, and to reimburse the Company and each such director, officer and controlling person for any and all expenses (including the fees and disbursements of one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w:t>
      </w:r>
      <w:r>
        <w:rPr>
          <w:rFonts w:ascii="Times New Roman;Times;Serif" w:hAnsi="Times New Roman;Times;Serif"/>
          <w:b w:val="false"/>
          <w:i w:val="false"/>
          <w:caps w:val="false"/>
          <w:smallCaps w:val="false"/>
          <w:sz w:val="20"/>
          <w:u w:val="single"/>
        </w:rPr>
        <w:t>Section 6(b)</w:t>
      </w:r>
      <w:r>
        <w:rPr>
          <w:rFonts w:ascii="Times New Roman;Times;Serif" w:hAnsi="Times New Roman;Times;Serif"/>
          <w:b w:val="false"/>
          <w:i w:val="false"/>
          <w:caps w:val="false"/>
          <w:smallCaps w:val="false"/>
          <w:sz w:val="20"/>
        </w:rPr>
        <w:t> shall be in addition to any liabilities that the Agents or the Company may otherwise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Notifications and Other Indemnification Procedures</w:t>
      </w:r>
      <w:r>
        <w:rPr>
          <w:rFonts w:ascii="Times New Roman;Times;Serif" w:hAnsi="Times New Roman;Times;Serif"/>
          <w:b w:val="false"/>
          <w:i w:val="false"/>
          <w:caps w:val="false"/>
          <w:smallCaps w:val="false"/>
          <w:sz w:val="20"/>
        </w:rPr>
        <w:t>. Promptly after receipt by an indemnified party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of notice of the commencement of any action, such indemnified party will, if a claim in respect thereof is to be made against an indemnifying party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notify the indemnifying party in writing of the commencement thereof, but the omission to so notify the indemnifying party will not relieve it from any liability which it may have to any indemnified party for contribution or otherwise than under the indemnity agreement contained in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based on the advice of counsel,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indemnified party (in the case of counsel for the indemnified parties referred to in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6(b)</w:t>
      </w:r>
      <w:r>
        <w:rPr>
          <w:rFonts w:ascii="Times New Roman;Times;Serif" w:hAnsi="Times New Roman;Times;Serif"/>
          <w:b w:val="false"/>
          <w:i w:val="false"/>
          <w:caps w:val="false"/>
          <w:smallCaps w:val="false"/>
          <w:sz w:val="20"/>
        </w:rPr>
        <w:t> above),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Settlements</w:t>
      </w:r>
      <w:r>
        <w:rPr>
          <w:rFonts w:ascii="Times New Roman;Times;Serif" w:hAnsi="Times New Roman;Times;Serif"/>
          <w:b w:val="false"/>
          <w:i w:val="false"/>
          <w:caps w:val="false"/>
          <w:smallCaps w:val="false"/>
          <w:sz w:val="20"/>
        </w:rPr>
        <w:t>. The indemnifying party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Times New Roman;Times;Serif" w:hAnsi="Times New Roman;Times;Serif"/>
          <w:b w:val="false"/>
          <w:i w:val="false"/>
          <w:caps w:val="false"/>
          <w:smallCaps w:val="false"/>
          <w:sz w:val="20"/>
          <w:u w:val="single"/>
        </w:rPr>
        <w:t>Section 6(c)</w:t>
      </w:r>
      <w:r>
        <w:rPr>
          <w:rFonts w:ascii="Times New Roman;Times;Serif" w:hAnsi="Times New Roman;Times;Serif"/>
          <w:b w:val="false"/>
          <w:i w:val="false"/>
          <w:caps w:val="false"/>
          <w:smallCaps w:val="false"/>
          <w:sz w:val="20"/>
        </w:rPr>
        <w:t> hereof,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If the indemnification provided for in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Agents,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Agents, on the other hand, in connection with the statements or omissions which resulted in such losses, claims, damages, liabilities or expenses, as well as any other relevant equitable considerations. The relative benefits received by the Company, on the one hand, and the Agents, on the other hand, in connection with the offering of the Shares pursuant to this Agreement shall be deemed to be in the same respective proportions as the total gross proceeds from the offering of the Shares (before deducting expenses) received by the Company bear to the total Selling Commission received by the Agents.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Agents, on the other hand, and the parties’ relative intent, knowledge, access to information and opportunity to correct or prevent such statement or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paid or payable by a party as a result of the losses, claims, damages, liabilities and expenses referred to above shall be deemed to include, subject to the limitations set forth in ‎</w:t>
      </w:r>
      <w:r>
        <w:rPr>
          <w:rFonts w:ascii="Times New Roman;Times;Serif" w:hAnsi="Times New Roman;Times;Serif"/>
          <w:b w:val="false"/>
          <w:i w:val="false"/>
          <w:caps w:val="false"/>
          <w:smallCaps w:val="false"/>
          <w:sz w:val="20"/>
          <w:u w:val="single"/>
        </w:rPr>
        <w:t>Section 6(c)</w:t>
      </w:r>
      <w:r>
        <w:rPr>
          <w:rFonts w:ascii="Times New Roman;Times;Serif" w:hAnsi="Times New Roman;Times;Serif"/>
          <w:b w:val="false"/>
          <w:i w:val="false"/>
          <w:caps w:val="false"/>
          <w:smallCaps w:val="false"/>
          <w:sz w:val="20"/>
        </w:rPr>
        <w:t>, any reasonable and documented legal or other fees or expenses reasonably incurred by such party in connection with investigating or defending any action or claim. The provisions set forth in ‎</w:t>
      </w:r>
      <w:r>
        <w:rPr>
          <w:rFonts w:ascii="Times New Roman;Times;Serif" w:hAnsi="Times New Roman;Times;Serif"/>
          <w:b w:val="false"/>
          <w:i w:val="false"/>
          <w:caps w:val="false"/>
          <w:smallCaps w:val="false"/>
          <w:sz w:val="20"/>
          <w:u w:val="single"/>
        </w:rPr>
        <w:t>Section 6(c)</w:t>
      </w:r>
      <w:r>
        <w:rPr>
          <w:rFonts w:ascii="Times New Roman;Times;Serif" w:hAnsi="Times New Roman;Times;Serif"/>
          <w:b w:val="false"/>
          <w:i w:val="false"/>
          <w:caps w:val="false"/>
          <w:smallCaps w:val="false"/>
          <w:sz w:val="20"/>
        </w:rPr>
        <w:t xml:space="preserve"> with respect to notice of commencement of any action shall apply if a claim for contribution is to be made under this </w:t>
      </w:r>
      <w:r>
        <w:rPr>
          <w:rFonts w:ascii="Times New Roman;Times;Serif" w:hAnsi="Times New Roman;Times;Serif"/>
          <w:b w:val="false"/>
          <w:i w:val="false"/>
          <w:caps w:val="false"/>
          <w:smallCaps w:val="false"/>
          <w:sz w:val="20"/>
          <w:u w:val="single"/>
        </w:rPr>
        <w:t>‎Section 6(e)</w:t>
      </w:r>
      <w:r>
        <w:rPr>
          <w:rFonts w:ascii="Times New Roman;Times;Serif" w:hAnsi="Times New Roman;Times;Serif"/>
          <w:b w:val="false"/>
          <w:i w:val="false"/>
          <w:caps w:val="false"/>
          <w:smallCaps w:val="false"/>
          <w:sz w:val="20"/>
        </w:rPr>
        <w:t>; provided, however, that no additional notice shall be required with respect to any action for which notice has been given under ‎</w:t>
      </w:r>
      <w:r>
        <w:rPr>
          <w:rFonts w:ascii="Times New Roman;Times;Serif" w:hAnsi="Times New Roman;Times;Serif"/>
          <w:b w:val="false"/>
          <w:i w:val="false"/>
          <w:caps w:val="false"/>
          <w:smallCaps w:val="false"/>
          <w:sz w:val="20"/>
          <w:u w:val="single"/>
        </w:rPr>
        <w:t>Section 6(c)</w:t>
      </w:r>
      <w:r>
        <w:rPr>
          <w:rFonts w:ascii="Times New Roman;Times;Serif" w:hAnsi="Times New Roman;Times;Serif"/>
          <w:b w:val="false"/>
          <w:i w:val="false"/>
          <w:caps w:val="false"/>
          <w:smallCaps w:val="false"/>
          <w:sz w:val="20"/>
        </w:rPr>
        <w:t> for purposes of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and the Agents agree that it would not be just and equitable if contribution pursuant to this </w:t>
      </w:r>
      <w:r>
        <w:rPr>
          <w:rFonts w:ascii="Times New Roman;Times;Serif" w:hAnsi="Times New Roman;Times;Serif"/>
          <w:b w:val="false"/>
          <w:i w:val="false"/>
          <w:caps w:val="false"/>
          <w:smallCaps w:val="false"/>
          <w:sz w:val="20"/>
          <w:u w:val="single"/>
        </w:rPr>
        <w:t>‎Section 6(e)</w:t>
      </w:r>
      <w:r>
        <w:rPr>
          <w:rFonts w:ascii="Times New Roman;Times;Serif" w:hAnsi="Times New Roman;Times;Serif"/>
          <w:b w:val="false"/>
          <w:i w:val="false"/>
          <w:caps w:val="false"/>
          <w:smallCaps w:val="false"/>
          <w:sz w:val="20"/>
        </w:rPr>
        <w:t> were determined by pro rata allocation or by any other method of allocation which does not take account of the equitable considerations referred to in this ‎</w:t>
      </w:r>
      <w:r>
        <w:rPr>
          <w:rFonts w:ascii="Times New Roman;Times;Serif" w:hAnsi="Times New Roman;Times;Serif"/>
          <w:b w:val="false"/>
          <w:i w:val="false"/>
          <w:caps w:val="false"/>
          <w:smallCaps w:val="false"/>
          <w:sz w:val="20"/>
          <w:u w:val="single"/>
        </w:rPr>
        <w:t>‎Section 6(e)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this ‎</w:t>
      </w:r>
      <w:r>
        <w:rPr>
          <w:rFonts w:ascii="Times New Roman;Times;Serif" w:hAnsi="Times New Roman;Times;Serif"/>
          <w:b w:val="false"/>
          <w:i w:val="false"/>
          <w:caps w:val="false"/>
          <w:smallCaps w:val="false"/>
          <w:sz w:val="20"/>
          <w:u w:val="single"/>
        </w:rPr>
        <w:t>‎Section 6(e)</w:t>
      </w:r>
      <w:r>
        <w:rPr>
          <w:rFonts w:ascii="Times New Roman;Times;Serif" w:hAnsi="Times New Roman;Times;Serif"/>
          <w:b w:val="false"/>
          <w:i w:val="false"/>
          <w:caps w:val="false"/>
          <w:smallCaps w:val="false"/>
          <w:sz w:val="20"/>
        </w:rPr>
        <w:t>, the Agents shall not be required to contribute any amount in excess of the Selling Commission received by the Agents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Times New Roman;Times;Serif" w:hAnsi="Times New Roman;Times;Serif"/>
          <w:b w:val="false"/>
          <w:i w:val="false"/>
          <w:caps w:val="false"/>
          <w:smallCaps w:val="false"/>
          <w:sz w:val="20"/>
          <w:u w:val="single"/>
        </w:rPr>
        <w:t>‎Section 6(e)</w:t>
      </w:r>
      <w:r>
        <w:rPr>
          <w:rFonts w:ascii="Times New Roman;Times;Serif" w:hAnsi="Times New Roman;Times;Serif"/>
          <w:b w:val="false"/>
          <w:i w:val="false"/>
          <w:caps w:val="false"/>
          <w:smallCaps w:val="false"/>
          <w:sz w:val="20"/>
        </w:rPr>
        <w:t xml:space="preserve">, each officer and employee of the Agents and each person, if any, who controls the Agents within the meaning of the Securities Act or the Exchange Act shall have the same rights to contribution as the Agents, and each director of the Company, each officer of the Company who signed the Registration Statement, and each person, if any, who controls the Company within the meaning of the Securities Act and the Exchange Act shall have the same rights to contribution as the Company. The Agents’ respective obligations to contribute pursuant to this </w:t>
      </w:r>
      <w:r>
        <w:rPr>
          <w:rFonts w:ascii="Times New Roman;Times;Serif" w:hAnsi="Times New Roman;Times;Serif"/>
          <w:b w:val="false"/>
          <w:i w:val="false"/>
          <w:caps w:val="false"/>
          <w:smallCaps w:val="false"/>
          <w:sz w:val="20"/>
          <w:u w:val="single"/>
        </w:rPr>
        <w:t>Section 6(e)</w:t>
      </w:r>
      <w:r>
        <w:rPr>
          <w:rFonts w:ascii="Times New Roman;Times;Serif" w:hAnsi="Times New Roman;Times;Serif"/>
          <w:b w:val="false"/>
          <w:i w:val="false"/>
          <w:caps w:val="false"/>
          <w:smallCaps w:val="false"/>
          <w:sz w:val="20"/>
        </w:rPr>
        <w:t> are several in proportion to the respective number of Shares they have sold hereunder, and not joint.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         TERMINATION &amp; SURVIVAL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Subject to the provisions of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the term of this Agreement shall continue from the date of this Agreement until the end of the Agency Period, unless earlier terminated by the parties to this Agreement pursuant to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Termination; Survival Following 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Either party may terminate this Agreement prior to the end of the Agency Period, by giving written notice as required by this Agreement, upon ten (10) Trading Days’ notice to the other party; provided that, (A) if the Company terminates this Agreement after the Agents confirm to the Company any sale of Shares, the Company shall remain obligated to comply with ‎</w:t>
      </w:r>
      <w:r>
        <w:rPr>
          <w:rFonts w:ascii="Times New Roman;Times;Serif" w:hAnsi="Times New Roman;Times;Serif"/>
          <w:b w:val="false"/>
          <w:i w:val="false"/>
          <w:caps w:val="false"/>
          <w:smallCaps w:val="false"/>
          <w:sz w:val="20"/>
          <w:u w:val="single"/>
        </w:rPr>
        <w:t>Section 3(b)(v)</w:t>
      </w:r>
      <w:r>
        <w:rPr>
          <w:rFonts w:ascii="Times New Roman;Times;Serif" w:hAnsi="Times New Roman;Times;Serif"/>
          <w:b w:val="false"/>
          <w:i w:val="false"/>
          <w:caps w:val="false"/>
          <w:smallCaps w:val="false"/>
          <w:sz w:val="20"/>
        </w:rPr>
        <w:t> with respect to such Shares and (B)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Section 3(d)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shall survive termination of this Agreement. If termination shall occur prior to the Settlement Date for any sale of Shares, such sale shall nevertheless settle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 addition to the survival provision of </w:t>
      </w:r>
      <w:r>
        <w:rPr>
          <w:rFonts w:ascii="Times New Roman;Times;Serif" w:hAnsi="Times New Roman;Times;Serif"/>
          <w:b w:val="false"/>
          <w:i w:val="false"/>
          <w:caps w:val="false"/>
          <w:smallCaps w:val="false"/>
          <w:sz w:val="20"/>
          <w:u w:val="single"/>
        </w:rPr>
        <w:t>‎Section 7(b)(i)</w:t>
      </w:r>
      <w:r>
        <w:rPr>
          <w:rFonts w:ascii="Times New Roman;Times;Serif" w:hAnsi="Times New Roman;Times;Serif"/>
          <w:b w:val="false"/>
          <w:i w:val="false"/>
          <w:caps w:val="false"/>
          <w:smallCaps w:val="false"/>
          <w:sz w:val="20"/>
        </w:rPr>
        <w:t>, the respective indemnities, agreements, representations, warranties and other statements of the Company, of its officers and of the Agents set forth in or made pursuant to this Agreement will remain in full force and effect, regardless of any investigation made by or on behalf of the Agents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Press Releases and Disclosure</w:t>
      </w:r>
      <w:r>
        <w:rPr>
          <w:rFonts w:ascii="Times New Roman;Times;Serif" w:hAnsi="Times New Roman;Times;Serif"/>
          <w:b w:val="false"/>
          <w:i w:val="false"/>
          <w:caps w:val="false"/>
          <w:smallCaps w:val="false"/>
          <w:sz w:val="20"/>
        </w:rPr>
        <w:t xml:space="preserve">. The Company may issue a press release describing the material terms of the transactions contemplated hereby as soon as practicable following the date of this Agreement, and may file with the Commission a current report on Form 8-K, with this Agreement attached as an exhibit thereto, describing the material terms of the transactions contemplated hereby, and the Company shall consult with the Agents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and except for the disclosure required pursuant to </w:t>
      </w:r>
      <w:r>
        <w:rPr>
          <w:rFonts w:ascii="Times New Roman;Times;Serif" w:hAnsi="Times New Roman;Times;Serif"/>
          <w:b w:val="false"/>
          <w:i w:val="false"/>
          <w:caps w:val="false"/>
          <w:smallCaps w:val="false"/>
          <w:sz w:val="20"/>
          <w:u w:val="single"/>
        </w:rPr>
        <w:t>Section 4(a)</w:t>
      </w:r>
      <w:r>
        <w:rPr>
          <w:rFonts w:ascii="Times New Roman;Times;Serif" w:hAnsi="Times New Roman;Times;Serif"/>
          <w:b w:val="false"/>
          <w:i w:val="false"/>
          <w:caps w:val="false"/>
          <w:smallCaps w:val="false"/>
          <w:sz w:val="20"/>
        </w:rPr>
        <w:t> of this Agreement in the Company’s quarterly reports on Form 10-Q or annual reports on Form 10-K.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Advisory or Fiduciary Relationship</w:t>
      </w:r>
      <w:r>
        <w:rPr>
          <w:rFonts w:ascii="Times New Roman;Times;Serif" w:hAnsi="Times New Roman;Times;Serif"/>
          <w:b w:val="false"/>
          <w:i w:val="false"/>
          <w:caps w:val="false"/>
          <w:smallCaps w:val="false"/>
          <w:sz w:val="20"/>
        </w:rPr>
        <w:t>. The Company acknowledges and agrees that (i) the transactions contemplated by this Agreement, including the determination of any fees, are arm’s-length commercial transactions between the Company and the Agents, (ii) when acting as principals under this Agreement, the Agents are and have been acting solely as principals are not the agents or fiduciaries of the Company, or its stockholders, creditors, employees or any other party, (iii) the Agents have not assumed nor will assume an advisory or fiduciary responsibility in favor of the Company with respect to the transactions contemplated hereby or the process leading thereto (irrespective of whether the Agents have advised or are currently advising the Company on other matters) and the Agents do not have any obligation to the Company with respect to the transactions contemplated hereby except the obligations expressly set forth in this Agreement, (iv) the Agents and their Affiliates may be engaged in a broad range of transactions that involve interests that differ from those of the Company, and (v) the Agents have not provided any legal, accounting, regulatory or tax advice with respect to the transactions contemplated hereby and the Company has consulted its own legal, accounting, regulatory and tax advisors to the extent it deemed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Research Analyst Independence</w:t>
      </w:r>
      <w:r>
        <w:rPr>
          <w:rFonts w:ascii="Times New Roman;Times;Serif" w:hAnsi="Times New Roman;Times;Serif"/>
          <w:b w:val="false"/>
          <w:i w:val="false"/>
          <w:caps w:val="false"/>
          <w:smallCaps w:val="false"/>
          <w:sz w:val="20"/>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Agents are full service securities firms and as such from time to time, subject to applicable securities laws, may effect transactions for their own accounts or the accounts of their customers and hold long or short positions in debt or equity securities of the companies that may be the subject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communications hereunder shall be in writing and shall be mailed, hand delivered, sent via electronic mail (if applicable) or telecopied and confirmed to the parties hereto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Craig-Hallum Capital Group LLC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 N. Washington Ave., Suite 300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MN 55401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Compliance Officer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612-334-6305 </w:t>
      </w:r>
    </w:p>
    <w:tbl>
      <w:tblPr>
        <w:tblW w:w="5000" w:type="pct"/>
        <w:jc w:val="left"/>
        <w:tblInd w:w="0" w:type="dxa"/>
        <w:tblLayout w:type="fixed"/>
        <w:tblCellMar>
          <w:top w:w="0" w:type="dxa"/>
          <w:left w:w="0" w:type="dxa"/>
          <w:bottom w:w="0" w:type="dxa"/>
          <w:right w:w="0" w:type="dxa"/>
        </w:tblCellMar>
      </w:tblPr>
      <w:tblGrid>
        <w:gridCol w:w="101"/>
        <w:gridCol w:w="253"/>
        <w:gridCol w:w="9851"/>
      </w:tblGrid>
      <w:tr>
        <w:trPr/>
        <w:tc>
          <w:tcPr>
            <w:tcW w:w="10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5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Email: chris.jensen@craig-hallum.com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UBS Securities LLC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Madison Avenue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10010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Syndicate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OL-SEG@ubs.com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Cooley LLP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Hudson Yards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10001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Daniel I. Goldberg, Esq.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dgoldberg@cooley.com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Navitas Semiconductor Corporation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3520 Challenger Street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Torrance, California 90503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legalnotices@navitassemi.com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Cozen O’Connor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World Trade Center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 Greenwich Street, 56th Floor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10007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Katheryn A. Gettman, Esq. and Kevin J. Roggow, Esq.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kgettman@cozen.com and kroggow@cozen.com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party hereto may change the address for receipt of communications by giving written notice to the others in accordance with this </w:t>
      </w:r>
      <w:r>
        <w:rPr>
          <w:rFonts w:ascii="Times New Roman;Times;Serif" w:hAnsi="Times New Roman;Times;Serif"/>
          <w:b w:val="false"/>
          <w:i w:val="false"/>
          <w:caps w:val="false"/>
          <w:smallCaps w:val="false"/>
          <w:sz w:val="20"/>
          <w:u w:val="single"/>
        </w:rPr>
        <w:t>Section 8(d)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 xml:space="preserve">. This Agreement will inure to the benefit of and be binding upon the parties hereto, and to the benefit of the employees, officers and directors and controlling persons referred to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and in each case their respective successors, and no other Person will have any right or obligation hereunder. The term “successors” shall not include any purchaser of the Shares as such from the Agents merely by reason of such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Partial Unenforceability</w:t>
      </w:r>
      <w:r>
        <w:rPr>
          <w:rFonts w:ascii="Times New Roman;Times;Serif" w:hAnsi="Times New Roman;Times;Serif"/>
          <w:b w:val="false"/>
          <w:i w:val="false"/>
          <w:caps w:val="false"/>
          <w:smallCaps w:val="false"/>
          <w:sz w:val="20"/>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Governing Law Provisions</w:t>
      </w:r>
      <w:r>
        <w:rPr>
          <w:rFonts w:ascii="Times New Roman;Times;Serif" w:hAnsi="Times New Roman;Times;Serif"/>
          <w:b w:val="false"/>
          <w:i w:val="false"/>
          <w:caps w:val="false"/>
          <w:smallCaps w:val="false"/>
          <w:sz w:val="20"/>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Times;Serif" w:hAnsi="Times New Roman;Times;Serif"/>
          <w:b/>
          <w:i w:val="false"/>
          <w:caps w:val="false"/>
          <w:smallCaps w:val="false"/>
          <w:sz w:val="20"/>
        </w:rPr>
        <w:t>Specified Courts</w:t>
      </w:r>
      <w:r>
        <w:rPr>
          <w:rFonts w:ascii="Times New Roman;Times;Serif" w:hAnsi="Times New Roman;Times;Serif"/>
          <w:b w:val="false"/>
          <w:i w:val="false"/>
          <w:caps w:val="false"/>
          <w:smallCaps w:val="false"/>
          <w:sz w:val="20"/>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General Provisions</w:t>
      </w:r>
      <w:r>
        <w:rPr>
          <w:rFonts w:ascii="Times New Roman;Times;Serif" w:hAnsi="Times New Roman;Times;Serif"/>
          <w:b w:val="false"/>
          <w:i w:val="false"/>
          <w:caps w:val="false"/>
          <w:smallCaps w:val="false"/>
          <w:sz w:val="20"/>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(including any electronic signature covered by the U.S. federal ESIGN Act of 2000, Uniform Electronic Transactions Act, the Electronic Signatures and Records Act or other applicable law, e.g., www.docusign.com).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Immediately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pStyle w:val="TextBody"/>
        <w:bidi w:val="0"/>
        <w:spacing w:before="0" w:after="0"/>
        <w:ind w:left="0" w:right="0" w:hanging="0"/>
        <w:jc w:val="left"/>
        <w:rPr>
          <w:caps w:val="false"/>
          <w:smallCaps w:val="false"/>
        </w:rPr>
      </w:pPr>
      <w:r>
        <w:rPr>
          <w:caps w:val="false"/>
          <w:smallCaps w:val="false"/>
        </w:rPr>
        <w:t> </w:t>
      </w:r>
    </w:p>
    <w:tbl>
      <w:tblPr>
        <w:tblW w:w="4249" w:type="dxa"/>
        <w:jc w:val="left"/>
        <w:tblInd w:w="0" w:type="dxa"/>
        <w:tblLayout w:type="fixed"/>
        <w:tblCellMar>
          <w:top w:w="0" w:type="dxa"/>
          <w:left w:w="0" w:type="dxa"/>
          <w:bottom w:w="0" w:type="dxa"/>
          <w:right w:w="0" w:type="dxa"/>
        </w:tblCellMar>
      </w:tblPr>
      <w:tblGrid>
        <w:gridCol w:w="75"/>
        <w:gridCol w:w="333"/>
        <w:gridCol w:w="615"/>
        <w:gridCol w:w="3226"/>
      </w:tblGrid>
      <w:tr>
        <w:trPr/>
        <w:tc>
          <w:tcPr>
            <w:tcW w:w="75" w:type="dxa"/>
            <w:tcBorders/>
            <w:vAlign w:val="center"/>
          </w:tcPr>
          <w:p>
            <w:pPr>
              <w:pStyle w:val="TableContents"/>
              <w:bidi w:val="0"/>
              <w:spacing w:before="0" w:after="283"/>
              <w:jc w:val="left"/>
              <w:rPr/>
            </w:pPr>
            <w:r>
              <w:rPr/>
              <w:t> </w:t>
            </w:r>
          </w:p>
        </w:tc>
        <w:tc>
          <w:tcPr>
            <w:tcW w:w="4174" w:type="dxa"/>
            <w:gridSpan w:val="3"/>
            <w:tcBorders/>
            <w:vAlign w:val="center"/>
          </w:tcPr>
          <w:p>
            <w:pPr>
              <w:pStyle w:val="TableContents"/>
              <w:bidi w:val="0"/>
              <w:spacing w:before="0" w:after="283"/>
              <w:jc w:val="left"/>
              <w:rPr>
                <w:sz w:val="20"/>
              </w:rPr>
            </w:pPr>
            <w:r>
              <w:rPr>
                <w:sz w:val="20"/>
              </w:rPr>
              <w:t>Very truly yours,</w:t>
            </w:r>
          </w:p>
        </w:tc>
      </w:tr>
      <w:tr>
        <w:trPr/>
        <w:tc>
          <w:tcPr>
            <w:tcW w:w="75" w:type="dxa"/>
            <w:tcBorders/>
            <w:vAlign w:val="center"/>
          </w:tcPr>
          <w:p>
            <w:pPr>
              <w:pStyle w:val="TableContents"/>
              <w:bidi w:val="0"/>
              <w:spacing w:before="0" w:after="283"/>
              <w:jc w:val="left"/>
              <w:rPr/>
            </w:pPr>
            <w:r>
              <w:rPr/>
              <w:t> </w:t>
            </w:r>
          </w:p>
        </w:tc>
        <w:tc>
          <w:tcPr>
            <w:tcW w:w="417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74" w:type="dxa"/>
            <w:gridSpan w:val="3"/>
            <w:tcBorders/>
            <w:vAlign w:val="center"/>
          </w:tcPr>
          <w:p>
            <w:pPr>
              <w:pStyle w:val="TableContents"/>
              <w:bidi w:val="0"/>
              <w:spacing w:before="0" w:after="283"/>
              <w:jc w:val="left"/>
              <w:rPr>
                <w:b/>
                <w:sz w:val="20"/>
              </w:rPr>
            </w:pPr>
            <w:r>
              <w:rPr>
                <w:b/>
                <w:sz w:val="20"/>
              </w:rPr>
              <w:t>NAVITAS SEMICONDUCTOR CORPORATION</w:t>
            </w:r>
          </w:p>
        </w:tc>
      </w:tr>
      <w:tr>
        <w:trPr/>
        <w:tc>
          <w:tcPr>
            <w:tcW w:w="75" w:type="dxa"/>
            <w:tcBorders/>
            <w:vAlign w:val="center"/>
          </w:tcPr>
          <w:p>
            <w:pPr>
              <w:pStyle w:val="TableContents"/>
              <w:bidi w:val="0"/>
              <w:spacing w:before="0" w:after="283"/>
              <w:jc w:val="left"/>
              <w:rPr/>
            </w:pPr>
            <w:r>
              <w:rPr/>
              <w:t> </w:t>
            </w:r>
          </w:p>
        </w:tc>
        <w:tc>
          <w:tcPr>
            <w:tcW w:w="417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sz w:val="20"/>
              </w:rPr>
            </w:pPr>
            <w:r>
              <w:rPr>
                <w:sz w:val="20"/>
              </w:rPr>
              <w:t>By:</w:t>
            </w:r>
          </w:p>
        </w:tc>
        <w:tc>
          <w:tcPr>
            <w:tcW w:w="3841"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Chris Allexandre</w:t>
            </w:r>
          </w:p>
        </w:tc>
      </w:tr>
      <w:tr>
        <w:trPr/>
        <w:tc>
          <w:tcPr>
            <w:tcW w:w="75"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left"/>
              <w:rPr>
                <w:sz w:val="20"/>
              </w:rPr>
            </w:pPr>
            <w:r>
              <w:rPr>
                <w:sz w:val="20"/>
              </w:rPr>
              <w:t xml:space="preserve">Name: </w:t>
            </w:r>
          </w:p>
        </w:tc>
        <w:tc>
          <w:tcPr>
            <w:tcW w:w="3226" w:type="dxa"/>
            <w:tcBorders/>
            <w:vAlign w:val="center"/>
          </w:tcPr>
          <w:p>
            <w:pPr>
              <w:pStyle w:val="TableContents"/>
              <w:bidi w:val="0"/>
              <w:spacing w:before="0" w:after="283"/>
              <w:jc w:val="left"/>
              <w:rPr>
                <w:sz w:val="20"/>
              </w:rPr>
            </w:pPr>
            <w:r>
              <w:rPr>
                <w:sz w:val="20"/>
              </w:rPr>
              <w:t>Chris Allexandre </w:t>
            </w:r>
          </w:p>
        </w:tc>
      </w:tr>
      <w:tr>
        <w:trPr/>
        <w:tc>
          <w:tcPr>
            <w:tcW w:w="75"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left"/>
              <w:rPr>
                <w:sz w:val="20"/>
              </w:rPr>
            </w:pPr>
            <w:r>
              <w:rPr>
                <w:sz w:val="20"/>
              </w:rPr>
              <w:t xml:space="preserve">Title: </w:t>
            </w:r>
          </w:p>
        </w:tc>
        <w:tc>
          <w:tcPr>
            <w:tcW w:w="3226"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Agreement is hereby confirmed and accepted by the Agents in New York, New York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414"/>
        <w:gridCol w:w="618"/>
        <w:gridCol w:w="2661"/>
        <w:gridCol w:w="75"/>
      </w:tblGrid>
      <w:tr>
        <w:trPr/>
        <w:tc>
          <w:tcPr>
            <w:tcW w:w="3693"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CRAIG-HALLUM CAPITAL GROUP LLC</w:t>
            </w:r>
          </w:p>
        </w:tc>
        <w:tc>
          <w:tcPr>
            <w:tcW w:w="75" w:type="dxa"/>
            <w:tcBorders/>
            <w:vAlign w:val="center"/>
          </w:tcPr>
          <w:p>
            <w:pPr>
              <w:pStyle w:val="TableContents"/>
              <w:bidi w:val="0"/>
              <w:spacing w:before="0" w:after="283"/>
              <w:jc w:val="left"/>
              <w:rPr/>
            </w:pPr>
            <w:r>
              <w:rPr/>
              <w:t> </w:t>
            </w:r>
          </w:p>
        </w:tc>
      </w:tr>
      <w:tr>
        <w:trPr/>
        <w:tc>
          <w:tcPr>
            <w:tcW w:w="3693"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327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Rick Hartfiel </w:t>
            </w:r>
          </w:p>
        </w:tc>
        <w:tc>
          <w:tcPr>
            <w:tcW w:w="75" w:type="dxa"/>
            <w:tcBorders/>
            <w:vAlign w:val="center"/>
          </w:tcPr>
          <w:p>
            <w:pPr>
              <w:pStyle w:val="TableContents"/>
              <w:bidi w:val="0"/>
              <w:spacing w:before="0" w:after="283"/>
              <w:jc w:val="left"/>
              <w:rPr/>
            </w:pPr>
            <w:r>
              <w:rPr/>
              <w:t> </w:t>
            </w:r>
          </w:p>
        </w:tc>
      </w:tr>
      <w:tr>
        <w:trPr/>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6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6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Hartfiel </w:t>
            </w:r>
          </w:p>
        </w:tc>
        <w:tc>
          <w:tcPr>
            <w:tcW w:w="75" w:type="dxa"/>
            <w:tcBorders/>
            <w:vAlign w:val="center"/>
          </w:tcPr>
          <w:p>
            <w:pPr>
              <w:pStyle w:val="TableContents"/>
              <w:bidi w:val="0"/>
              <w:spacing w:before="0" w:after="283"/>
              <w:jc w:val="left"/>
              <w:rPr/>
            </w:pPr>
            <w:r>
              <w:rPr/>
              <w:t> </w:t>
            </w:r>
          </w:p>
        </w:tc>
      </w:tr>
      <w:tr>
        <w:trPr/>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6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6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 of Investment Banking</w:t>
            </w:r>
          </w:p>
        </w:tc>
        <w:tc>
          <w:tcPr>
            <w:tcW w:w="75" w:type="dxa"/>
            <w:tcBorders/>
            <w:vAlign w:val="center"/>
          </w:tcPr>
          <w:p>
            <w:pPr>
              <w:pStyle w:val="TableContents"/>
              <w:bidi w:val="0"/>
              <w:spacing w:before="0" w:after="283"/>
              <w:jc w:val="left"/>
              <w:rPr/>
            </w:pPr>
            <w:r>
              <w:rPr/>
              <w:t> </w:t>
            </w:r>
          </w:p>
        </w:tc>
      </w:tr>
      <w:tr>
        <w:trPr/>
        <w:tc>
          <w:tcPr>
            <w:tcW w:w="3693"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693"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UBS SECURITIES LLC</w:t>
            </w:r>
          </w:p>
        </w:tc>
        <w:tc>
          <w:tcPr>
            <w:tcW w:w="75" w:type="dxa"/>
            <w:tcBorders/>
            <w:vAlign w:val="center"/>
          </w:tcPr>
          <w:p>
            <w:pPr>
              <w:pStyle w:val="TableContents"/>
              <w:bidi w:val="0"/>
              <w:spacing w:before="0" w:after="283"/>
              <w:jc w:val="left"/>
              <w:rPr/>
            </w:pPr>
            <w:r>
              <w:rPr/>
              <w:t> </w:t>
            </w:r>
          </w:p>
        </w:tc>
      </w:tr>
      <w:tr>
        <w:trPr/>
        <w:tc>
          <w:tcPr>
            <w:tcW w:w="3693"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7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Charles Heaney </w:t>
            </w:r>
          </w:p>
        </w:tc>
        <w:tc>
          <w:tcPr>
            <w:tcW w:w="75" w:type="dxa"/>
            <w:tcBorders/>
            <w:vAlign w:val="center"/>
          </w:tcPr>
          <w:p>
            <w:pPr>
              <w:pStyle w:val="TableContents"/>
              <w:bidi w:val="0"/>
              <w:spacing w:before="0" w:after="283"/>
              <w:jc w:val="left"/>
              <w:rPr/>
            </w:pPr>
            <w:r>
              <w:rPr/>
              <w:t> </w:t>
            </w:r>
          </w:p>
        </w:tc>
      </w:tr>
      <w:tr>
        <w:trPr/>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6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6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Charles Heaney </w:t>
            </w:r>
          </w:p>
        </w:tc>
        <w:tc>
          <w:tcPr>
            <w:tcW w:w="75" w:type="dxa"/>
            <w:tcBorders/>
            <w:vAlign w:val="center"/>
          </w:tcPr>
          <w:p>
            <w:pPr>
              <w:pStyle w:val="TableContents"/>
              <w:bidi w:val="0"/>
              <w:spacing w:before="0" w:after="283"/>
              <w:jc w:val="left"/>
              <w:rPr/>
            </w:pPr>
            <w:r>
              <w:rPr/>
              <w:t> </w:t>
            </w:r>
          </w:p>
        </w:tc>
      </w:tr>
      <w:tr>
        <w:trPr/>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6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6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r>
        <w:trPr/>
        <w:tc>
          <w:tcPr>
            <w:tcW w:w="3693"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693"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UBS SECURITIES LLC</w:t>
            </w:r>
          </w:p>
        </w:tc>
        <w:tc>
          <w:tcPr>
            <w:tcW w:w="75" w:type="dxa"/>
            <w:tcBorders/>
            <w:vAlign w:val="center"/>
          </w:tcPr>
          <w:p>
            <w:pPr>
              <w:pStyle w:val="TableContents"/>
              <w:bidi w:val="0"/>
              <w:spacing w:before="0" w:after="283"/>
              <w:jc w:val="left"/>
              <w:rPr/>
            </w:pPr>
            <w:r>
              <w:rPr/>
              <w:t> </w:t>
            </w:r>
          </w:p>
        </w:tc>
      </w:tr>
      <w:tr>
        <w:trPr/>
        <w:tc>
          <w:tcPr>
            <w:tcW w:w="3693"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7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Rainey </w:t>
            </w:r>
          </w:p>
        </w:tc>
        <w:tc>
          <w:tcPr>
            <w:tcW w:w="75" w:type="dxa"/>
            <w:tcBorders/>
            <w:vAlign w:val="center"/>
          </w:tcPr>
          <w:p>
            <w:pPr>
              <w:pStyle w:val="TableContents"/>
              <w:bidi w:val="0"/>
              <w:spacing w:before="0" w:after="283"/>
              <w:jc w:val="left"/>
              <w:rPr/>
            </w:pPr>
            <w:r>
              <w:rPr/>
              <w:t> </w:t>
            </w:r>
          </w:p>
        </w:tc>
      </w:tr>
      <w:tr>
        <w:trPr/>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6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6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Rainey </w:t>
            </w:r>
          </w:p>
        </w:tc>
        <w:tc>
          <w:tcPr>
            <w:tcW w:w="75" w:type="dxa"/>
            <w:tcBorders/>
            <w:vAlign w:val="center"/>
          </w:tcPr>
          <w:p>
            <w:pPr>
              <w:pStyle w:val="TableContents"/>
              <w:bidi w:val="0"/>
              <w:spacing w:before="0" w:after="283"/>
              <w:jc w:val="left"/>
              <w:rPr/>
            </w:pPr>
            <w:r>
              <w:rPr/>
              <w:t> </w:t>
            </w:r>
          </w:p>
        </w:tc>
      </w:tr>
      <w:tr>
        <w:trPr/>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6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6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Associate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4" w:name="tm2613239d3_ex5-1.htm"/>
      <w:bookmarkStart w:id="25" w:name="kstm2613239d3_ex51"/>
      <w:bookmarkEnd w:id="24"/>
      <w:bookmarkEnd w:id="25"/>
      <w:r>
        <w:rPr/>
        <w:t> </w:t>
      </w:r>
      <w:r>
        <w:br w:type="page"/>
      </w:r>
    </w:p>
    <w:p>
      <w:pPr>
        <w:pStyle w:val="TextBody"/>
        <w:bidi w:val="0"/>
        <w:jc w:val="right"/>
        <w:rPr>
          <w:b/>
        </w:rPr>
      </w:pPr>
      <w:r>
        <w:rPr>
          <w:b/>
        </w:rPr>
        <w:t>Exhibit 5.1</w:t>
      </w:r>
    </w:p>
    <w:p>
      <w:pPr>
        <w:pStyle w:val="TextBody"/>
        <w:bidi w:val="0"/>
        <w:spacing w:before="0" w:after="283"/>
        <w:jc w:val="left"/>
        <w:rPr/>
      </w:pPr>
      <w:r>
        <w:rPr/>
        <w:t> </w:t>
      </w:r>
    </w:p>
    <w:p>
      <w:pPr>
        <w:pStyle w:val="TextBody"/>
        <w:bidi w:val="0"/>
        <w:jc w:val="right"/>
        <w:rPr/>
      </w:pPr>
      <w:r>
        <w:rPr/>
        <w:drawing>
          <wp:inline distT="0" distB="0" distL="0" distR="0">
            <wp:extent cx="1381125" cy="533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81125" cy="5334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Navitas Semiconductor Corporation</w:t>
        <w:br/>
        <w:t>3520 Challenger Street</w:t>
        <w:br/>
        <w:t>Torrance, California 90503-1640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 </w:t>
      </w:r>
      <w:r>
        <w:rPr>
          <w:rFonts w:ascii="Times New Roman;Times;Serif" w:hAnsi="Times New Roman;Times;Serif"/>
          <w:b w:val="false"/>
          <w:i w:val="false"/>
          <w:caps w:val="false"/>
          <w:smallCaps w:val="false"/>
          <w:sz w:val="20"/>
          <w:u w:val="single"/>
        </w:rPr>
        <w:t>Registration Statement on Form S-3ASR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for to Navitas Semiconductor Corporation, a Delaware corporation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in connection with (a) the Company’s filing on the date hereof with the Securities and Exchange Commission (the “</w:t>
      </w:r>
      <w:r>
        <w:rPr>
          <w:rFonts w:ascii="Times New Roman;Times;Serif" w:hAnsi="Times New Roman;Times;Serif"/>
          <w:b w:val="false"/>
          <w:i/>
          <w:caps w:val="false"/>
          <w:smallCaps w:val="false"/>
          <w:sz w:val="20"/>
        </w:rPr>
        <w:t>Commission</w:t>
      </w:r>
      <w:r>
        <w:rPr>
          <w:rFonts w:ascii="Times New Roman;Times;Serif" w:hAnsi="Times New Roman;Times;Serif"/>
          <w:b w:val="false"/>
          <w:i w:val="false"/>
          <w:caps w:val="false"/>
          <w:smallCaps w:val="false"/>
          <w:sz w:val="20"/>
        </w:rPr>
        <w:t>”) pursuant to Rule 424(b) under the Securities Act of 1933, as amended (the “</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 of a prospectus supplement, dated May 11, 2026 (the “</w:t>
      </w:r>
      <w:r>
        <w:rPr>
          <w:rFonts w:ascii="Times New Roman;Times;Serif" w:hAnsi="Times New Roman;Times;Serif"/>
          <w:b w:val="false"/>
          <w:i/>
          <w:caps w:val="false"/>
          <w:smallCaps w:val="false"/>
          <w:sz w:val="20"/>
        </w:rPr>
        <w:t>Prospectus Supplement</w:t>
      </w:r>
      <w:r>
        <w:rPr>
          <w:rFonts w:ascii="Times New Roman;Times;Serif" w:hAnsi="Times New Roman;Times;Serif"/>
          <w:b w:val="false"/>
          <w:i w:val="false"/>
          <w:caps w:val="false"/>
          <w:smallCaps w:val="false"/>
          <w:sz w:val="20"/>
        </w:rPr>
        <w:t>”), forming part of the registration statement on Form S-3ASR, Registration No. 333-295754, filed by the Company with the Commission on May 11, 2026 (the “</w:t>
      </w:r>
      <w:r>
        <w:rPr>
          <w:rFonts w:ascii="Times New Roman;Times;Serif" w:hAnsi="Times New Roman;Times;Serif"/>
          <w:b w:val="false"/>
          <w:i/>
          <w:caps w:val="false"/>
          <w:smallCaps w:val="false"/>
          <w:sz w:val="20"/>
        </w:rPr>
        <w:t>Registration Statement</w:t>
      </w:r>
      <w:r>
        <w:rPr>
          <w:rFonts w:ascii="Times New Roman;Times;Serif" w:hAnsi="Times New Roman;Times;Serif"/>
          <w:b w:val="false"/>
          <w:i w:val="false"/>
          <w:caps w:val="false"/>
          <w:smallCaps w:val="false"/>
          <w:sz w:val="20"/>
        </w:rPr>
        <w:t>”); and (b) an offering of up to $125,000,000 of shares (the “</w:t>
      </w:r>
      <w:r>
        <w:rPr>
          <w:rFonts w:ascii="Times New Roman;Times;Serif" w:hAnsi="Times New Roman;Times;Serif"/>
          <w:b w:val="false"/>
          <w:i/>
          <w:caps w:val="false"/>
          <w:smallCaps w:val="false"/>
          <w:sz w:val="20"/>
        </w:rPr>
        <w:t>Shares</w:t>
      </w:r>
      <w:r>
        <w:rPr>
          <w:rFonts w:ascii="Times New Roman;Times;Serif" w:hAnsi="Times New Roman;Times;Serif"/>
          <w:b w:val="false"/>
          <w:i w:val="false"/>
          <w:caps w:val="false"/>
          <w:smallCaps w:val="false"/>
          <w:sz w:val="20"/>
        </w:rPr>
        <w:t>”) of the Company’s Class A common stock, par value $0.0001 per share, that may be issued and sold under that certain Sales Agreement, dated May 11, 2026 (the “</w:t>
      </w:r>
      <w:r>
        <w:rPr>
          <w:rFonts w:ascii="Times New Roman;Times;Serif" w:hAnsi="Times New Roman;Times;Serif"/>
          <w:b w:val="false"/>
          <w:i/>
          <w:caps w:val="false"/>
          <w:smallCaps w:val="false"/>
          <w:sz w:val="20"/>
        </w:rPr>
        <w:t>Sales Agreement</w:t>
      </w:r>
      <w:r>
        <w:rPr>
          <w:rFonts w:ascii="Times New Roman;Times;Serif" w:hAnsi="Times New Roman;Times;Serif"/>
          <w:b w:val="false"/>
          <w:i w:val="false"/>
          <w:caps w:val="false"/>
          <w:smallCaps w:val="false"/>
          <w:sz w:val="20"/>
        </w:rPr>
        <w:t>”), by and among the Company, Craig Hallum Capital Group LLC and UBS Securities LLC. The Prospectus Supplement relates to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In rendering the opinion set forth below, we have examined and are familiar with originals or copies, certified or otherwise identified to our satisfaction, of: (a) the Second Amended and Restated Certificate of Incorporation of the Company, as in effect on the date hereof, together with all amendments thereto adopted through the date hereof (the “</w:t>
      </w:r>
      <w:r>
        <w:rPr>
          <w:rFonts w:ascii="Times New Roman;Times;Serif" w:hAnsi="Times New Roman;Times;Serif"/>
          <w:b w:val="false"/>
          <w:i/>
          <w:caps w:val="false"/>
          <w:smallCaps w:val="false"/>
          <w:sz w:val="20"/>
          <w:shd w:fill="FFFFFF" w:val="clear"/>
        </w:rPr>
        <w:t>Certificate of Incorporation</w:t>
      </w:r>
      <w:r>
        <w:rPr>
          <w:rFonts w:ascii="Times New Roman;Times;Serif" w:hAnsi="Times New Roman;Times;Serif"/>
          <w:b w:val="false"/>
          <w:i w:val="false"/>
          <w:caps w:val="false"/>
          <w:smallCaps w:val="false"/>
          <w:sz w:val="20"/>
          <w:shd w:fill="FFFFFF" w:val="clear"/>
        </w:rPr>
        <w:t>”); (b) the Amended and Restated Bylaws of the Company, as in effect on the date hereof (the “</w:t>
      </w:r>
      <w:r>
        <w:rPr>
          <w:rFonts w:ascii="Times New Roman;Times;Serif" w:hAnsi="Times New Roman;Times;Serif"/>
          <w:b w:val="false"/>
          <w:i/>
          <w:caps w:val="false"/>
          <w:smallCaps w:val="false"/>
          <w:sz w:val="20"/>
          <w:shd w:fill="FFFFFF" w:val="clear"/>
        </w:rPr>
        <w:t>Bylaws</w:t>
      </w:r>
      <w:r>
        <w:rPr>
          <w:rFonts w:ascii="Times New Roman;Times;Serif" w:hAnsi="Times New Roman;Times;Serif"/>
          <w:b w:val="false"/>
          <w:i w:val="false"/>
          <w:caps w:val="false"/>
          <w:smallCaps w:val="false"/>
          <w:sz w:val="20"/>
          <w:shd w:fill="FFFFFF" w:val="clear"/>
        </w:rPr>
        <w:t xml:space="preserve">”); (c) the </w:t>
      </w:r>
      <w:r>
        <w:rPr>
          <w:rFonts w:ascii="Times New Roman;Times;Serif" w:hAnsi="Times New Roman;Times;Serif"/>
          <w:b w:val="false"/>
          <w:i w:val="false"/>
          <w:caps w:val="false"/>
          <w:smallCaps w:val="false"/>
          <w:sz w:val="20"/>
        </w:rPr>
        <w:t xml:space="preserve">Registration Statement and all exhibits thereto, including the base prospectus contained therein; (d) the Prospectus Supplement; (e) the Sales Agreement; </w:t>
      </w:r>
      <w:r>
        <w:rPr>
          <w:rFonts w:ascii="Times New Roman;Times;Serif" w:hAnsi="Times New Roman;Times;Serif"/>
          <w:b w:val="false"/>
          <w:i w:val="false"/>
          <w:caps w:val="false"/>
          <w:smallCaps w:val="false"/>
          <w:sz w:val="20"/>
          <w:shd w:fill="FFFFFF" w:val="clear"/>
        </w:rPr>
        <w:t>and (f) such other documents as we have deemed necessary or appropriate as a basis for the opinion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our examination, we have assumed: (a) the legal capacity of all natural persons; (b) the genuineness of all signatures; (c) the authenticity of all documents submitted to us as originals; (d) the conformity to original documents of all documents submitted to us as certified or photostatic copies; and (e) the authenticity of the originals of such latter documents. As to any facts material to the opinion expressed herein that we did not independently establish or verify, we have relied upon oral or written statements and representations of officers and other representatives of the Company and others.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assumptions and limitations stated herein, we are of the opinion that upon payment and delivery in accordance with the Sales Agreement, the Shares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strictly limited to the General Corporation Law of the State of Delaware and the laws of the State of New York (including in each case the rules or regulations promulgated thereunder or pursuant thereto), that a New York lawyer exercising customary professional diligence would reasonably be expected to recognize as being applicable to the Company, the Sales Agreement or the transactions governed by the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for your benefit in connection with the Registration Statement and the Prospectus Supplement and may be relied upon by you and by persons entitled to rely upon it pursuant to the applicable provisions of the Securities Act. This opinion letter is limited to the matters stated herein, and no opinion may be implied or inferred beyond the matters expressly stated in this opinion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given as of the date hereof, and we assume no obligation to advise you after the date hereof of facts or circumstances that come to our attention or changes in the law, including judicial or administrative interpretations thereof, that occur which could affect the opinions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a Current Report on Form 8-K in accordance with the requirements of Item 601(b)(5) of Regulation S-K promulgated under the Securities Act, and to the reference to our firm’s name contained therein and in the Prospectus Supplement under the heading “Legal Matters.” In giving this consent, we do not thereby admit that we are within the category of persons whose consent is required under Section 7 of the Securities Act or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tbl>
      <w:tblPr>
        <w:tblW w:w="1805" w:type="dxa"/>
        <w:jc w:val="left"/>
        <w:tblInd w:w="0" w:type="dxa"/>
        <w:tblLayout w:type="fixed"/>
        <w:tblCellMar>
          <w:top w:w="0" w:type="dxa"/>
          <w:left w:w="0" w:type="dxa"/>
          <w:bottom w:w="0" w:type="dxa"/>
          <w:right w:w="0" w:type="dxa"/>
        </w:tblCellMar>
      </w:tblPr>
      <w:tblGrid>
        <w:gridCol w:w="1730"/>
        <w:gridCol w:w="75"/>
      </w:tblGrid>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c>
          <w:tcPr>
            <w:tcW w:w="7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COZEN O’CONNOR</w:t>
            </w:r>
          </w:p>
        </w:tc>
        <w:tc>
          <w:tcPr>
            <w:tcW w:w="7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7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Cozen O’Connor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21539</Words>
  <Characters>113290</Characters>
  <CharactersWithSpaces>136180</CharactersWithSpaces>
  <Paragraphs>751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