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6897d3_8k.htm"/>
      <w:bookmarkStart w:id="1" w:name="kstm2626897d3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2_edei--DocumentType_c20261006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0995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9955" cy="2654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D_edei--EntityFileNumber_c20261006"/>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1_edei--EntityAddressAddressLine1_"/>
            <w:bookmarkEnd w:id="8"/>
            <w:r>
              <w:rPr>
                <w:b/>
                <w:sz w:val="20"/>
              </w:rPr>
              <w:t xml:space="preserve">3520 Challenger Street, </w:t>
            </w:r>
            <w:bookmarkStart w:id="9" w:name="xdx_902_edei--EntityAddressCityOrTown_c2"/>
            <w:bookmarkEnd w:id="9"/>
            <w:r>
              <w:rPr>
                <w:b/>
                <w:sz w:val="20"/>
              </w:rPr>
              <w:t xml:space="preserve">Torrance, </w:t>
            </w:r>
            <w:bookmarkStart w:id="10" w:name="xdx_904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8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61006__20"/>
      <w:bookmarkEnd w:id="12"/>
      <w:r>
        <w:rPr>
          <w:rFonts w:ascii="Times New Roman;Times;Serif" w:hAnsi="Times New Roman;Times;Serif"/>
          <w:b/>
          <w:i w:val="false"/>
          <w:caps w:val="false"/>
          <w:smallCaps w:val="false"/>
          <w:sz w:val="20"/>
        </w:rPr>
        <w:t xml:space="preserve">844) </w:t>
      </w:r>
      <w:bookmarkStart w:id="13" w:name="xdx_900_edei--LocalPhoneNumber_c20261006"/>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10"/>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780" w:type="dxa"/>
        <w:jc w:val="left"/>
        <w:tblInd w:w="-10" w:type="dxa"/>
        <w:tblLayout w:type="fixed"/>
        <w:tblCellMar>
          <w:top w:w="28" w:type="dxa"/>
          <w:left w:w="28" w:type="dxa"/>
          <w:bottom w:w="28" w:type="dxa"/>
          <w:right w:w="0" w:type="dxa"/>
        </w:tblCellMar>
      </w:tblPr>
      <w:tblGrid>
        <w:gridCol w:w="4460"/>
        <w:gridCol w:w="1610"/>
        <w:gridCol w:w="3710"/>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3_edei--Security12bTitle_c20261006"/>
            <w:bookmarkEnd w:id="18"/>
            <w:r>
              <w:rPr>
                <w:b/>
                <w:sz w:val="20"/>
              </w:rPr>
              <w:t>Class A Common Stock, par value $0.0001 per share</w:t>
            </w:r>
          </w:p>
        </w:tc>
        <w:tc>
          <w:tcPr>
            <w:tcW w:w="161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D_edei--TradingSymbol_c20261006__2"/>
            <w:bookmarkEnd w:id="19"/>
            <w:r>
              <w:rPr>
                <w:b/>
                <w:sz w:val="20"/>
              </w:rPr>
              <w:t>NVTS</w:t>
            </w:r>
          </w:p>
        </w:tc>
        <w:tc>
          <w:tcPr>
            <w:tcW w:w="37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2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Navitas Semiconductor Corporation (the “Company”) issued a press release announcing the closing of the transactions contemplated by the Merger Agreement (as defined below). A copy of the press release is attached hereto as Exhibit 99.1 and is incorporated herein by reference. Also on October 6, 2026, the Company published a CEO letter providing an update to investors with respect to the Company’s Navitas 2.0 transformation. A copy of the CEO letter is furnished as Exhibit 99.2 and is incorporated into this Item 7.01 by reference. The CEO letter is posted on the Company’s Investor Relations website at https://ir.navitassemi.com, LinkedIn page and X page, along with “reposts” by Chris Allexandre, the Company’s President and Chief Executive Officer, on each of LinkedIn and X. The content of the foregoing websites is not incorporated by reference into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of this Current Report on Form 8-K shall not be deemed “filed” for purposes of Section 18 of the Exchange Act of 1934, as amended (the “Exchange Act”), or otherwise subject to the liabilities of that section, nor shall it be deemed incorporated by reference into any other filing of the Company under the Securities Act of 1933, as amended (the “Securities Act”)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“Closing Date”), the Company and Claros, Inc., a Delaware corporation (“Claros”), closed the transactions contemplated by the previously announced Agreement and Plan of Merger (the “Merger Agreement”), by and among the Company, Claros Compass Merger Sub 1 Inc., a Delaware corporation and a wholly-owned subsidiary of the Company (“Merger Sub 1”), Compass Merger Sub 2 LLC, a Delaware limited liability company and a wholly-owned subsidiary of the Company (“Merger Sub 2”), and Shareholder Representative Services LLC, a Colorado limited liability company, solely in its capacity as the representative, agent and attorney-in-fact of the securityholders of Claros.</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Item 9.01.</w:t>
            </w:r>
          </w:p>
        </w:tc>
        <w:tc>
          <w:tcPr>
            <w:tcW w:w="2960"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w:t>
              <w:br/>
              <w:t>No.</w:t>
            </w:r>
          </w:p>
        </w:tc>
        <w:tc>
          <w:tcPr>
            <w:tcW w:w="954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hyperlink w:anchor="tm2626897d3_ex99-1.htm">
              <w:r>
                <w:rPr>
                  <w:rStyle w:val="InternetLink"/>
                  <w:rFonts w:ascii="Times New Roman;Times;Serif" w:hAnsi="Times New Roman;Times;Serif"/>
                  <w:sz w:val="20"/>
                </w:rPr>
                <w:t>99.1</w:t>
              </w:r>
            </w:hyperlink>
          </w:p>
        </w:tc>
        <w:tc>
          <w:tcPr>
            <w:tcW w:w="9540" w:type="dxa"/>
            <w:tcBorders/>
            <w:vAlign w:val="center"/>
          </w:tcPr>
          <w:p>
            <w:pPr>
              <w:pStyle w:val="TableContents"/>
              <w:bidi w:val="0"/>
              <w:spacing w:before="0" w:after="283"/>
              <w:jc w:val="both"/>
              <w:rPr/>
            </w:pPr>
            <w:hyperlink w:anchor="tm2626897d3_ex99-1.htm">
              <w:r>
                <w:rPr>
                  <w:rStyle w:val="InternetLink"/>
                  <w:rFonts w:ascii="Times New Roman;Times;Serif" w:hAnsi="Times New Roman;Times;Serif"/>
                  <w:sz w:val="20"/>
                </w:rPr>
                <w:t>Press release, dated October 6, 2026.</w:t>
              </w:r>
            </w:hyperlink>
          </w:p>
        </w:tc>
      </w:tr>
      <w:tr>
        <w:trPr/>
        <w:tc>
          <w:tcPr>
            <w:tcW w:w="665" w:type="dxa"/>
            <w:tcBorders/>
            <w:vAlign w:val="center"/>
          </w:tcPr>
          <w:p>
            <w:pPr>
              <w:pStyle w:val="TableContents"/>
              <w:bidi w:val="0"/>
              <w:spacing w:before="0" w:after="283"/>
              <w:jc w:val="both"/>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hyperlink w:anchor="tm2626897d3_ex99-2.htm">
              <w:r>
                <w:rPr>
                  <w:rStyle w:val="InternetLink"/>
                </w:rPr>
                <w:t>99.2</w:t>
              </w:r>
            </w:hyperlink>
          </w:p>
        </w:tc>
        <w:tc>
          <w:tcPr>
            <w:tcW w:w="9540" w:type="dxa"/>
            <w:tcBorders/>
            <w:vAlign w:val="center"/>
          </w:tcPr>
          <w:p>
            <w:pPr>
              <w:pStyle w:val="TableContents"/>
              <w:bidi w:val="0"/>
              <w:spacing w:before="0" w:after="283"/>
              <w:jc w:val="both"/>
              <w:rPr/>
            </w:pPr>
            <w:hyperlink w:anchor="tm2626897d3_ex99-2.htm">
              <w:r>
                <w:rPr>
                  <w:rStyle w:val="InternetLink"/>
                </w:rPr>
                <w:t>CEO letter, dated October 6, 2026.</w:t>
              </w:r>
            </w:hyperlink>
          </w:p>
        </w:tc>
      </w:tr>
      <w:tr>
        <w:trPr/>
        <w:tc>
          <w:tcPr>
            <w:tcW w:w="665" w:type="dxa"/>
            <w:tcBorders/>
            <w:vAlign w:val="center"/>
          </w:tcPr>
          <w:p>
            <w:pPr>
              <w:pStyle w:val="TableContents"/>
              <w:bidi w:val="0"/>
              <w:spacing w:before="0" w:after="283"/>
              <w:jc w:val="both"/>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99.3*</w:t>
              </w:r>
            </w:hyperlink>
          </w:p>
        </w:tc>
        <w:tc>
          <w:tcPr>
            <w:tcW w:w="9540" w:type="dxa"/>
            <w:tcBorders/>
            <w:vAlign w:val="center"/>
          </w:tcPr>
          <w:p>
            <w:pPr>
              <w:pStyle w:val="TableContents"/>
              <w:bidi w:val="0"/>
              <w:spacing w:before="0" w:after="283"/>
              <w:jc w:val="both"/>
              <w:rPr/>
            </w:pPr>
            <w:hyperlink r:id="rId4">
              <w:r>
                <w:rPr>
                  <w:rStyle w:val="InternetLink"/>
                  <w:rFonts w:ascii="Times New Roman;Times;Serif" w:hAnsi="Times New Roman;Times;Serif"/>
                  <w:sz w:val="20"/>
                </w:rPr>
                <w:t>Agreement and Plan of Merger, dated August 24, 2026, by and among Navitas Semiconductor Corporation, Claros, Inc., Compass Merger Sub 1 Inc., Compass Merger Sub 2 LLC, and Shareholder Representative Services LLC (incorporated by reference to Exhibit 2.1 of our current report on Form 8-K, filed with the SEC on August 25, 2026).</w:t>
              </w:r>
            </w:hyperlink>
          </w:p>
        </w:tc>
      </w:tr>
      <w:tr>
        <w:trPr/>
        <w:tc>
          <w:tcPr>
            <w:tcW w:w="665" w:type="dxa"/>
            <w:tcBorders/>
            <w:vAlign w:val="center"/>
          </w:tcPr>
          <w:p>
            <w:pPr>
              <w:pStyle w:val="TableContents"/>
              <w:bidi w:val="0"/>
              <w:spacing w:before="0" w:after="283"/>
              <w:jc w:val="both"/>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665" w:type="dxa"/>
            <w:tcBorders/>
            <w:vAlign w:val="center"/>
          </w:tcPr>
          <w:p>
            <w:pPr>
              <w:pStyle w:val="TableContents"/>
              <w:bidi w:val="0"/>
              <w:spacing w:before="0" w:after="283"/>
              <w:jc w:val="both"/>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exhibits and schedules have been omitted pursuant to Item 601(a)(5) of Regulation S-K under the Securities Act. The Company agrees to furnish supplementally a copy of all omitted exhibits and schedules to the SEC upon request; provided, that the Company may request confidential treatment for any exhibits or schedules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99" w:type="dxa"/>
        <w:jc w:val="left"/>
        <w:tblInd w:w="0" w:type="dxa"/>
        <w:tblLayout w:type="fixed"/>
        <w:tblCellMar>
          <w:top w:w="0" w:type="dxa"/>
          <w:left w:w="0" w:type="dxa"/>
          <w:bottom w:w="0" w:type="dxa"/>
          <w:right w:w="0" w:type="dxa"/>
        </w:tblCellMar>
      </w:tblPr>
      <w:tblGrid>
        <w:gridCol w:w="1925"/>
        <w:gridCol w:w="391"/>
        <w:gridCol w:w="3783"/>
      </w:tblGrid>
      <w:tr>
        <w:trPr/>
        <w:tc>
          <w:tcPr>
            <w:tcW w:w="192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192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6, 2026</w:t>
            </w:r>
          </w:p>
        </w:tc>
        <w:tc>
          <w:tcPr>
            <w:tcW w:w="417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Allexandre</w:t>
            </w:r>
          </w:p>
        </w:tc>
      </w:tr>
      <w:tr>
        <w:trPr/>
        <w:tc>
          <w:tcPr>
            <w:tcW w:w="192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p>
        </w:tc>
      </w:tr>
      <w:tr>
        <w:trPr/>
        <w:tc>
          <w:tcPr>
            <w:tcW w:w="192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626897d3_ex99-1.htm"/>
      <w:bookmarkStart w:id="23" w:name="kstm2626897d3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7165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771650" cy="590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Closes Acquisition of Claros, Advancing AI Infrastructure with Grid-to-xPU Power Delivery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Completes Navitas’ high-power portfolio with Claros’ IVR technology, enabling vertical and embedded architectures and providing last step in power delivery to the core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to host webinar ‘Breaking the AI Infrastructure Power Wall: From Grid-to-xPU’, unveiling Claros’ technology and differentiation on October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TORRANCE, CA — Oct. 6, 2026 </w:t>
      </w:r>
      <w:r>
        <w:rPr>
          <w:rFonts w:ascii="Times New Roman;Times;Serif" w:hAnsi="Times New Roman;Times;Serif"/>
          <w:b w:val="false"/>
          <w:i w:val="false"/>
          <w:caps w:val="false"/>
          <w:smallCaps w:val="false"/>
          <w:sz w:val="20"/>
        </w:rPr>
        <w:t>— Navitas Semiconductor (Nasdaq: NVTS) (Navitas or “the Company”), a leader in next-generation power semiconductors and power delivery solutions, pioneering GaN, high-voltage and ultra-high-voltage SiC, and IVR technologies, today announced the closing of its previously announced acquisition of Claros, Inc. (Claros), a power management solutions company developing integrated voltage regulator (IVR) technology for next-generation AI data centers, providing the last step to powering the xPU.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completed transaction extends Navitas’ AI infrastructure portfolio from the grid to the xPU, bringing industry-leading IVR capabilities. Claros™ IVR integrates power transistors, digital control, inductors and capacitors into a single IVR technology stack to enable next-generation Vertical Power Delivery (VPD) and Embedded Power Delivery (EPD) architectures. Its Packaged Integrated Voltage Regulator (pIVR) and Embedded Integrated Voltage Regulator (eIVR) products, based off the same Claros IVR technology stack, move power conversion closer to the xPU and deliver higher efficiency, faster transient response and greater power density, while the modular PowerArray™ architecture scales power delivery to meet the rapidly increasing demands of next-generation processors at the center of modern AI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with Navitas’ GaN and high-voltage and ultra-high-voltage SiC technologies that enable the new 800V DC architecture, the Company is “breaking the AI infrastructure power wall” by addressing the efficiency, power density and performance bottlenecks emerging as AI data centers and xPUs demand dramatically more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this acquisition is a defining step in the Navitas 2.0 transformation and our strategy to power AI infrastructure from grid-to-xPU,” said Chris Allexandre, President and CEO of Navitas. “With power now the bottleneck for AI, increases in power delivery and efficiency are the key enablers of more compute output. The future of AI depends on delivering thousands of amps to increasingly power-hungry processors with unprecedented speed and precision, in addition to re-redefining the racks with higher power centralized systems and higher density architectures. This ‘power wall’ has restricted next-generation xPUs in megawatt-scale server racks from achieving the next wave of AI performance. Navitas 2.0 brings together GaN, high-voltage and ultra-high-voltage SiC, and now IVR technologies to break the power wall and address power conversion across the complete grid-to-xPU architecture.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Additionally, this combination doubles our serviceable addressable market (SAM), deepens our engagement with hyperscalers and AI power platform providers, and strengthens our capabilities and leadership in power delivery for AI infrastructure. As AI power demand accelerates, we are uniquely positioned to deliver greater value for our customers, while driving sustainable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expects the acquisition to more than double the Company’s identified 2030 SAM to over $8 billion, adding at least $3.5 billion from the rapidly growing VPD and IVR markets. Combined with Navitas’ existing $3.5 billion SAM for GaN and HV/UHV SiC and approximately $1 billion from new JFET technology, the transaction significantly expands Navitas’ opportunity across the complete grid-to-xPU power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71650" cy="590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77165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Webinar Presentation | Breaking the AI Infrastructure Power Wall: From Grid-to-xPU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Speakers: Chris Allexandre - Navitas President and CEO</w:t>
      </w:r>
    </w:p>
    <w:p>
      <w:pPr>
        <w:pStyle w:val="TextBody"/>
        <w:bidi w:val="0"/>
        <w:spacing w:before="0" w:after="0"/>
        <w:ind w:left="288" w:right="0" w:first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Llew Vaughan-Edmunds - Navitas Chief Marketing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Kultran - VP &amp; GM, IVR Business Unit, former CEO &amp; Claros Co-founder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w:t>
      </w:r>
      <w:r>
        <w:rPr>
          <w:rFonts w:ascii="Times New Roman;Times;Serif" w:hAnsi="Times New Roman;Times;Serif"/>
          <w:b/>
          <w:i w:val="false"/>
          <w:caps w:val="false"/>
          <w:smallCaps w:val="false"/>
          <w:sz w:val="20"/>
        </w:rPr>
        <w:t>Tuesday, October 20</w:t>
      </w:r>
    </w:p>
    <w:p>
      <w:pPr>
        <w:pStyle w:val="TextBody"/>
        <w:bidi w:val="0"/>
        <w:spacing w:before="0" w:after="0"/>
        <w:ind w:left="2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 </w:t>
      </w:r>
      <w:r>
        <w:rPr>
          <w:rFonts w:ascii="Times New Roman;Times;Serif" w:hAnsi="Times New Roman;Times;Serif"/>
          <w:b/>
          <w:i w:val="false"/>
          <w:caps w:val="false"/>
          <w:smallCaps w:val="false"/>
          <w:sz w:val="20"/>
        </w:rPr>
        <w:t>8:00 a.m. Pacific Time</w:t>
      </w:r>
      <w:r>
        <w:rPr>
          <w:rFonts w:ascii="Times New Roman;Times;Serif" w:hAnsi="Times New Roman;Times;Serif"/>
          <w:b w:val="false"/>
          <w:i w:val="false"/>
          <w:caps w:val="false"/>
          <w:smallCaps w:val="false"/>
          <w:sz w:val="20"/>
        </w:rPr>
        <w:t xml:space="preserve"> (11:00 a.m. Eastern Time)</w:t>
      </w:r>
    </w:p>
    <w:p>
      <w:pPr>
        <w:pStyle w:val="TextBody"/>
        <w:bidi w:val="0"/>
        <w:spacing w:before="0" w:after="0"/>
        <w:ind w:left="2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i w:val="false"/>
          <w:caps w:val="false"/>
          <w:smallCaps w:val="false"/>
          <w:sz w:val="20"/>
        </w:rPr>
        <w:t>Click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 archived version of the video webinar as well as supporting presentation materials will be accessible on the Investor Relations section of the Company’s website at ir.navitassemi.com.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Navitas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(Nasdaq: NVTS) is a leader in next-generation power semiconductors and power delivery solutions, pioneering GaN, high-voltage and ultra-high-voltage SiC, and IVR technologies for AI infrastructure, including data centers and energy and grid systems, as well as additional markets such as high-performance computing and industrial electrification. Collectively, these technologies address the complete grid-to-xPU power architecture, breaking the AI infrastructure power wall and enabling higher efficiency, greater power density, and increased performance across the entire power chain. Navitas’ GaNFast™ FETs deliver industry-leading power density, efficiency, and high-speed performance, while GaNFast™ power ICs integrate GaN power, drive, control, sensing, and protection to enable faster, more efficient power conversion, leading to smaller and more reliable systems. The GeneSiC™ portfolio combines proprietary trench-assisted planar (TAP) SiC technology with leading-edge discrete packaging and SiCPAK™ power modules to deliver industry-leading efficiency, ruggedness and performance. Claros™ IVR technologies extend power delivery directly to the xPU, enabling customers to implement vertical power delivery (VPD) and embedded power delivery (EPD) architectures with high-density power conversion beneath or within millimeters of the processor, minimizing power-delivery losses and impedance while enabling ultra-fast transient response, higher efficiency and maximum power density. Navitas has over 450 patents issued or pending and is a leader in 800 VDC and the advanced AI power infrastructure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Navitas®, GaNFast®, GeneSiC™, Claros™, SiCPAK®, GaNSafe®, DrGaN™, and the Navitas logo are trademarks or registered trademarks of Navitas Semiconductor Limited or affiliates. All other brands, product names and marks are or may be trademarks or registered trademarks used to identify products or services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contained in this release are included pursuant to the “safe harbor” provisions of the Private Securities Litigation Reform Act of 1995 and other federal securities laws. These forward-looking statements are intended to provide management’s current expectations or plans for the Company’s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anticipated benefits, synergies and prospects of the combined company following the completed acquisition of Claros, expected contributions to Navitas’ serviceable addressable market, technology roadmap, customer engagements, and financial model, are based on management’s current expectations and are subject to risks and uncertainties that could cause actual results to differ materially, including, among others: the risk that the anticipated benefits, synergies and cost savings of the transaction may not be realized within the expected timeframe or at all; the difficulties and costs of integrating the two businesses; significant transaction costs and/or unknown or inestimable liabilities; the effect of the transaction on the parties’ ability to retain and hire key personnel and to maintain relationships with customers, suppliers and other business partners; the diversion of management’s attention and resources from ongoing business operations; the impact of macroeconomic and market conditions, including economic downturns, international conflict, trade disputes and tariffs; and the other risks identified in the Company’s filings with the SEC. These forward-looking statements speak only as of the date of this release and the Company undertakes no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71650" cy="590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77165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Vipin Bothra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info@navitassemi.com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Investor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Leanne Sievers | Brett Perry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Shelton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sheltonir@sheltongroup.com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 Image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94890" cy="128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294890" cy="1289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4" w:name="tm2626897d3_ex99-2.htm"/>
      <w:bookmarkStart w:id="25" w:name="kstm2626897d3_ex992"/>
      <w:bookmarkEnd w:id="24"/>
      <w:bookmarkEnd w:id="25"/>
      <w:r>
        <w:rPr>
          <w:b/>
          <w:sz w:val="20"/>
        </w:rPr>
        <w:t>Exhibit 99.2</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6573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657350" cy="4953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Letter from Chris Allexandre, President and CEO</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24050" cy="2247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924050" cy="2247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Navitas 2.0: ‘Breaking the AI Infrastructure Power Wall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Shareholders, Customers and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marks an important milestone for Navitas as we complete the acquisition of Claros and take another significant step forward in our Navitas 2.0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is fundamentally reshaping the requirements for power infrastructure. As AI data centers move toward megawatt-scale racks and next-generation xPUs require thousands of amps delivered with unprecedented speed and precision, traditional power architectures are reaching their limits. We call this the AI Infrastructure Power Wall, and Navitas 2.0 is focused on breaking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2.0 is focused on high-power, high-growth markets, with AI infrastructure at the center of our strategy. By combining our leadership in GaN and high-voltage and ultra-high-voltage SiC with Claros’ Integrated Voltage Regulator (IVR) technology, we are building a differentiated power platform that addresses the complete Grid-to-xPU architecture, from the electrical grid and emerging 800 VDC infrastructure to the critical final stage of power delivery directly to the processor.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is an important addition as rapidly increasing xPU power creates a fundamental shift in how power must be delivered. Claros’ IVR technology stack integrates power, control and passives to enable next-generation Vertical Power Delivery (VPD) and Embedded Power Delivery (EPD) architectures. Packaged Integrated Voltage Regulator (pIVR) and Embedded Integrated Voltage Regulator (eIVR) products, move power conversion closer to the xPU, enabling higher efficiency, faster transient response and greater power density, while the modular PowerArray™ architecture is designed to scale with the increasing power and current requirements of next-generation AI processors.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customers, this expands our ability to address the AI power architecture with a complementary portfolio of GaN, HV/UHV SiC and IVR technologies. It also deepens our engagement with hyperscalers and AI power-platform providers as the industry transitions toward 800 VDC, higher-density power conversion and next-generation xPU power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65735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657350" cy="4953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shareholders, the acquisition significantly expands Navitas’ long-term opportunity. We expect Claros to add at least $3.5 billion to our identified 2030 serviceable available market (SAM), more than doubling our total identified SAM to over $8 billion when combined with our existing GaN and HV/UHV SiC opportunity and new JFET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is about more than completing a transaction. It is about building the technology portfolio, customer relationships and market position to power the next era of AI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2.0 brings together GaN, HV/UHV SiC and IVR technologies with a clear objective: ‘</w:t>
      </w:r>
      <w:r>
        <w:rPr>
          <w:rFonts w:ascii="Times New Roman;Times;Serif" w:hAnsi="Times New Roman;Times;Serif"/>
          <w:b/>
          <w:i/>
          <w:caps w:val="false"/>
          <w:smallCaps w:val="false"/>
          <w:sz w:val="20"/>
        </w:rPr>
        <w:t>Breaking the AI Infrastructure Power Wall’</w:t>
      </w:r>
      <w:r>
        <w:rPr>
          <w:rFonts w:ascii="Times New Roman;Times;Serif" w:hAnsi="Times New Roman;Times;Serif"/>
          <w:b w:val="false"/>
          <w:i w:val="false"/>
          <w:caps w:val="false"/>
          <w:smallCaps w:val="false"/>
          <w:sz w:val="20"/>
        </w:rPr>
        <w:t xml:space="preserve"> and enabling the next generation of AI computing from Grid-to-xPU.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to welcome the Claros team to Navitas and look forward to creating value for our customers and shareholders as we build the next chapter of Navitas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1769/000110465926100478/tm2623854d1_ex2-1.htm" TargetMode="External"/><Relationship Id="rId4" Type="http://schemas.openxmlformats.org/officeDocument/2006/relationships/hyperlink" Target="https://www.sec.gov/Archives/edgar/data/1821769/000110465926100478/tm2623854d1_ex2-1.htm" TargetMode="External"/><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2492</Words>
  <Characters>14934</Characters>
  <CharactersWithSpaces>17442</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