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897d1_s8.htm"/>
      <w:bookmarkStart w:id="1" w:name="kstm2626897d1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6,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049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Navitas Semiconductor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28" w:type="dxa"/>
          <w:right w:w="0" w:type="dxa"/>
        </w:tblCellMar>
      </w:tblPr>
      <w:tblGrid>
        <w:gridCol w:w="4880"/>
        <w:gridCol w:w="60"/>
        <w:gridCol w:w="3275"/>
      </w:tblGrid>
      <w:tr>
        <w:trPr/>
        <w:tc>
          <w:tcPr>
            <w:tcW w:w="4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85-2560226</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3520 Challenger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Torrance, California 90503-1640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Claros, Inc. 2024 Equity Incentive Plan</w:t>
      </w:r>
      <w:r>
        <w:rPr>
          <w:rFonts w:ascii="Times New Roman;Times;Serif" w:hAnsi="Times New Roman;Times;Serif"/>
          <w:b w:val="false"/>
          <w:i w:val="false"/>
          <w:caps w:val="false"/>
          <w:smallCaps w:val="false"/>
          <w:sz w:val="20"/>
        </w:rPr>
        <w:b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Matthew Sant, Esq.</w:t>
        <w:br/>
        <w:t>Senior Vice President, General Counsel and Secretary</w:t>
        <w:br/>
        <w:t>Navitas Semiconductor Corporation</w:t>
        <w:br/>
        <w:t>3520 Challenger Street</w:t>
        <w:br/>
        <w:t>Torrance, California 90503-1640</w:t>
        <w:br/>
      </w: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(844) 654-2642</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Copy to:</w:t>
      </w:r>
      <w:r>
        <w:rPr>
          <w:rFonts w:ascii="Times New Roman;Times;Serif" w:hAnsi="Times New Roman;Times;Serif"/>
          <w:b/>
          <w:i w:val="false"/>
          <w:caps w:val="false"/>
          <w:smallCaps w:val="false"/>
          <w:sz w:val="20"/>
        </w:rPr>
        <w:br/>
        <w:t>Katheryn A. Gettman,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Kevin J. Roggow,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Cozen O’Connor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World Trade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Greenwich Street, 56th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908-1294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sales to take place as soon after the effective date of the registration statement as awards granted under the above-named plans are granted, exercised and/or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Navitas Semiconductor Corporation (the “Registrant”) acquired Claros, Inc. (“Claros”), pursuant to that certain Agreement and Plan of Merger (the “Merger Agreement”), dated August 24, 2026, by and among the Registrant, Claros, Compass Merger Sub 1 Inc., Compass Merger Sub 2 LLC, and Shareholder Representative Services LLC, solely in its capacity as the representative, agent and attorney-in-fact of the securityholders of Claros (such transaction, the “Transaction”). In connection with the Transaction, outstanding unvested stock options under the Claros, Inc. 2024 Equity Incentive Plan (the “Plan”) to purchase shares of Claros common stock were assumed by the Registrant and converted into stock options to purchase shares of the Registrant’s Class A common stock (the “Common Stock”), par value $0.0001 per share (the “Assumed Options”). This Registration Statement on Form S-8 (this “Registration Statement”) is being filed by the Registrant to register 2,395,762 shares of Common Stock issuable pursuant to the exercise of the Assumed Options. The number of shares of Common Stock registered hereunder is calculated based on the Option Exchange Ratio (as defined in the Merger Agreement) multiplied by 1,829,886, which is the number of outstanding stock options of Claros that were eligible to be converted into stock options of the Registrant pursuant to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in Part I of Form S-8 to be contained in the Section 10(a) prospectus is not being filed with or included in this Registration Statement (by incorporation by reference or otherwise) in accordance with the rules and regulations of the Securities and Exchange Commission (the “SEC”). The documents containing the information specified in Part I of Form S-8 will be delivered to the participants in the equity benefit plans covered by this Registration Statement as specified by Rule 428(b)(1)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SEC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3">
              <w:r>
                <w:rPr>
                  <w:rStyle w:val="InternetLink"/>
                </w:rPr>
                <w:t>Annual Report on Form 10-K for the fiscal year ended December 31, 2025, filed with the SEC on February 27, 2026</w:t>
              </w:r>
            </w:hyperlink>
            <w:r>
              <w:rPr/>
              <w:t xml:space="preserve">, as amended by Amendment No. 1 to </w:t>
            </w:r>
            <w:hyperlink r:id="rId4">
              <w:r>
                <w:rPr>
                  <w:rStyle w:val="InternetLink"/>
                </w:rPr>
                <w:t>Annual Report on Form 10-K/A for the fiscal year ended December 31, 2025, filed with the SEC on April 30,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Quarterly Reports on Form 10-Q for the quarter ended March 31, 2026, filed with the SEC on </w:t>
            </w:r>
            <w:hyperlink r:id="rId5">
              <w:r>
                <w:rPr>
                  <w:rStyle w:val="InternetLink"/>
                </w:rPr>
                <w:t>May 5, 2026</w:t>
              </w:r>
            </w:hyperlink>
            <w:r>
              <w:rPr/>
              <w:t xml:space="preserve">, and for the quarter ended June 30, 2026, filed with the SEC on </w:t>
            </w:r>
            <w:hyperlink r:id="rId6">
              <w:r>
                <w:rPr>
                  <w:rStyle w:val="InternetLink"/>
                </w:rPr>
                <w:t>July 27,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Current Reports on Form 8-K filed with the SEC on </w:t>
            </w:r>
            <w:hyperlink r:id="rId7">
              <w:r>
                <w:rPr>
                  <w:rStyle w:val="InternetLink"/>
                </w:rPr>
                <w:t>February 24, 2026</w:t>
              </w:r>
            </w:hyperlink>
            <w:r>
              <w:rPr/>
              <w:t>; </w:t>
            </w:r>
            <w:hyperlink r:id="rId8">
              <w:r>
                <w:rPr>
                  <w:rStyle w:val="InternetLink"/>
                </w:rPr>
                <w:t>March 11, 2026</w:t>
              </w:r>
            </w:hyperlink>
            <w:r>
              <w:rPr/>
              <w:t xml:space="preserve"> (Item 5.02 only), </w:t>
            </w:r>
            <w:hyperlink r:id="rId9">
              <w:r>
                <w:rPr>
                  <w:rStyle w:val="InternetLink"/>
                </w:rPr>
                <w:t>March 17, 2026</w:t>
              </w:r>
            </w:hyperlink>
            <w:r>
              <w:rPr/>
              <w:t>, </w:t>
            </w:r>
            <w:hyperlink r:id="rId10">
              <w:r>
                <w:rPr>
                  <w:rStyle w:val="InternetLink"/>
                </w:rPr>
                <w:t>April 13, 2026</w:t>
              </w:r>
            </w:hyperlink>
            <w:r>
              <w:rPr/>
              <w:t>, </w:t>
            </w:r>
            <w:hyperlink r:id="rId11">
              <w:r>
                <w:rPr>
                  <w:rStyle w:val="InternetLink"/>
                </w:rPr>
                <w:t>May 4, 2026</w:t>
              </w:r>
            </w:hyperlink>
            <w:r>
              <w:rPr/>
              <w:t xml:space="preserve"> (Item 5.02 only), </w:t>
            </w:r>
            <w:hyperlink r:id="rId12">
              <w:r>
                <w:rPr>
                  <w:rStyle w:val="InternetLink"/>
                </w:rPr>
                <w:t>May 11, 2026</w:t>
              </w:r>
            </w:hyperlink>
            <w:r>
              <w:rPr/>
              <w:t>, </w:t>
            </w:r>
            <w:hyperlink r:id="rId13">
              <w:r>
                <w:rPr>
                  <w:rStyle w:val="InternetLink"/>
                </w:rPr>
                <w:t>May 13, 2026</w:t>
              </w:r>
            </w:hyperlink>
            <w:r>
              <w:rPr/>
              <w:t>, </w:t>
            </w:r>
            <w:hyperlink r:id="rId14">
              <w:r>
                <w:rPr>
                  <w:rStyle w:val="InternetLink"/>
                </w:rPr>
                <w:t>May 22, 2026</w:t>
              </w:r>
            </w:hyperlink>
            <w:r>
              <w:rPr/>
              <w:t>, </w:t>
            </w:r>
            <w:hyperlink r:id="rId15">
              <w:r>
                <w:rPr>
                  <w:rStyle w:val="InternetLink"/>
                </w:rPr>
                <w:t>May 22, 2026</w:t>
              </w:r>
            </w:hyperlink>
            <w:r>
              <w:rPr/>
              <w:t xml:space="preserve">, </w:t>
            </w:r>
            <w:hyperlink r:id="rId16">
              <w:r>
                <w:rPr>
                  <w:rStyle w:val="InternetLink"/>
                </w:rPr>
                <w:t>June 4, 2026</w:t>
              </w:r>
            </w:hyperlink>
            <w:r>
              <w:rPr/>
              <w:t xml:space="preserve">, </w:t>
            </w:r>
            <w:hyperlink r:id="rId17">
              <w:r>
                <w:rPr>
                  <w:rStyle w:val="InternetLink"/>
                </w:rPr>
                <w:t>June 9, 2026</w:t>
              </w:r>
            </w:hyperlink>
            <w:r>
              <w:rPr/>
              <w:t xml:space="preserve">, </w:t>
            </w:r>
            <w:hyperlink r:id="rId18">
              <w:r>
                <w:rPr>
                  <w:rStyle w:val="InternetLink"/>
                </w:rPr>
                <w:t>June 15, 2026</w:t>
              </w:r>
            </w:hyperlink>
            <w:r>
              <w:rPr/>
              <w:t xml:space="preserve">, </w:t>
            </w:r>
            <w:hyperlink r:id="rId19">
              <w:r>
                <w:rPr>
                  <w:rStyle w:val="InternetLink"/>
                </w:rPr>
                <w:t>June 26, 2026</w:t>
              </w:r>
            </w:hyperlink>
            <w:r>
              <w:rPr/>
              <w:t xml:space="preserve">, </w:t>
            </w:r>
            <w:hyperlink r:id="rId20">
              <w:r>
                <w:rPr>
                  <w:rStyle w:val="InternetLink"/>
                </w:rPr>
                <w:t>August 25, 2026</w:t>
              </w:r>
            </w:hyperlink>
            <w:r>
              <w:rPr/>
              <w:t xml:space="preserve">, </w:t>
            </w:r>
            <w:hyperlink r:id="rId21">
              <w:r>
                <w:rPr>
                  <w:rStyle w:val="InternetLink"/>
                </w:rPr>
                <w:t>September 21, 2026</w:t>
              </w:r>
            </w:hyperlink>
            <w:r>
              <w:rPr/>
              <w:t xml:space="preserve"> (as amended by Current Report on </w:t>
            </w:r>
            <w:hyperlink r:id="rId22">
              <w:r>
                <w:rPr>
                  <w:rStyle w:val="InternetLink"/>
                </w:rPr>
                <w:t>Form 8-K/A filed on September 21, 2026</w:t>
              </w:r>
            </w:hyperlink>
            <w:r>
              <w:rPr/>
              <w:t xml:space="preserve">) and </w:t>
            </w:r>
            <w:hyperlink r:id="rId23">
              <w:r>
                <w:rPr>
                  <w:rStyle w:val="InternetLink"/>
                </w:rPr>
                <w:t>October 6, 2026</w:t>
              </w:r>
            </w:hyperlink>
            <w:r>
              <w:rPr/>
              <w:t xml:space="preserve"> (Item 8.01 only);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Common Stock contained in the Registrant’s Registration Statement on </w:t>
            </w:r>
            <w:hyperlink r:id="rId24">
              <w:r>
                <w:rPr>
                  <w:rStyle w:val="InternetLink"/>
                </w:rPr>
                <w:t>Form 8-A, filed with the SEC on October 19, 2021</w:t>
              </w:r>
            </w:hyperlink>
            <w:r>
              <w:rPr/>
              <w:t>, including any amendments filed for the purpose of updating such description, including </w:t>
            </w:r>
            <w:hyperlink r:id="rId25">
              <w:r>
                <w:rPr>
                  <w:rStyle w:val="InternetLink"/>
                </w:rPr>
                <w:t>Exhibit 4.1</w:t>
              </w:r>
            </w:hyperlink>
            <w:r>
              <w:rPr/>
              <w:t> to Annual Report on Form 10-K for the fiscal year ended December 31, 2025, as filed with the SEC on February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Registrant with the SEC pursuant to Sections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or 8-K/A that it may from time to time furnish to the SEC or any other document or information deemed to have been furnished and not filed with the SEC will be incorporated by reference into, or otherwise included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directors and executive officers to provide contractual indemnification in addition to the indemnification provided in its certificate of incorporation and bylaws. Each indemnification agreement provides for indemnification and advancements by the registrant of certain expenses and costs relating to claims, suits or proceedings arising from his or her service to the registrant or, at the registrant’s request, service to other entities, as officers or directors to the maximum extent permitted by applicable law. The registrant believes that these provisions and agreements are necessary to attract qualified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are necessarily subject to the complete text of the DGCL, the registrant’s certificate of incorporation and bylaws, as amended to date, and the arrangements referred to above and are qualified in their entirety by reference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Second Amended and Restated Certificate of Incorporation of Navitas Semiconductor Corporation (incorporated by reference to Exhibit 3.1 of the registrant’s Current Report on Form 8-K, filed with the SEC on October 25, 2021).</w:t>
              </w:r>
            </w:hyperlink>
          </w:p>
        </w:tc>
      </w:tr>
      <w:tr>
        <w:trPr/>
        <w:tc>
          <w:tcPr>
            <w:tcW w:w="995"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Amended and Restated Bylaws of Navitas Semiconductor Corporation (incorporated by reference to Exhibit 3.1 of the registrant’s Current Report on Form 8-K, filed with the SEC on April 10, 2025).</w:t>
              </w:r>
            </w:hyperlink>
          </w:p>
        </w:tc>
      </w:tr>
      <w:tr>
        <w:trPr/>
        <w:tc>
          <w:tcPr>
            <w:tcW w:w="995" w:type="dxa"/>
            <w:tcBorders/>
            <w:tcMar>
              <w:bottom w:w="0" w:type="dxa"/>
            </w:tcMar>
            <w:vAlign w:val="center"/>
          </w:tcPr>
          <w:p>
            <w:pPr>
              <w:pStyle w:val="TableContents"/>
              <w:bidi w:val="0"/>
              <w:spacing w:before="0" w:after="283"/>
              <w:jc w:val="left"/>
              <w:rPr/>
            </w:pPr>
            <w:hyperlink w:anchor="tm2626897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5-1.htm">
              <w:r>
                <w:rPr>
                  <w:rStyle w:val="InternetLink"/>
                  <w:rFonts w:ascii="Times New Roman;Times;Serif" w:hAnsi="Times New Roman;Times;Serif"/>
                  <w:sz w:val="20"/>
                </w:rPr>
                <w:t>Opinion of Cozen O’Connor.</w:t>
              </w:r>
            </w:hyperlink>
          </w:p>
        </w:tc>
      </w:tr>
      <w:tr>
        <w:trPr/>
        <w:tc>
          <w:tcPr>
            <w:tcW w:w="995" w:type="dxa"/>
            <w:tcBorders/>
            <w:tcMar>
              <w:bottom w:w="0" w:type="dxa"/>
            </w:tcMar>
            <w:vAlign w:val="center"/>
          </w:tcPr>
          <w:p>
            <w:pPr>
              <w:pStyle w:val="TableContents"/>
              <w:bidi w:val="0"/>
              <w:spacing w:before="0" w:after="283"/>
              <w:jc w:val="left"/>
              <w:rPr/>
            </w:pPr>
            <w:hyperlink w:anchor="tm2626897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23-1.htm">
              <w:r>
                <w:rPr>
                  <w:rStyle w:val="InternetLink"/>
                  <w:rFonts w:ascii="Times New Roman;Times;Serif" w:hAnsi="Times New Roman;Times;Serif"/>
                  <w:sz w:val="20"/>
                </w:rPr>
                <w:t>Consent of KPMG LLP.</w:t>
              </w:r>
            </w:hyperlink>
          </w:p>
        </w:tc>
      </w:tr>
      <w:tr>
        <w:trPr/>
        <w:tc>
          <w:tcPr>
            <w:tcW w:w="995" w:type="dxa"/>
            <w:tcBorders/>
            <w:tcMar>
              <w:bottom w:w="0" w:type="dxa"/>
            </w:tcMar>
            <w:vAlign w:val="center"/>
          </w:tcPr>
          <w:p>
            <w:pPr>
              <w:pStyle w:val="TableContents"/>
              <w:bidi w:val="0"/>
              <w:spacing w:before="0" w:after="283"/>
              <w:jc w:val="left"/>
              <w:rPr/>
            </w:pPr>
            <w:hyperlink w:anchor="tm2626897d1_ex23-2.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23-2.htm">
              <w:r>
                <w:rPr>
                  <w:rStyle w:val="InternetLink"/>
                  <w:rFonts w:ascii="Times New Roman;Times;Serif" w:hAnsi="Times New Roman;Times;Serif"/>
                  <w:sz w:val="20"/>
                </w:rPr>
                <w:t>Consent of Baker Tilly US, LLP.</w:t>
              </w:r>
            </w:hyperlink>
          </w:p>
        </w:tc>
      </w:tr>
      <w:tr>
        <w:trPr/>
        <w:tc>
          <w:tcPr>
            <w:tcW w:w="995" w:type="dxa"/>
            <w:tcBorders/>
            <w:tcMar>
              <w:bottom w:w="0" w:type="dxa"/>
            </w:tcMar>
            <w:vAlign w:val="center"/>
          </w:tcPr>
          <w:p>
            <w:pPr>
              <w:pStyle w:val="TableContents"/>
              <w:bidi w:val="0"/>
              <w:spacing w:before="0" w:after="283"/>
              <w:jc w:val="left"/>
              <w:rPr/>
            </w:pPr>
            <w:hyperlink w:anchor="tm2626897d1_ex5-1.htm">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5-1.htm">
              <w:r>
                <w:rPr>
                  <w:rStyle w:val="InternetLink"/>
                  <w:rFonts w:ascii="Times New Roman;Times;Serif" w:hAnsi="Times New Roman;Times;Serif"/>
                  <w:sz w:val="20"/>
                </w:rPr>
                <w:t>Consent of Cozen O’Connor (included in Exhibit 5.1).</w:t>
              </w:r>
            </w:hyperlink>
          </w:p>
        </w:tc>
      </w:tr>
      <w:tr>
        <w:trPr/>
        <w:tc>
          <w:tcPr>
            <w:tcW w:w="99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 to this registration statement).</w:t>
              </w:r>
            </w:hyperlink>
          </w:p>
        </w:tc>
      </w:tr>
      <w:tr>
        <w:trPr/>
        <w:tc>
          <w:tcPr>
            <w:tcW w:w="995" w:type="dxa"/>
            <w:tcBorders/>
            <w:tcMar>
              <w:bottom w:w="0" w:type="dxa"/>
            </w:tcMar>
            <w:vAlign w:val="center"/>
          </w:tcPr>
          <w:p>
            <w:pPr>
              <w:pStyle w:val="TableContents"/>
              <w:bidi w:val="0"/>
              <w:spacing w:before="0" w:after="283"/>
              <w:jc w:val="left"/>
              <w:rPr/>
            </w:pPr>
            <w:hyperlink w:anchor="tm262689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99-1.htm">
              <w:r>
                <w:rPr>
                  <w:rStyle w:val="InternetLink"/>
                  <w:rFonts w:ascii="Times New Roman;Times;Serif" w:hAnsi="Times New Roman;Times;Serif"/>
                  <w:sz w:val="20"/>
                </w:rPr>
                <w:t>Claros, Inc. 2024 Equity Incentive Plan.</w:t>
              </w:r>
            </w:hyperlink>
          </w:p>
        </w:tc>
      </w:tr>
      <w:tr>
        <w:trPr/>
        <w:tc>
          <w:tcPr>
            <w:tcW w:w="995" w:type="dxa"/>
            <w:tcBorders/>
            <w:tcMar>
              <w:bottom w:w="0" w:type="dxa"/>
            </w:tcMar>
            <w:vAlign w:val="center"/>
          </w:tcPr>
          <w:p>
            <w:pPr>
              <w:pStyle w:val="TableContents"/>
              <w:bidi w:val="0"/>
              <w:spacing w:before="0" w:after="283"/>
              <w:jc w:val="left"/>
              <w:rPr/>
            </w:pPr>
            <w:hyperlink w:anchor="tm2626897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99-2.htm">
              <w:r>
                <w:rPr>
                  <w:rStyle w:val="InternetLink"/>
                  <w:rFonts w:ascii="Times New Roman;Times;Serif" w:hAnsi="Times New Roman;Times;Serif"/>
                  <w:sz w:val="20"/>
                </w:rPr>
                <w:t>Amendment to Claros, Inc. 2024 Equity Incentive Plan.</w:t>
              </w:r>
            </w:hyperlink>
          </w:p>
        </w:tc>
      </w:tr>
      <w:tr>
        <w:trPr/>
        <w:tc>
          <w:tcPr>
            <w:tcW w:w="995" w:type="dxa"/>
            <w:tcBorders/>
            <w:tcMar>
              <w:bottom w:w="0" w:type="dxa"/>
            </w:tcMar>
            <w:vAlign w:val="center"/>
          </w:tcPr>
          <w:p>
            <w:pPr>
              <w:pStyle w:val="TableContents"/>
              <w:bidi w:val="0"/>
              <w:spacing w:before="0" w:after="283"/>
              <w:jc w:val="left"/>
              <w:rPr/>
            </w:pPr>
            <w:hyperlink w:anchor="tm2626897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99-3.htm">
              <w:r>
                <w:rPr>
                  <w:rStyle w:val="InternetLink"/>
                  <w:rFonts w:ascii="Times New Roman;Times;Serif" w:hAnsi="Times New Roman;Times;Serif"/>
                  <w:sz w:val="20"/>
                </w:rPr>
                <w:t>Form of Claros, Inc. Stock Option Agreement.</w:t>
              </w:r>
            </w:hyperlink>
          </w:p>
        </w:tc>
      </w:tr>
      <w:tr>
        <w:trPr/>
        <w:tc>
          <w:tcPr>
            <w:tcW w:w="995" w:type="dxa"/>
            <w:tcBorders/>
            <w:tcMar>
              <w:bottom w:w="0" w:type="dxa"/>
            </w:tcMar>
            <w:vAlign w:val="center"/>
          </w:tcPr>
          <w:p>
            <w:pPr>
              <w:pStyle w:val="TableContents"/>
              <w:bidi w:val="0"/>
              <w:spacing w:before="0" w:after="283"/>
              <w:jc w:val="left"/>
              <w:rPr/>
            </w:pPr>
            <w:hyperlink w:anchor="tm2626897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hyperlink w:anchor="tm2626897d1_ex-filingfees.htm">
              <w:r>
                <w:rPr>
                  <w:rStyle w:val="InternetLink"/>
                  <w:rFonts w:ascii="Times New Roman;Times;Serif" w:hAnsi="Times New Roman;Times;Serif"/>
                  <w:sz w:val="20"/>
                </w:rPr>
                <w:t>Filing Fees Table.</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 in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this Registration Statement is on Form S-8 and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caused this registration statement to be signed on its behalf by the undersigned, thereunto duly authorized, in the City of Torrance, State of California, on October 6, 2026.</w:t>
      </w:r>
    </w:p>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75"/>
        <w:gridCol w:w="4175"/>
      </w:tblGrid>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NAVITAS SEMICONDUCTOR CORPORATION</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Allexandre</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Chris Allexandre  </w:t>
            </w:r>
          </w:p>
        </w:tc>
      </w:tr>
      <w:tr>
        <w:trPr/>
        <w:tc>
          <w:tcPr>
            <w:tcW w:w="7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directors and officers of Navitas Semiconductor Corporation hereby constitutes and appoints each of Chris Allexandre, Tonya Stevens and Matthew Sant as his or her true and lawful attorneys-in-fact and agents, with full powers of substitution and resubstitution, for him or her and in his or her name, place and stead, in any and all capacities, to sign the registration statement filed herewith and any and all amendments to this registration statement (including post-effective amendments and any related registration statements thereto filed pursuant to Rule 462 and otherwise), and cause the same to be filed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 undersigned might or could do in person, hereby ratifying and confirming all that said attorneys-in-fact and agents, or any of them, or his or their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165"/>
        <w:gridCol w:w="60"/>
        <w:gridCol w:w="3830"/>
        <w:gridCol w:w="60"/>
        <w:gridCol w:w="1340"/>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 Allexandre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 Allexandre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Tonya Stevens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and Treasurer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Tonya Stevens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J. Hendrix</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J. Hendrix</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Cristiano Amoruso</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Cristiano Amoruso</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Gregory M. Fischer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Gregory M. Fischer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Davin D. Lee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Davin D. Lee</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Brian Long</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Brian Long</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Moxam</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Moxam</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Dipender Saluja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Dipender Saluja</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Gary K. Wunderlich, Jr.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6, 2026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Gary K. Wunderlich, Jr.</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II-6</w:t>
      </w:r>
    </w:p>
    <w:p>
      <w:pPr>
        <w:pStyle w:val="TextBody"/>
        <w:bidi w:val="0"/>
        <w:spacing w:before="0" w:after="283"/>
        <w:jc w:val="left"/>
        <w:rPr/>
      </w:pPr>
      <w:r>
        <w:rPr/>
        <w:t> </w:t>
      </w:r>
    </w:p>
    <w:p>
      <w:pPr>
        <w:pStyle w:val="TextBody"/>
        <w:bidi w:val="0"/>
        <w:spacing w:before="0" w:after="0"/>
        <w:ind w:left="0" w:right="0" w:hanging="0"/>
        <w:jc w:val="left"/>
        <w:rPr/>
      </w:pPr>
      <w:bookmarkStart w:id="3" w:name="tm2626897d1_ex5-1.htm"/>
      <w:bookmarkStart w:id="4" w:name="kstm2626897d1_ex51"/>
      <w:bookmarkEnd w:id="3"/>
      <w:bookmarkEnd w:id="4"/>
      <w:r>
        <w:rPr/>
        <w:t> </w:t>
      </w:r>
      <w:r>
        <w:br w:type="page"/>
      </w:r>
    </w:p>
    <w:p>
      <w:pPr>
        <w:pStyle w:val="TextBody"/>
        <w:bidi w:val="0"/>
        <w:spacing w:before="0" w:after="0"/>
        <w:ind w:left="0" w:right="0" w:hanging="0"/>
        <w:jc w:val="right"/>
        <w:rPr>
          <w:b/>
        </w:rPr>
      </w:pPr>
      <w:r>
        <w:rPr>
          <w:b/>
        </w:rPr>
        <w:t>Exhibit 5.1</w:t>
      </w:r>
    </w:p>
    <w:p>
      <w:pPr>
        <w:pStyle w:val="TextBody"/>
        <w:bidi w:val="0"/>
        <w:spacing w:before="0" w:after="0"/>
        <w:ind w:left="0" w:right="0" w:hanging="0"/>
        <w:jc w:val="left"/>
        <w:rPr/>
      </w:pPr>
      <w:r>
        <w:rPr/>
        <w:t> </w:t>
      </w:r>
    </w:p>
    <w:p>
      <w:pPr>
        <w:pStyle w:val="TextBody"/>
        <w:bidi w:val="0"/>
        <w:spacing w:before="0" w:after="0"/>
        <w:ind w:left="0" w:right="0" w:hanging="0"/>
        <w:jc w:val="right"/>
        <w:rPr/>
      </w:pPr>
      <w:r>
        <w:rPr/>
        <w:drawing>
          <wp:inline distT="0" distB="0" distL="0" distR="0">
            <wp:extent cx="827405" cy="2146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827405" cy="21463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Torrance, California 90503-1640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w:t>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connection with the registration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up to 2,395,762 shares (the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issuable pursuant to outstanding unvested stock options under Claros, Inc. 2024 Equity Incentive Plan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assumed by the Company in connection with the acquisition of Claros, Inc. and converted into stock options to purchase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examined and are familiar with originals or copies, certified or otherwise identified to our satisfaction of (i) the Plan, (ii) the Second Amended and Restated Certificate of Incorporation of the Company, as in effect on the date hereof, together with all amendments thereto adopted through the date, (iii) the Amended and Restated Bylaws of the Company, as amended, as in effect on the date hereof, (iv) the Registration Statement on Form S-8 and all exhibits thereto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covering the registration of the Shares under the Securities Act, and (v) such other corporate records, certificates, other documents, and questions of law as we have considered necessary or appropriate for the purposes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copies. As to any facts material to this opinion that we did not independently establish or verify, we have relied upon oral or written statements and representations of officers and other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qualifications and limitations set forth herein, we are of the opinion that the Shares have been duly authorized and, when the Shares have been duly issued and delivered pursuant to the terms of the Plan, such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federal laws of the United States of America and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such consent, we do not hereby admit that we are in the category of persons whose consent is required under Section 7 of the Securities Act, or the rules and regulations of the Securities and Exchange Commission. This opinion is being delivered in accordance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has been prepared for your use in connection with the issuance of the Shares under the Plan, and speaks as of the date hereof. We assume no obligation to advise you of any fact, circumstance, event or change in the law or the facts that may hereafter be brought to our attention, whether or not such occurrence would affect or modify the opinions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issuance of the Shares while the Registration Statement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Cozen O’Connor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Cozen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pPr>
      <w:bookmarkStart w:id="5" w:name="tm2626897d1_ex23-1.htm"/>
      <w:bookmarkStart w:id="6" w:name="kstm2626897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66800"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1"/>
                    <a:stretch>
                      <a:fillRect/>
                    </a:stretch>
                  </pic:blipFill>
                  <pic:spPr bwMode="auto">
                    <a:xfrm>
                      <a:off x="0" y="0"/>
                      <a:ext cx="10668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2345"/>
      </w:tblGrid>
      <w:tr>
        <w:trPr/>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KPMG LLP</w:t>
              <w:br/>
              <w:t>Suite 1050</w:t>
              <w:br/>
              <w:t>833 East Michigan Street</w:t>
              <w:br/>
              <w:t>Milwaukee, WI 53202-5337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27, 2026, with respect to the consolidated financial statements of Navitas Semiconductor Corporation,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970" w:type="dxa"/>
        <w:jc w:val="left"/>
        <w:tblInd w:w="0" w:type="dxa"/>
        <w:tblLayout w:type="fixed"/>
        <w:tblCellMar>
          <w:top w:w="0" w:type="dxa"/>
          <w:left w:w="0" w:type="dxa"/>
          <w:bottom w:w="0" w:type="dxa"/>
          <w:right w:w="0" w:type="dxa"/>
        </w:tblCellMar>
      </w:tblPr>
      <w:tblGrid>
        <w:gridCol w:w="1895"/>
        <w:gridCol w:w="75"/>
      </w:tblGrid>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Wisconsin</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0092" w:type="dxa"/>
            <w:tcBorders/>
            <w:vAlign w:val="center"/>
          </w:tcPr>
          <w:p>
            <w:pPr>
              <w:pStyle w:val="TableContents"/>
              <w:bidi w:val="0"/>
              <w:spacing w:before="0" w:after="283"/>
              <w:jc w:val="both"/>
              <w:rPr>
                <w:sz w:val="20"/>
              </w:rPr>
            </w:pPr>
            <w:r>
              <w:rPr>
                <w:sz w:val="20"/>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7" w:name="tm2626897d1_ex23-2.htm"/>
      <w:bookmarkStart w:id="8" w:name="kstm2626897d1_ex232"/>
      <w:bookmarkEnd w:id="7"/>
      <w:bookmarkEnd w:id="8"/>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Navitas Semiconductor Corporation (the “Company”) of our report dated March 19, 2025, relating to the consolidated financial statements of the Company as of December 31, 2024 and for the year then ended, appearing in the Annual Report on Form 10-K of the Company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6, 2026</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9" w:name="tm2626897d1_ex99-1.htm"/>
      <w:bookmarkStart w:id="10" w:name="kstm2626897d1_ex991"/>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THE BOARD OF DIRECTORS: September 4, 2024</w:t>
        <w:br/>
        <w:t>APPROVED BY THE STOCKHOLDERS: September 5, 2024</w:t>
        <w:br/>
        <w:t>TERMINATION DATE: September 3, 2034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             </w:t>
      </w: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Eligible Stock Award Recipients</w:t>
      </w:r>
      <w:r>
        <w:rPr>
          <w:rFonts w:ascii="Times New Roman;Times;Serif" w:hAnsi="Times New Roman;Times;Serif"/>
          <w:b w:val="false"/>
          <w:i w:val="false"/>
          <w:caps w:val="false"/>
          <w:smallCaps w:val="false"/>
          <w:sz w:val="20"/>
        </w:rPr>
        <w:t>. Employees, Directors and Consultants are eligible to receive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(b)           </w:t>
      </w:r>
      <w:r>
        <w:rPr>
          <w:rFonts w:ascii="Times New Roman;Times;Serif" w:hAnsi="Times New Roman;Times;Serif"/>
          <w:b/>
          <w:i w:val="false"/>
          <w:caps w:val="false"/>
          <w:smallCaps w:val="false"/>
          <w:sz w:val="20"/>
        </w:rPr>
        <w:t>Available Stock Awards</w:t>
      </w:r>
      <w:r>
        <w:rPr>
          <w:rFonts w:ascii="Times New Roman;Times;Serif" w:hAnsi="Times New Roman;Times;Serif"/>
          <w:b w:val="false"/>
          <w:i w:val="false"/>
          <w:caps w:val="false"/>
          <w:smallCaps w:val="false"/>
          <w:sz w:val="20"/>
        </w:rPr>
        <w:t>. The Plan provides for the grant of the following types of Stock Awards: (i) Incentive Stock Options, (ii) Nonstatutory Stock Options, (iii) Stock Appreciation Rights, (iv) Restricted Stock Awards, (v) Restricted Stock Unit Awards and (vi) Other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The Plan, through the grant of Stock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2.             </w:t>
      </w: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Administration by the Board</w:t>
      </w:r>
      <w:r>
        <w:rPr>
          <w:rFonts w:ascii="Times New Roman;Times;Serif" w:hAnsi="Times New Roman;Times;Serif"/>
          <w:b w:val="false"/>
          <w:i w:val="false"/>
          <w:caps w:val="false"/>
          <w:smallCaps w:val="false"/>
          <w:sz w:val="20"/>
        </w:rPr>
        <w:t>. The Board will administer the Plan. The Board may delegate administration of the Plan to a Committee or Committees, as provided in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Powers of the Board</w:t>
      </w:r>
      <w:r>
        <w:rPr>
          <w:rFonts w:ascii="Times New Roman;Times;Serif" w:hAnsi="Times New Roman;Times;Serif"/>
          <w:b w:val="false"/>
          <w:i w:val="false"/>
          <w:caps w:val="false"/>
          <w:smallCaps w:val="false"/>
          <w:sz w:val="20"/>
        </w:rPr>
        <w:t>. The Board will have the power, subject to, and within the limitations of, the express provisions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To settle all controversies regarding the Plan and Stock Awards granted under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val="false"/>
          <w:i w:val="false"/>
          <w:caps w:val="false"/>
          <w:smallCaps w:val="false"/>
          <w:sz w:val="20"/>
        </w:rPr>
        <w:t>To accelerate, in whole or in part, the time at which a Stock Award may be exercised or vest (or the time at which cash or shares of Common Stock may be issued in settlement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val="false"/>
          <w:i w:val="false"/>
          <w:caps w:val="false"/>
          <w:smallCaps w:val="false"/>
          <w:sz w:val="20"/>
        </w:rPr>
        <w:t>To suspend or terminate the Plan at any time. Except as otherwise provided in the Plan or a Stock Award Agreement, suspension or termination of the Plan will not impair a Participant’s rights under the Participant’s then-outstanding Stock Award without the Participant’s written consent except as provided in subsection (viii)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             </w:t>
      </w:r>
      <w:r>
        <w:rPr>
          <w:rFonts w:ascii="Times New Roman;Times;Serif" w:hAnsi="Times New Roman;Times;Serif"/>
          <w:b w:val="false"/>
          <w:i w:val="false"/>
          <w:caps w:val="false"/>
          <w:smallCaps w:val="false"/>
          <w:sz w:val="20"/>
        </w:rPr>
        <w:t>To amend the Plan in any respect the Board deems necessary or advisable, including, without limitation, by adopting amendments relating to Incentive 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Stock Awards available for issuance under the Plan. Except as otherwise provided in the Plan or a Stock Award Agreement, no amendment of the Plan will materially impair a Participant’s rights under an outstanding Stock Award without the Participant’s written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(vii)           </w:t>
      </w:r>
      <w:r>
        <w:rPr>
          <w:rFonts w:ascii="Times New Roman;Times;Serif" w:hAnsi="Times New Roman;Times;Serif"/>
          <w:b w:val="false"/>
          <w:i w:val="false"/>
          <w:caps w:val="false"/>
          <w:smallCaps w:val="false"/>
          <w:sz w:val="20"/>
        </w:rPr>
        <w:t>To submit any amendment to the Plan for stockholder approval, including, but not limited to, amendments to the Plan intended to satisfy the requirements of Section 422 of the Code regarding Incentive Stock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(viii)          </w:t>
      </w:r>
      <w:r>
        <w:rPr>
          <w:rFonts w:ascii="Times New Roman;Times;Serif" w:hAnsi="Times New Roman;Times;Serif"/>
          <w:b w:val="false"/>
          <w:i w:val="false"/>
          <w:caps w:val="false"/>
          <w:smallCaps w:val="false"/>
          <w:sz w:val="20"/>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(ix)           </w:t>
      </w:r>
      <w:r>
        <w:rPr>
          <w:rFonts w:ascii="Times New Roman;Times;Serif" w:hAnsi="Times New Roman;Times;Serif"/>
          <w:b w:val="false"/>
          <w:i w:val="false"/>
          <w:caps w:val="false"/>
          <w:smallCaps w:val="false"/>
          <w:sz w:val="20"/>
        </w:rPr>
        <w:t>Generally, to exercise such powers and to perform such acts as the Board deems necessary or expedient to promote the best interests of the Company and that are not in conflict with the provisions of the Plan or Stock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(x)             </w:t>
      </w:r>
      <w:r>
        <w:rPr>
          <w:rFonts w:ascii="Times New Roman;Times;Serif" w:hAnsi="Times New Roman;Times;Serif"/>
          <w:b w:val="false"/>
          <w:i w:val="false"/>
          <w:caps w:val="false"/>
          <w:smallCaps w:val="false"/>
          <w:sz w:val="20"/>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(xi)            </w:t>
      </w:r>
      <w:r>
        <w:rPr>
          <w:rFonts w:ascii="Times New Roman;Times;Serif" w:hAnsi="Times New Roman;Times;Serif"/>
          <w:b w:val="false"/>
          <w:i w:val="false"/>
          <w:caps w:val="false"/>
          <w:smallCaps w:val="false"/>
          <w:sz w:val="20"/>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(c)           </w:t>
      </w:r>
      <w:r>
        <w:rPr>
          <w:rFonts w:ascii="Times New Roman;Times;Serif" w:hAnsi="Times New Roman;Times;Serif"/>
          <w:b/>
          <w:i w:val="false"/>
          <w:caps w:val="false"/>
          <w:smallCaps w:val="false"/>
          <w:sz w:val="20"/>
        </w:rPr>
        <w:t>Delegation to Committee</w:t>
      </w:r>
      <w:r>
        <w:rPr>
          <w:rFonts w:ascii="Times New Roman;Times;Serif" w:hAnsi="Times New Roman;Times;Serif"/>
          <w:b w:val="false"/>
          <w:i w:val="false"/>
          <w:caps w:val="false"/>
          <w:smallCaps w:val="false"/>
          <w:sz w:val="20"/>
        </w:rPr>
        <w:t>.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i w:val="false"/>
          <w:caps w:val="false"/>
          <w:smallCaps w:val="false"/>
          <w:sz w:val="20"/>
        </w:rPr>
        <w:t>Delegation to Other Person or Body</w:t>
      </w:r>
      <w:r>
        <w:rPr>
          <w:rFonts w:ascii="Times New Roman;Times;Serif" w:hAnsi="Times New Roman;Times;Serif"/>
          <w:b w:val="false"/>
          <w:i w:val="false"/>
          <w:caps w:val="false"/>
          <w:smallCaps w:val="false"/>
          <w:sz w:val="20"/>
        </w:rPr>
        <w:t xml:space="preserve">. The Board may delegate to one or more persons or bodies, in addition to the Board, the authority to do one or both of the following: (i) designate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recipients;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Board resolutions regarding such delegation will fix the terms of such delegation in accordance with applicable law, including without limitation Sections 152 and/or 157 of the Delaware General Corporation Law,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Board resolution may permit a person or body to grant a Stock Award to such person or body. Any such Stock Awards will be granted on the form of Stock Award Agreement most recently approved for use by the Committee or the Board, unless otherwise provided in the resolutions approving the delegation authority. The Board may not delegate authority to determine the Fair Market Value pursuant to Section 13(t) below to any person or body, except that the Board may delegate such authority to a Committee or Committees of the Board in accordance with Section 2(c)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val="false"/>
          <w:i w:val="false"/>
          <w:caps w:val="false"/>
          <w:smallCaps w:val="false"/>
          <w:sz w:val="20"/>
        </w:rPr>
        <w:t>Effect of Board’s Decision. All determinations, interpretations and constructions made by the Board in good faith will not be subject to review by any person and will be final, binding and conclusive on all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3.             </w:t>
      </w:r>
      <w:r>
        <w:rPr>
          <w:rFonts w:ascii="Times New Roman;Times;Serif" w:hAnsi="Times New Roman;Times;Serif"/>
          <w:b/>
          <w:i w:val="false"/>
          <w:caps w:val="false"/>
          <w:smallCaps w:val="false"/>
          <w:sz w:val="20"/>
        </w:rPr>
        <w:t>Shares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Share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Subject to Section 9(a) relating to Capitalization Adjustments, the aggregate number of shares of Common Stock that may be issued pursuant to Stock Awards from and after the Effective Date will not exceed 6,499,800 shares (the “</w:t>
      </w: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For clarity, the Share Reserve in this Section 3(a) is a limitation on the number of shares of Common Stock that may be issued pursuant to the Plan. Accordingly, this Section 3(a) does not limit the granting of Stock Awards except as provided in Section 7(a).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Reversion of Shares to the Share Reserve</w:t>
      </w:r>
      <w:r>
        <w:rPr>
          <w:rFonts w:ascii="Times New Roman;Times;Serif" w:hAnsi="Times New Roman;Times;Serif"/>
          <w:b w:val="false"/>
          <w:i w:val="false"/>
          <w:caps w:val="false"/>
          <w:smallCaps w:val="false"/>
          <w:sz w:val="20"/>
        </w:rPr>
        <w:t>. If a Stock Award or any portion thereof expires or otherwise terminates without all of the shares covered by such Stock Award having been issued or (ii) is settled in cash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Incentive Stock Option Limit</w:t>
      </w:r>
      <w:r>
        <w:rPr>
          <w:rFonts w:ascii="Times New Roman;Times;Serif" w:hAnsi="Times New Roman;Times;Serif"/>
          <w:b w:val="false"/>
          <w:i w:val="false"/>
          <w:caps w:val="false"/>
          <w:smallCaps w:val="false"/>
          <w:sz w:val="20"/>
        </w:rPr>
        <w:t>. Subject to the Share Reserve and Section 9(a) relating to Capitalization Adjustments, the aggregate maximum number of shares of Common Stock that may be issued pursuant to the exercise of Incentive Stock Options will be a number of shares of Common Stock equal to three multiplied by the Share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i w:val="false"/>
          <w:caps w:val="false"/>
          <w:smallCaps w:val="false"/>
          <w:sz w:val="20"/>
        </w:rPr>
        <w:t>Source of Shares</w:t>
      </w:r>
      <w:r>
        <w:rPr>
          <w:rFonts w:ascii="Times New Roman;Times;Serif" w:hAnsi="Times New Roman;Times;Serif"/>
          <w:b w:val="false"/>
          <w:i w:val="false"/>
          <w:caps w:val="false"/>
          <w:smallCaps w:val="false"/>
          <w:sz w:val="20"/>
        </w:rPr>
        <w:t>. The stock issuable under the Plan will be shares of authorized but unissued or reacquired Common Stock, including shares repurchased by the Company on the open market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4.                  </w:t>
      </w:r>
      <w:r>
        <w:rPr>
          <w:rFonts w:ascii="Times New Roman;Times;Serif" w:hAnsi="Times New Roman;Times;Serif"/>
          <w:b/>
          <w:i w:val="false"/>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Eligibility for Specific Stock Awards</w:t>
      </w:r>
      <w:r>
        <w:rPr>
          <w:rFonts w:ascii="Times New Roman;Times;Serif" w:hAnsi="Times New Roman;Times;Serif"/>
          <w:b w:val="false"/>
          <w:i w:val="false"/>
          <w:caps w:val="false"/>
          <w:smallCaps w:val="false"/>
          <w:sz w:val="20"/>
        </w:rPr>
        <w:t xml:space="preserve">. Incentive Stock Options may be granted only to employees of the Company or a “parent corporation” or “subsidiary corporation” thereof (as such terms are defined in Sections 424(e) and 424(f) of the Code). Stock Awards other than Incentive Stock Options may be granted to Employees, Directors and Consultants;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Ten Percent Stockholders</w:t>
      </w:r>
      <w:r>
        <w:rPr>
          <w:rFonts w:ascii="Times New Roman;Times;Serif" w:hAnsi="Times New Roman;Times;Serif"/>
          <w:b w:val="false"/>
          <w:i w:val="false"/>
          <w:caps w:val="false"/>
          <w:smallCaps w:val="false"/>
          <w:sz w:val="20"/>
        </w:rPr>
        <w:t>. 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Consultants</w:t>
      </w:r>
      <w:r>
        <w:rPr>
          <w:rFonts w:ascii="Times New Roman;Times;Serif" w:hAnsi="Times New Roman;Times;Serif"/>
          <w:b w:val="false"/>
          <w:i w:val="false"/>
          <w:caps w:val="false"/>
          <w:smallCaps w:val="false"/>
          <w:sz w:val="20"/>
        </w:rPr>
        <w:t>. A Consultant will not be eligible for the grant of a Stock Award if, at the time of grant, either the offer or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5.             </w:t>
      </w:r>
      <w:r>
        <w:rPr>
          <w:rFonts w:ascii="Times New Roman;Times;Serif" w:hAnsi="Times New Roman;Times;Serif"/>
          <w:b/>
          <w:i w:val="false"/>
          <w:caps w:val="false"/>
          <w:smallCaps w:val="false"/>
          <w:sz w:val="20"/>
        </w:rPr>
        <w:t>Provisions Relating to Options and 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each Stock Award Agreement will conform to (through incorporation of provisions hereof by reference in the applicable Stock Award Agreement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Subject to the provisions of Section 4(b) regarding Ten Percent Stockholders, no Option or SAR will be exercisable after the expiration of 10 years from the date of its grant or such shorter period specified in the Stock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Subject to the provisions of Section 4(b) regarding Ten Percent Stockholders, the exercise or strike price of each Option or 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Purchase Price for Options</w:t>
      </w:r>
      <w:r>
        <w:rPr>
          <w:rFonts w:ascii="Times New Roman;Times;Serif" w:hAnsi="Times New Roman;Times;Serif"/>
          <w:b w:val="false"/>
          <w:i w:val="false"/>
          <w:caps w:val="false"/>
          <w:smallCaps w:val="false"/>
          <w:sz w:val="20"/>
        </w:rPr>
        <w:t>. 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by cash, check, bank draft, electronic funds transfer or money order payable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and/or the Board, at the time Participant exercises their Option, will include delivery to the Company of Participant’s attestation of ownership of such shares of Common Stock in a form approved by the Company. Participant may not exercise their option by delivery to the Company of Common Stock if doing so would violate the provisions of any law, regulation or agreement restricting the redemption of the Company’s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val="false"/>
          <w:i w:val="false"/>
          <w:caps w:val="false"/>
          <w:smallCaps w:val="false"/>
          <w:sz w:val="20"/>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Participant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val="false"/>
          <w:i w:val="false"/>
          <w:caps w:val="false"/>
          <w:smallCaps w:val="false"/>
          <w:sz w:val="20"/>
        </w:rPr>
        <w:t xml:space="preserve">according to a deferred payment or similar arrangement with the Optionholder;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            </w:t>
      </w:r>
      <w:r>
        <w:rPr>
          <w:rFonts w:ascii="Times New Roman;Times;Serif" w:hAnsi="Times New Roman;Times;Serif"/>
          <w:b w:val="false"/>
          <w:i w:val="false"/>
          <w:caps w:val="false"/>
          <w:smallCaps w:val="false"/>
          <w:sz w:val="20"/>
        </w:rPr>
        <w:t>in any other form of legal consideration that may be acceptable to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Exercise and Payment of a SAR.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i w:val="false"/>
          <w:caps w:val="false"/>
          <w:smallCaps w:val="false"/>
          <w:sz w:val="20"/>
        </w:rPr>
        <w:t>Transferability of Options and SARs</w:t>
      </w:r>
      <w:r>
        <w:rPr>
          <w:rFonts w:ascii="Times New Roman;Times;Serif" w:hAnsi="Times New Roman;Times;Serif"/>
          <w:b w:val="false"/>
          <w:i w:val="false"/>
          <w:caps w:val="false"/>
          <w:smallCaps w:val="false"/>
          <w:sz w:val="20"/>
        </w:rPr>
        <w:t>.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i w:val="false"/>
          <w:caps w:val="false"/>
          <w:smallCaps w:val="false"/>
          <w:sz w:val="20"/>
        </w:rPr>
        <w:t>Restrictions on Transfer</w:t>
      </w:r>
      <w:r>
        <w:rPr>
          <w:rFonts w:ascii="Times New Roman;Times;Serif" w:hAnsi="Times New Roman;Times;Serif"/>
          <w:b w:val="false"/>
          <w:i w:val="false"/>
          <w:caps w:val="false"/>
          <w:smallCaps w:val="false"/>
          <w:sz w:val="20"/>
        </w:rPr>
        <w:t>. 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i w:val="false"/>
          <w:caps w:val="false"/>
          <w:smallCaps w:val="false"/>
          <w:sz w:val="20"/>
        </w:rPr>
        <w:t>Domestic Relations Orders</w:t>
      </w:r>
      <w:r>
        <w:rPr>
          <w:rFonts w:ascii="Times New Roman;Times;Serif" w:hAnsi="Times New Roman;Times;Serif"/>
          <w:b w:val="false"/>
          <w:i w:val="false"/>
          <w:caps w:val="false"/>
          <w:smallCaps w:val="false"/>
          <w:sz w:val="20"/>
        </w:rPr>
        <w:t>. Subject to the approval of the Board or a duly authorized Officer, an Option or SAR may be transferred pursuant to the terms of a domestic relations order, official marital settlement agreement or other divorce or separation instrument as permitted by Treasury Regulation 1.421-1(b)(2). If an Option is an Incentive Stock Option, such Option may be deemed to be a Nonstatutory Stock Option as a result of such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i w:val="false"/>
          <w:caps w:val="false"/>
          <w:smallCaps w:val="false"/>
          <w:sz w:val="20"/>
        </w:rPr>
        <w:t>Beneficiary Designation</w:t>
      </w:r>
      <w:r>
        <w:rPr>
          <w:rFonts w:ascii="Times New Roman;Times;Serif" w:hAnsi="Times New Roman;Times;Serif"/>
          <w:b w:val="false"/>
          <w:i w:val="false"/>
          <w:caps w:val="false"/>
          <w:smallCaps w:val="false"/>
          <w:sz w:val="20"/>
        </w:rPr>
        <w:t>. Subject to the approval of the Board or a duly authorized Officer, a 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            </w:t>
      </w:r>
      <w:r>
        <w:rPr>
          <w:rFonts w:ascii="Times New Roman;Times;Serif" w:hAnsi="Times New Roman;Times;Serif"/>
          <w:b/>
          <w:i w:val="false"/>
          <w:caps w:val="false"/>
          <w:smallCaps w:val="false"/>
          <w:sz w:val="20"/>
        </w:rPr>
        <w:t>Vesting Generally</w:t>
      </w:r>
      <w:r>
        <w:rPr>
          <w:rFonts w:ascii="Times New Roman;Times;Serif" w:hAnsi="Times New Roman;Times;Serif"/>
          <w:b w:val="false"/>
          <w:i w:val="false"/>
          <w:caps w:val="false"/>
          <w:smallCaps w:val="false"/>
          <w:sz w:val="20"/>
        </w:rPr>
        <w:t>.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(g)           </w:t>
      </w:r>
      <w:r>
        <w:rPr>
          <w:rFonts w:ascii="Times New Roman;Times;Serif" w:hAnsi="Times New Roman;Times;Serif"/>
          <w:b/>
          <w:i w:val="false"/>
          <w:caps w:val="false"/>
          <w:smallCaps w:val="false"/>
          <w:sz w:val="20"/>
        </w:rPr>
        <w:t>Termination of Continuous Service</w:t>
      </w:r>
      <w:r>
        <w:rPr>
          <w:rFonts w:ascii="Times New Roman;Times;Serif" w:hAnsi="Times New Roman;Times;Serif"/>
          <w:b w:val="false"/>
          <w:i w:val="false"/>
          <w:caps w:val="false"/>
          <w:smallCaps w:val="false"/>
          <w:sz w:val="20"/>
        </w:rPr>
        <w:t>. Except as otherwise provided in the applicable Stock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Stock Award as of the date of termination of Continuous Service) within the period of time ending on the earlier of (i) the date three months following the termination of the Participant’s Continuous Service (or such longer or shorter period specified in the applicable Stock Award Agreement, which period will not be less than 30 days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(h)          </w:t>
      </w:r>
      <w:r>
        <w:rPr>
          <w:rFonts w:ascii="Times New Roman;Times;Serif" w:hAnsi="Times New Roman;Times;Serif"/>
          <w:b/>
          <w:i w:val="false"/>
          <w:caps w:val="false"/>
          <w:smallCaps w:val="false"/>
          <w:sz w:val="20"/>
        </w:rPr>
        <w:t>Extension of Termination Date</w:t>
      </w:r>
      <w:r>
        <w:rPr>
          <w:rFonts w:ascii="Times New Roman;Times;Serif" w:hAnsi="Times New Roman;Times;Serif"/>
          <w:b w:val="false"/>
          <w:i w:val="false"/>
          <w:caps w:val="false"/>
          <w:smallCaps w:val="false"/>
          <w:sz w:val="20"/>
        </w:rPr>
        <w:t>.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the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and (ii) the expiration of the term of the Option or SAR as set forth in the applicable Stock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i w:val="false"/>
          <w:caps w:val="false"/>
          <w:smallCaps w:val="false"/>
          <w:sz w:val="20"/>
        </w:rPr>
        <w:t>Disability of Participant</w:t>
      </w:r>
      <w:r>
        <w:rPr>
          <w:rFonts w:ascii="Times New Roman;Times;Serif" w:hAnsi="Times New Roman;Times;Serif"/>
          <w:b w:val="false"/>
          <w:i w:val="false"/>
          <w:caps w:val="false"/>
          <w:smallCaps w:val="false"/>
          <w:sz w:val="20"/>
        </w:rPr>
        <w:t>. Except as otherwise provided in the applicable Stock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which period will not be less than six months if necessary to comply with applicable laws unless such termination is for Cause), and (ii) the expiration of the term of the Option or SAR as set forth in the Stock Award Agreement. If, after termination of Continuous Service, the Participant does not exercise his or her Option or SAR within the applicable time frame, the Option or SAR (as applicable) will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(j)            </w:t>
      </w:r>
      <w:r>
        <w:rPr>
          <w:rFonts w:ascii="Times New Roman;Times;Serif" w:hAnsi="Times New Roman;Times;Serif"/>
          <w:b/>
          <w:i w:val="false"/>
          <w:caps w:val="false"/>
          <w:smallCaps w:val="false"/>
          <w:sz w:val="20"/>
        </w:rPr>
        <w:t>Death of Participant</w:t>
      </w:r>
      <w:r>
        <w:rPr>
          <w:rFonts w:ascii="Times New Roman;Times;Serif" w:hAnsi="Times New Roman;Times;Serif"/>
          <w:b w:val="false"/>
          <w:i w:val="false"/>
          <w:caps w:val="false"/>
          <w:smallCaps w:val="false"/>
          <w:sz w:val="20"/>
        </w:rPr>
        <w:t>. Except as otherwise provided in the applicable Stock Award Agreement or other agreement between the Participant and the Company,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which period will not be less than six months if necessary to comply with applicable laws unless such termination is for Cause), and (ii) the expiration of the term of such Option or SAR as set forth in the Stock Award Agreement. If, after the Participant’s death, the Option or SAR is not exercised within the applicable time frame, the Option or SAR (as applicable) will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(k)          </w:t>
      </w:r>
      <w:r>
        <w:rPr>
          <w:rFonts w:ascii="Times New Roman;Times;Serif" w:hAnsi="Times New Roman;Times;Serif"/>
          <w:b/>
          <w:i w:val="false"/>
          <w:caps w:val="false"/>
          <w:smallCaps w:val="false"/>
          <w:sz w:val="20"/>
        </w:rPr>
        <w:t>Termination for Cause</w:t>
      </w:r>
      <w:r>
        <w:rPr>
          <w:rFonts w:ascii="Times New Roman;Times;Serif" w:hAnsi="Times New Roman;Times;Serif"/>
          <w:b w:val="false"/>
          <w:i w:val="false"/>
          <w:caps w:val="false"/>
          <w:smallCaps w:val="false"/>
          <w:sz w:val="20"/>
        </w:rPr>
        <w:t>. Except as explicitly provided otherwise in a Participant’s Stock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(whether vested or unvested) from and after the date of such termination of Continuous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(l)           </w:t>
      </w:r>
      <w:r>
        <w:rPr>
          <w:rFonts w:ascii="Times New Roman;Times;Serif" w:hAnsi="Times New Roman;Times;Serif"/>
          <w:b/>
          <w:i w:val="false"/>
          <w:caps w:val="false"/>
          <w:smallCaps w:val="false"/>
          <w:sz w:val="20"/>
        </w:rPr>
        <w:t>Non-Exempt Employees</w:t>
      </w:r>
      <w:r>
        <w:rPr>
          <w:rFonts w:ascii="Times New Roman;Times;Serif" w:hAnsi="Times New Roman;Times;Serif"/>
          <w:b w:val="false"/>
          <w:i w:val="false"/>
          <w:caps w:val="false"/>
          <w:smallCaps w:val="false"/>
          <w:sz w:val="20"/>
        </w:rPr>
        <w:t>. 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(m)         </w:t>
      </w:r>
      <w:r>
        <w:rPr>
          <w:rFonts w:ascii="Times New Roman;Times;Serif" w:hAnsi="Times New Roman;Times;Serif"/>
          <w:b/>
          <w:i w:val="false"/>
          <w:caps w:val="false"/>
          <w:smallCaps w:val="false"/>
          <w:sz w:val="20"/>
        </w:rPr>
        <w:t>Early Exercise of Options</w:t>
      </w:r>
      <w:r>
        <w:rPr>
          <w:rFonts w:ascii="Times New Roman;Times;Serif" w:hAnsi="Times New Roman;Times;Serif"/>
          <w:b w:val="false"/>
          <w:i w:val="false"/>
          <w:caps w:val="false"/>
          <w:smallCaps w:val="false"/>
          <w:sz w:val="20"/>
        </w:rPr>
        <w:t>. An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will not be required to exercise its repurchase right until at least six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(n)          </w:t>
      </w:r>
      <w:r>
        <w:rPr>
          <w:rFonts w:ascii="Times New Roman;Times;Serif" w:hAnsi="Times New Roman;Times;Serif"/>
          <w:b/>
          <w:i w:val="false"/>
          <w:caps w:val="false"/>
          <w:smallCaps w:val="false"/>
          <w:sz w:val="20"/>
        </w:rPr>
        <w:t>Right of Repurchase</w:t>
      </w:r>
      <w:r>
        <w:rPr>
          <w:rFonts w:ascii="Times New Roman;Times;Serif" w:hAnsi="Times New Roman;Times;Serif"/>
          <w:b w:val="false"/>
          <w:i w:val="false"/>
          <w:caps w:val="false"/>
          <w:smallCaps w:val="false"/>
          <w:sz w:val="20"/>
        </w:rPr>
        <w:t>. Subject to the “Repurchase Limitation” in Section 8(l), the Option or SAR may include a provision whereby the Company may elect to repurchase all or any part of the vested shares of Common Stock acquired by the Participant pursuant to the exercise of the Option or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(o)          </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The Option or SAR may include a provision whereby the Company may elect to exercise a right of first refusal following receipt of notice from the Participant of the intent to transfer all or any part of the shares of Common Stock received upon the exercise of the Option or SAR. Such right of first refusal will be subject to the “Repurchase Limitation” in Section 8(l). Except as expressly provided in this Section 5(o) or in the Stock Award Agreement, such right of first refusal will otherwise comply with any applicable provisions of the bylaws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6.             </w:t>
      </w:r>
      <w:r>
        <w:rPr>
          <w:rFonts w:ascii="Times New Roman;Times;Serif" w:hAnsi="Times New Roman;Times;Serif"/>
          <w:b/>
          <w:i w:val="false"/>
          <w:caps w:val="false"/>
          <w:smallCaps w:val="false"/>
          <w:sz w:val="20"/>
        </w:rPr>
        <w:t>Provisions of Stock Awards Other than Options and SARs.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Restricted Stock Awards</w:t>
      </w:r>
      <w:r>
        <w:rPr>
          <w:rFonts w:ascii="Times New Roman;Times;Serif" w:hAnsi="Times New Roman;Times;Serif"/>
          <w:b w:val="false"/>
          <w:i w:val="false"/>
          <w:caps w:val="false"/>
          <w:smallCaps w:val="false"/>
          <w:sz w:val="20"/>
        </w:rPr>
        <w:t>. Each Restricted Stock Award Agreement will be in such form and will contain such terms and conditions as the Board will deem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A Restricted Stock Award may be awarded in consideration for (A) 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Subject to the “Repurchase Limitation” in Section 8(l), shares of Common Stock awarded under the Restricted Stock Award Agreement may be subject to forfeiture to the Company in accordance with a vesting schedule to be determined by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i w:val="false"/>
          <w:caps w:val="false"/>
          <w:smallCaps w:val="false"/>
          <w:sz w:val="20"/>
        </w:rPr>
        <w:t>Termination of Participant’s Continuous Service</w:t>
      </w:r>
      <w:r>
        <w:rPr>
          <w:rFonts w:ascii="Times New Roman;Times;Serif" w:hAnsi="Times New Roman;Times;Serif"/>
          <w:b w:val="false"/>
          <w:i w:val="false"/>
          <w:caps w:val="false"/>
          <w:smallCaps w:val="false"/>
          <w:sz w:val="20"/>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i w:val="false"/>
          <w:caps w:val="false"/>
          <w:smallCaps w:val="false"/>
          <w:sz w:val="20"/>
        </w:rPr>
        <w:t>Transferability</w:t>
      </w:r>
      <w:r>
        <w:rPr>
          <w:rFonts w:ascii="Times New Roman;Times;Serif" w:hAnsi="Times New Roman;Times;Serif"/>
          <w:b w:val="false"/>
          <w:i w:val="false"/>
          <w:caps w:val="false"/>
          <w:smallCaps w:val="false"/>
          <w:sz w:val="20"/>
        </w:rPr>
        <w:t>. 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Restricted Stock Unit Awards</w:t>
      </w:r>
      <w:r>
        <w:rPr>
          <w:rFonts w:ascii="Times New Roman;Times;Serif" w:hAnsi="Times New Roman;Times;Serif"/>
          <w:b w:val="false"/>
          <w:i w:val="false"/>
          <w:caps w:val="false"/>
          <w:smallCaps w:val="false"/>
          <w:sz w:val="20"/>
        </w:rPr>
        <w:t>. 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At the time of the grant of a Restricted Stock Unit Award, the Board may impose such restrictions on or conditions to the vesting of the Restricted Stock Unit Award as it, in its sole discretion, deems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Payment.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i w:val="false"/>
          <w:caps w:val="false"/>
          <w:smallCaps w:val="false"/>
          <w:sz w:val="20"/>
        </w:rPr>
        <w:t>Additional Restrictions</w:t>
      </w:r>
      <w:r>
        <w:rPr>
          <w:rFonts w:ascii="Times New Roman;Times;Serif" w:hAnsi="Times New Roman;Times;Serif"/>
          <w:b w:val="false"/>
          <w:i w:val="false"/>
          <w:caps w:val="false"/>
          <w:smallCaps w:val="false"/>
          <w:sz w:val="20"/>
        </w:rPr>
        <w:t>. 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i w:val="false"/>
          <w:caps w:val="false"/>
          <w:smallCaps w:val="false"/>
          <w:sz w:val="20"/>
        </w:rPr>
        <w:t>Dividend Equivalents</w:t>
      </w:r>
      <w:r>
        <w:rPr>
          <w:rFonts w:ascii="Times New Roman;Times;Serif" w:hAnsi="Times New Roman;Times;Serif"/>
          <w:b w:val="false"/>
          <w:i w:val="false"/>
          <w:caps w:val="false"/>
          <w:smallCaps w:val="false"/>
          <w:sz w:val="20"/>
        </w:rPr>
        <w:t>.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            </w:t>
      </w:r>
      <w:r>
        <w:rPr>
          <w:rFonts w:ascii="Times New Roman;Times;Serif" w:hAnsi="Times New Roman;Times;Serif"/>
          <w:b/>
          <w:i w:val="false"/>
          <w:caps w:val="false"/>
          <w:smallCaps w:val="false"/>
          <w:sz w:val="20"/>
        </w:rPr>
        <w:t>Termination of Participant’s Continuous Service</w:t>
      </w:r>
      <w:r>
        <w:rPr>
          <w:rFonts w:ascii="Times New Roman;Times;Serif" w:hAnsi="Times New Roman;Times;Serif"/>
          <w:b w:val="false"/>
          <w:i w:val="false"/>
          <w:caps w:val="false"/>
          <w:smallCaps w:val="false"/>
          <w:sz w:val="20"/>
        </w:rPr>
        <w:t>. 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(vii)           </w:t>
      </w:r>
      <w:r>
        <w:rPr>
          <w:rFonts w:ascii="Times New Roman;Times;Serif" w:hAnsi="Times New Roman;Times;Serif"/>
          <w:b/>
          <w:i w:val="false"/>
          <w:caps w:val="false"/>
          <w:smallCaps w:val="false"/>
          <w:sz w:val="20"/>
        </w:rPr>
        <w:t>Compliance with Section 409A of the Code</w:t>
      </w:r>
      <w:r>
        <w:rPr>
          <w:rFonts w:ascii="Times New Roman;Times;Serif" w:hAnsi="Times New Roman;Times;Serif"/>
          <w:b w:val="false"/>
          <w:i w:val="false"/>
          <w:caps w:val="false"/>
          <w:smallCaps w:val="false"/>
          <w:sz w:val="20"/>
        </w:rPr>
        <w:t>. Notwithstanding anything to the contrary set forth herein, any Restricted Stock Unit Award granted under the Plan that is not exempt from the requirements of Section 409A of the Code will contain such provisions so that such Restricted Stock Unit Award will comply with the requirements of Section 409A of the Code. Such restrictions, if any, will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Other Stock Awards</w:t>
      </w:r>
      <w:r>
        <w:rPr>
          <w:rFonts w:ascii="Times New Roman;Times;Serif" w:hAnsi="Times New Roman;Times;Serif"/>
          <w:b w:val="false"/>
          <w:i w:val="false"/>
          <w:caps w:val="false"/>
          <w:smallCaps w:val="false"/>
          <w:sz w:val="20"/>
        </w:rPr>
        <w:t>.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7.             </w:t>
      </w:r>
      <w:r>
        <w:rPr>
          <w:rFonts w:ascii="Times New Roman;Times;Serif" w:hAnsi="Times New Roman;Times;Serif"/>
          <w:b/>
          <w:i w:val="false"/>
          <w:caps w:val="false"/>
          <w:smallCaps w:val="false"/>
          <w:sz w:val="20"/>
        </w:rPr>
        <w:t>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Availability of Shares</w:t>
      </w:r>
      <w:r>
        <w:rPr>
          <w:rFonts w:ascii="Times New Roman;Times;Serif" w:hAnsi="Times New Roman;Times;Serif"/>
          <w:b w:val="false"/>
          <w:i w:val="false"/>
          <w:caps w:val="false"/>
          <w:smallCaps w:val="false"/>
          <w:sz w:val="20"/>
        </w:rPr>
        <w:t>. The Company will keep available at all times the number of shares of Common Stock reasonably required to satisfy then-outstanding Stock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Securities Law Compliance</w:t>
      </w:r>
      <w:r>
        <w:rPr>
          <w:rFonts w:ascii="Times New Roman;Times;Serif" w:hAnsi="Times New Roman;Times;Serif"/>
          <w:b w:val="false"/>
          <w:i w:val="false"/>
          <w:caps w:val="false"/>
          <w:smallCaps w:val="false"/>
          <w:sz w:val="20"/>
        </w:rPr>
        <w:t xml:space="preserve">. The Company will seek to obtain from each regulatory commission or agency having jurisdiction over the Plan such authority as may be required to grant Stock Awards and to issue and sell shares of Common Stock upon exercise of the Stock Awards;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No Obligation to Notify or Minimize Taxes</w:t>
      </w:r>
      <w:r>
        <w:rPr>
          <w:rFonts w:ascii="Times New Roman;Times;Serif" w:hAnsi="Times New Roman;Times;Serif"/>
          <w:b w:val="false"/>
          <w:i w:val="false"/>
          <w:caps w:val="false"/>
          <w:smallCaps w:val="false"/>
          <w:sz w:val="20"/>
        </w:rPr>
        <w:t>.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8.             </w:t>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Use of Proceeds from Sales of Common Stock</w:t>
      </w:r>
      <w:r>
        <w:rPr>
          <w:rFonts w:ascii="Times New Roman;Times;Serif" w:hAnsi="Times New Roman;Times;Serif"/>
          <w:b w:val="false"/>
          <w:i w:val="false"/>
          <w:caps w:val="false"/>
          <w:smallCaps w:val="false"/>
          <w:sz w:val="20"/>
        </w:rPr>
        <w:t>. Proceeds from the sale of shares of Common Stock pursuant to Stock Awards will constitute general funds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Corporate Action Constituting Grant of Stock Awards</w:t>
      </w:r>
      <w:r>
        <w:rPr>
          <w:rFonts w:ascii="Times New Roman;Times;Serif" w:hAnsi="Times New Roman;Times;Serif"/>
          <w:b w:val="false"/>
          <w:i w:val="false"/>
          <w:caps w:val="false"/>
          <w:smallCaps w:val="false"/>
          <w:sz w:val="20"/>
        </w:rPr>
        <w:t>. Corporate action constituting a grant by the Company of a Stock Award to 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Stockholder Rights</w:t>
      </w:r>
      <w:r>
        <w:rPr>
          <w:rFonts w:ascii="Times New Roman;Times;Serif" w:hAnsi="Times New Roman;Times;Serif"/>
          <w:b w:val="false"/>
          <w:i w:val="false"/>
          <w:caps w:val="false"/>
          <w:smallCaps w:val="false"/>
          <w:sz w:val="20"/>
        </w:rPr>
        <w:t>. No Participant will be deemed to be the holder of, or to have any of the rights of a holder with respect to, any shares of Common Stock subject to a Stock Award unless and until (i) such Participant has satisfied all requirements for exercise of, or the issuance of shares of Common Stock under, the Stock Award pursuant to its terms, and (ii) the issuance of the Common Stock subject to the Stock Award has been entered into the books and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i w:val="false"/>
          <w:caps w:val="false"/>
          <w:smallCaps w:val="false"/>
          <w:sz w:val="20"/>
        </w:rPr>
        <w:t>No Employment or Other Service Rights</w:t>
      </w:r>
      <w:r>
        <w:rPr>
          <w:rFonts w:ascii="Times New Roman;Times;Serif" w:hAnsi="Times New Roman;Times;Serif"/>
          <w:b w:val="false"/>
          <w:i w:val="false"/>
          <w:caps w:val="false"/>
          <w:smallCaps w:val="false"/>
          <w:sz w:val="20"/>
        </w:rPr>
        <w:t>. Nothing in the Plan, any Stock Award Agreement or any other instrument executed thereunder 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i w:val="false"/>
          <w:caps w:val="false"/>
          <w:smallCaps w:val="false"/>
          <w:sz w:val="20"/>
        </w:rPr>
        <w:t>Change in Time Commitment</w:t>
      </w:r>
      <w:r>
        <w:rPr>
          <w:rFonts w:ascii="Times New Roman;Times;Serif" w:hAnsi="Times New Roman;Times;Serif"/>
          <w:b w:val="false"/>
          <w:i w:val="false"/>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to (x) make a corresponding reduction in the number of shares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            </w:t>
      </w:r>
      <w:r>
        <w:rPr>
          <w:rFonts w:ascii="Times New Roman;Times;Serif" w:hAnsi="Times New Roman;Times;Serif"/>
          <w:b/>
          <w:i w:val="false"/>
          <w:caps w:val="false"/>
          <w:smallCaps w:val="false"/>
          <w:sz w:val="20"/>
        </w:rPr>
        <w:t>Incentive Stock Option Limitations</w:t>
      </w:r>
      <w:r>
        <w:rPr>
          <w:rFonts w:ascii="Times New Roman;Times;Serif" w:hAnsi="Times New Roman;Times;Serif"/>
          <w:b w:val="false"/>
          <w:i w:val="false"/>
          <w:caps w:val="false"/>
          <w:smallCaps w:val="false"/>
          <w:sz w:val="20"/>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(g)           </w:t>
      </w:r>
      <w:r>
        <w:rPr>
          <w:rFonts w:ascii="Times New Roman;Times;Serif" w:hAnsi="Times New Roman;Times;Serif"/>
          <w:b/>
          <w:i w:val="false"/>
          <w:caps w:val="false"/>
          <w:smallCaps w:val="false"/>
          <w:sz w:val="20"/>
        </w:rPr>
        <w:t>Investment Assurances</w:t>
      </w:r>
      <w:r>
        <w:rPr>
          <w:rFonts w:ascii="Times New Roman;Times;Serif" w:hAnsi="Times New Roman;Times;Serif"/>
          <w:b w:val="false"/>
          <w:i w:val="false"/>
          <w:caps w:val="false"/>
          <w:smallCaps w:val="false"/>
          <w:sz w:val="20"/>
        </w:rPr>
        <w:t>.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the 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(h)           </w:t>
      </w:r>
      <w:r>
        <w:rPr>
          <w:rFonts w:ascii="Times New Roman;Times;Serif" w:hAnsi="Times New Roman;Times;Serif"/>
          <w:b/>
          <w:i w:val="false"/>
          <w:caps w:val="false"/>
          <w:smallCaps w:val="false"/>
          <w:sz w:val="20"/>
        </w:rPr>
        <w:t>Withholding Obligations</w:t>
      </w:r>
      <w:r>
        <w:rPr>
          <w:rFonts w:ascii="Times New Roman;Times;Serif" w:hAnsi="Times New Roman;Times;Serif"/>
          <w:b w:val="false"/>
          <w:i w:val="false"/>
          <w:caps w:val="false"/>
          <w:smallCaps w:val="false"/>
          <w:sz w:val="20"/>
        </w:rPr>
        <w:t xml:space="preserve">. Unless prohibited by the terms of a Stock Award Agreement, the Company may, in its sole discretion, satisfy 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i w:val="false"/>
          <w:caps w:val="false"/>
          <w:smallCaps w:val="false"/>
          <w:sz w:val="20"/>
        </w:rPr>
        <w:t>Electronic Delivery</w:t>
      </w:r>
      <w:r>
        <w:rPr>
          <w:rFonts w:ascii="Times New Roman;Times;Serif" w:hAnsi="Times New Roman;Times;Serif"/>
          <w:b w:val="false"/>
          <w:i w:val="false"/>
          <w:caps w:val="false"/>
          <w:smallCaps w:val="false"/>
          <w:sz w:val="20"/>
        </w:rPr>
        <w:t>. Any reference herein to a “written” agreement or document will include any agreement or document delivered electronically or posted on the Company’s intranet (or other shared electronic medium controlled by the Company to which the Participant has access).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(j)            </w:t>
      </w:r>
      <w:r>
        <w:rPr>
          <w:rFonts w:ascii="Times New Roman;Times;Serif" w:hAnsi="Times New Roman;Times;Serif"/>
          <w:b/>
          <w:i w:val="false"/>
          <w:caps w:val="false"/>
          <w:smallCaps w:val="false"/>
          <w:sz w:val="20"/>
        </w:rPr>
        <w:t>Deferrals</w:t>
      </w:r>
      <w:r>
        <w:rPr>
          <w:rFonts w:ascii="Times New Roman;Times;Serif" w:hAnsi="Times New Roman;Times;Serif"/>
          <w:b w:val="false"/>
          <w:i w:val="false"/>
          <w:caps w:val="false"/>
          <w:smallCaps w:val="false"/>
          <w:sz w:val="20"/>
        </w:rPr>
        <w:t>. To the extent permitted by applicable law, the Board, in its sole discretion, may determine that the 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(k)          </w:t>
      </w:r>
      <w:r>
        <w:rPr>
          <w:rFonts w:ascii="Times New Roman;Times;Serif" w:hAnsi="Times New Roman;Times;Serif"/>
          <w:b/>
          <w:i w:val="false"/>
          <w:caps w:val="false"/>
          <w:smallCaps w:val="false"/>
          <w:sz w:val="20"/>
        </w:rPr>
        <w:t>Compliance with Section 409A of the Code</w:t>
      </w:r>
      <w:r>
        <w:rPr>
          <w:rFonts w:ascii="Times New Roman;Times;Serif" w:hAnsi="Times New Roman;Times;Serif"/>
          <w:b w:val="false"/>
          <w:i w:val="false"/>
          <w:caps w:val="false"/>
          <w:smallCaps w:val="false"/>
          <w:sz w:val="20"/>
        </w:rPr>
        <w:t>. To the extent that the Board determines that any Stock Award granted hereunder is subject to Section 409A of the Code, the Stock Award Agreement evidencing such Stock Award will incorporate the terms and conditions necessary to avoid the consequences specified in Section 409A(a)(1) of the Code. To the extent applicable, the Plan and Stock Award Agreements will be interpreted in accordance with Section 409A of the Code. Notwithstanding anything to the contrary in the Plan (and unless the Stock Award Agreement specifically provides otherwise), if the shares of Common Stock are publicly traded, and if a Participant holding a Stock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(l)           </w:t>
      </w:r>
      <w:r>
        <w:rPr>
          <w:rFonts w:ascii="Times New Roman;Times;Serif" w:hAnsi="Times New Roman;Times;Serif"/>
          <w:b/>
          <w:i w:val="false"/>
          <w:caps w:val="false"/>
          <w:smallCaps w:val="false"/>
          <w:sz w:val="20"/>
        </w:rPr>
        <w:t>Repurchase Limitation</w:t>
      </w:r>
      <w:r>
        <w:rPr>
          <w:rFonts w:ascii="Times New Roman;Times;Serif" w:hAnsi="Times New Roman;Times;Serif"/>
          <w:b w:val="false"/>
          <w:i w:val="false"/>
          <w:caps w:val="false"/>
          <w:smallCaps w:val="false"/>
          <w:sz w:val="20"/>
        </w:rPr>
        <w:t>. The terms of any repurchase right will be specified in the Stock Award Agreement. The repurchase price for vested shares of Common Stock will be the Fair Market Value of the shares of Common Stock on the date of repurchase. The repurchase price for unvested shares of Common Stock will be the lower of (i) the Fair Market Value of the shares of Common Stock on the date of repurchase or (ii) their original purchase price. However, the Company will not exercise its repurchase right until at least six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9.             </w:t>
      </w:r>
      <w:r>
        <w:rPr>
          <w:rFonts w:ascii="Times New Roman;Times;Serif" w:hAnsi="Times New Roman;Times;Serif"/>
          <w:b/>
          <w:i w:val="false"/>
          <w:caps w:val="false"/>
          <w:smallCaps w:val="false"/>
          <w:sz w:val="20"/>
        </w:rPr>
        <w:t>Adjustments upon Changes in Common Stock; Other Corporate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Capitalization Adjustments</w:t>
      </w:r>
      <w:r>
        <w:rPr>
          <w:rFonts w:ascii="Times New Roman;Times;Serif" w:hAnsi="Times New Roman;Times;Serif"/>
          <w:b w:val="false"/>
          <w:i w:val="false"/>
          <w:caps w:val="false"/>
          <w:smallCaps w:val="false"/>
          <w:sz w:val="20"/>
        </w:rPr>
        <w:t>. In the event of a Capitalization Adjustment, then: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will be proportionately adjusted and such adjustment shall occur automatically. To the extent such adjustments cannot occur automatically, the Board shall have the power to make determinations as it deems necessary and its determinations and any adjustments under this section will be final, binding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Dissolution or Liquidation</w:t>
      </w:r>
      <w:r>
        <w:rPr>
          <w:rFonts w:ascii="Times New Roman;Times;Serif" w:hAnsi="Times New Roman;Times;Serif"/>
          <w:b w:val="false"/>
          <w:i w:val="false"/>
          <w:caps w:val="false"/>
          <w:smallCaps w:val="false"/>
          <w:sz w:val="20"/>
        </w:rPr>
        <w:t xml:space="preserve">.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Corporate Transaction</w:t>
      </w:r>
      <w:r>
        <w:rPr>
          <w:rFonts w:ascii="Times New Roman;Times;Serif" w:hAnsi="Times New Roman;Times;Serif"/>
          <w:b w:val="false"/>
          <w:i w:val="false"/>
          <w:caps w:val="false"/>
          <w:smallCaps w:val="false"/>
          <w:sz w:val="20"/>
        </w:rPr>
        <w:t>. The following provisions will apply to Stock Awards in the event of a Corporate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may take one or more of the following actions with respect to Stock Awards, contingent upon the closing or completion of the Corporate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accelerate the vesting, in whole or in part, of the Stock Award (and, if applicable, the time at which the Stock Award may be exercised) to a date prior to the effective time of such Corporate Transaction as the Board determines (or, if the Board does not determine such a date, to the date that is five days prior to the effective date of the Corporate Transaction), with such Stock Award terminating if not exercised (if applicable) at or prior to the effective time of the Corporate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may require Participants to complete and deliver to the Company a notice of exercise before the effective date of a Corporate Transaction, which exercise is contingent upon the effectiveness of such Corporate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val="false"/>
          <w:i w:val="false"/>
          <w:caps w:val="false"/>
          <w:smallCaps w:val="false"/>
          <w:sz w:val="20"/>
        </w:rPr>
        <w:t>arrange for the lapse, in whole or in part, of any reacquisition or repurchase rights held by the Company with respect to the Stock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val="false"/>
          <w:i w:val="false"/>
          <w:caps w:val="false"/>
          <w:smallCaps w:val="false"/>
          <w:sz w:val="20"/>
        </w:rPr>
        <w:t>cancel or arrange for the cancellation of the Stock Award, to the extent not vested or not exercised prior to the effective time of the Corporate Transaction, in exchange for such cash consideration (including no consideration) as the Board, in its sole discretion, may consider appropriate;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(vi)            </w:t>
      </w:r>
      <w:r>
        <w:rPr>
          <w:rFonts w:ascii="Times New Roman;Times;Serif" w:hAnsi="Times New Roman;Times;Serif"/>
          <w:b w:val="false"/>
          <w:i w:val="false"/>
          <w:caps w:val="false"/>
          <w:smallCaps w:val="false"/>
          <w:sz w:val="20"/>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Corporate Transaction is delayed as a result of escrows, earn outs, holdbacks or any other contingencies.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need not take the same action or actions with respect to all Stock Awards or portions thereof or with respect to all Participants. The Board may take different actions with respect to the vested and unvested portions of a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10.          </w:t>
      </w:r>
      <w:r>
        <w:rPr>
          <w:rFonts w:ascii="Times New Roman;Times;Serif" w:hAnsi="Times New Roman;Times;Serif"/>
          <w:b/>
          <w:i w:val="false"/>
          <w:caps w:val="false"/>
          <w:smallCaps w:val="false"/>
          <w:sz w:val="20"/>
        </w:rPr>
        <w:t>Plan Term; Earlier Termination or Suspension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Plan Term</w:t>
      </w:r>
      <w:r>
        <w:rPr>
          <w:rFonts w:ascii="Times New Roman;Times;Serif" w:hAnsi="Times New Roman;Times;Serif"/>
          <w:b w:val="false"/>
          <w:i w:val="false"/>
          <w:caps w:val="false"/>
          <w:smallCaps w:val="false"/>
          <w:sz w:val="20"/>
        </w:rPr>
        <w:t>. The Board may suspend or terminate the Plan at any time. Unless terminated sooner by the Board, the Plan will automatically terminate on the day before the 10th anniversary of the earlier of (i) the date the Plan is adopted by the Board, or (ii) the date the Plan is approved by the stockholders of the Company. No Stock Awards may be granted under the Plan while the Plan is suspended or after it is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No Impairment of Rights</w:t>
      </w:r>
      <w:r>
        <w:rPr>
          <w:rFonts w:ascii="Times New Roman;Times;Serif" w:hAnsi="Times New Roman;Times;Serif"/>
          <w:b w:val="false"/>
          <w:i w:val="false"/>
          <w:caps w:val="false"/>
          <w:smallCaps w:val="false"/>
          <w:sz w:val="20"/>
        </w:rPr>
        <w:t>. Suspension or termination of the Plan will not impair rights and obligations under any Stock Award granted while the Plan is in effect except with the written consent of the affected Participant or as otherwise permitted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11.          </w:t>
      </w:r>
      <w:r>
        <w:rPr>
          <w:rFonts w:ascii="Times New Roman;Times;Serif" w:hAnsi="Times New Roman;Times;Serif"/>
          <w:b/>
          <w:i w:val="false"/>
          <w:caps w:val="false"/>
          <w:smallCaps w:val="false"/>
          <w:sz w:val="20"/>
        </w:rPr>
        <w:t>Effective Date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will become effective on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12.          </w:t>
      </w:r>
      <w:r>
        <w:rPr>
          <w:rFonts w:ascii="Times New Roman;Times;Serif" w:hAnsi="Times New Roman;Times;Serif"/>
          <w:b/>
          <w:i w:val="false"/>
          <w:caps w:val="false"/>
          <w:smallCaps w:val="false"/>
          <w:sz w:val="20"/>
        </w:rPr>
        <w:t>Choice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Delaware will govern all questions concerning the construction, validity and interpretation of this Plan, without regard to that state’s conflict of laws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color w:val="010000"/>
          <w:sz w:val="20"/>
        </w:rPr>
        <w:t xml:space="preserve">13.          </w:t>
      </w: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As used in the Plan (or as otherwise used in connection with an Award, or as otherwise may be defined in the applicable Stock Award Agreement), the following definitions will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“majority-owned subsidiary” of the Company, as such terms are defined in Rule 405. The Board will have the authority to determine the time or times at which “parent” or “majority-owned subsidiary” status is determined within the foregoing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val="false"/>
          <w:i/>
          <w:caps w:val="false"/>
          <w:smallCaps w:val="false"/>
          <w:sz w:val="20"/>
        </w:rPr>
        <w:t>Subject Person</w:t>
      </w:r>
      <w:r>
        <w:rPr>
          <w:rFonts w:ascii="Times New Roman;Times;Serif" w:hAnsi="Times New Roman;Times;Serif"/>
          <w:b w:val="false"/>
          <w:i w:val="false"/>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definition or any other provision of this Plan, (A) the term Change in Control will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will supersede the foregoing definition with respect to Stock Awards subject to such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no definition of Change in Control or any analogous term is set forth in such an individual written agreement, the definition set forth herein will apply, and (C) if at any time the Company’s Certificate of Incorporation provides definitions of various analogous transactions that would be deemed a liquidation event for the Company, then such definition will apply as if it were the definition set forth herein except as is otherwise expressly provided in an individual written agreement between the Company or any Affiliate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including any applicable regulations and guidance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a committee of one or more Directors to whom authority has been delegated by the Board in accordance with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Claros,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Continuous Service</w:t>
      </w:r>
      <w:r>
        <w:rPr>
          <w:rFonts w:ascii="Times New Roman;Times;Serif" w:hAnsi="Times New Roman;Times;Serif"/>
          <w:b w:val="false"/>
          <w:i w:val="false"/>
          <w:caps w:val="false"/>
          <w:smallCaps w:val="false"/>
          <w:sz w:val="20"/>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              </w:t>
      </w:r>
      <w:r>
        <w:rPr>
          <w:rFonts w:ascii="Times New Roman;Times;Serif" w:hAnsi="Times New Roman;Times;Serif"/>
          <w:b w:val="false"/>
          <w:i w:val="false"/>
          <w:caps w:val="false"/>
          <w:smallCaps w:val="false"/>
          <w:sz w:val="20"/>
        </w:rPr>
        <w:t>a sale or other disposition of all or substantially all, as determined by the Board in its sole discretion, of the consolidated assets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a sale or other disposition of more than 50% of the outstanding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(iii)           </w:t>
      </w:r>
      <w:r>
        <w:rPr>
          <w:rFonts w:ascii="Times New Roman;Times;Serif" w:hAnsi="Times New Roman;Times;Serif"/>
          <w:b w:val="false"/>
          <w:i w:val="false"/>
          <w:caps w:val="false"/>
          <w:smallCaps w:val="false"/>
          <w:sz w:val="20"/>
        </w:rPr>
        <w:t>a merger, consolidation or similar transaction following which the Company is not the surviving corporation;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(iv)            </w:t>
      </w:r>
      <w:r>
        <w:rPr>
          <w:rFonts w:ascii="Times New Roman;Times;Serif" w:hAnsi="Times New Roman;Times;Serif"/>
          <w:b w:val="false"/>
          <w:i w:val="false"/>
          <w:caps w:val="false"/>
          <w:smallCaps w:val="false"/>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effective date of this Plan, which is the earlier of (i) the date that this Plan is first approved by the Company’s stockholders, and (ii) the date this Plan is adopted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means a corporation, partnership, limited liability company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 Person</w:t>
      </w:r>
      <w:r>
        <w:rPr>
          <w:rFonts w:ascii="Times New Roman;Times;Serif" w:hAnsi="Times New Roman;Times;Serif"/>
          <w:b w:val="false"/>
          <w:i w:val="false"/>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the Common Stock determined by the Board in compliance with Section 409A of the Code or, in the case of an Incentive Stock Option, in compliance with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Good Reason</w:t>
      </w:r>
      <w:r>
        <w:rPr>
          <w:rFonts w:ascii="Times New Roman;Times;Serif" w:hAnsi="Times New Roman;Times;Serif"/>
          <w:b w:val="false"/>
          <w:i w:val="false"/>
          <w:caps w:val="false"/>
          <w:smallCaps w:val="false"/>
          <w:sz w:val="20"/>
        </w:rPr>
        <w:t>” will have the meaning ascribed to such term in any written agreement between the Participant and the Company defining such term and, in the absence of such agreement, such term means, with respect to a Participant, a material and unreasonable diminution of such Participant’s duties (as determined by the Board in its sole discretion) without such Participant’s consent; provided, however, that the following shall not constitute Good Reason: (i) a change of title; (ii) a reduction in such Participant’s duties by virtue of the Company undergoing a Change in Control and/or being made part of a larger entity or group of entities; and/or (iii) cessation of such Participant’s service, if any, on the Board or a committee thereof. For such Participant to receive the benefits under the applicable written agreement between such Participant and the Company as a result of a voluntary resignation for Good Reason, unless otherwise provided in such agreement, all of the following requirements must be satisfied: (A) such Participant must provide notice to the Company of such Participant’s intent to assert Good Reason within thirty (30) days of the initial existence of the condition set forth in the previous sentence; (B) the Company will have thirty (30) days (the “</w:t>
      </w:r>
      <w:r>
        <w:rPr>
          <w:rFonts w:ascii="Times New Roman;Times;Serif" w:hAnsi="Times New Roman;Times;Serif"/>
          <w:b/>
          <w:i/>
          <w:caps w:val="false"/>
          <w:smallCaps w:val="false"/>
          <w:sz w:val="20"/>
        </w:rPr>
        <w:t>Company Cure Period</w:t>
      </w:r>
      <w:r>
        <w:rPr>
          <w:rFonts w:ascii="Times New Roman;Times;Serif" w:hAnsi="Times New Roman;Times;Serif"/>
          <w:b w:val="false"/>
          <w:i w:val="false"/>
          <w:caps w:val="false"/>
          <w:smallCaps w:val="false"/>
          <w:sz w:val="20"/>
        </w:rPr>
        <w:t>”) from the date of such notice to remedy the condition and, if it does so, such Participant may withdraw such Participant’s resignation or such Participant may resign with no benefits under the applicable written agreement; and (C) any termination of such Participant’s Continuous Service under this provision must occur within ten (10) days of the earlier of expiration of the Company Cure Period or written notice from the Company that it will not undertake to cure the applicable condition. Unless otherwise set forth in the applicable written agreement, should the Company remedy the condition as set forth above and then such condition arises again, such Participant may assert Good Reason again subject to all of the conditions set forth herein. Unless otherwise set forth in the applicable written agreement, the term “Company” for purposes of “Good Reason” will be interpreted to include any Affiliate of the Company to which such Participant provides services, if appropriate, as determined by the Board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granted pursuant to Section 5 of the Plan that is intended to be, and that qualifies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 option granted pursuant to Section 5 of the Plan that does not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any person designated by the Company as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agreement between the Company and an Optionholder evidencing the terms and conditions of an Option grant. Each Option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Stock Award</w:t>
      </w:r>
      <w:r>
        <w:rPr>
          <w:rFonts w:ascii="Times New Roman;Times;Serif" w:hAnsi="Times New Roman;Times;Serif"/>
          <w:b w:val="false"/>
          <w:i w:val="false"/>
          <w:caps w:val="false"/>
          <w:smallCaps w:val="false"/>
          <w:sz w:val="20"/>
        </w:rPr>
        <w:t>” means an award based in whole or in part by reference to the Common Stock which is granted pursuant to the terms and conditions of Section 6(c).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Stock Award Agreement</w:t>
      </w:r>
      <w:r>
        <w:rPr>
          <w:rFonts w:ascii="Times New Roman;Times;Serif" w:hAnsi="Times New Roman;Times;Serif"/>
          <w:b w:val="false"/>
          <w:i w:val="false"/>
          <w:caps w:val="false"/>
          <w:smallCaps w:val="false"/>
          <w:sz w:val="20"/>
        </w:rPr>
        <w:t>” 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Own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Ownership</w:t>
      </w:r>
      <w:r>
        <w:rPr>
          <w:rFonts w:ascii="Times New Roman;Times;Serif" w:hAnsi="Times New Roman;Times;Serif"/>
          <w:b w:val="false"/>
          <w:i w:val="false"/>
          <w:caps w:val="false"/>
          <w:smallCaps w:val="false"/>
          <w:sz w:val="20"/>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 person to whom a Stock Award is granted pursuant to the Plan or, if applicable, such other person who holds an outstanding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2024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w:t>
      </w:r>
      <w:r>
        <w:rPr>
          <w:rFonts w:ascii="Times New Roman;Times;Serif" w:hAnsi="Times New Roman;Times;Serif"/>
          <w:b w:val="false"/>
          <w:i w:val="false"/>
          <w:caps w:val="false"/>
          <w:smallCaps w:val="false"/>
          <w:sz w:val="20"/>
        </w:rPr>
        <w:t>” means an award of shares of Common Stock which is granted pursuant to the terms and conditions of Section 6(a).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 Agreement</w:t>
      </w:r>
      <w:r>
        <w:rPr>
          <w:rFonts w:ascii="Times New Roman;Times;Serif" w:hAnsi="Times New Roman;Times;Serif"/>
          <w:b w:val="false"/>
          <w:i w:val="false"/>
          <w:caps w:val="false"/>
          <w:smallCaps w:val="false"/>
          <w:sz w:val="20"/>
        </w:rPr>
        <w:t>” 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Unit Award</w:t>
      </w:r>
      <w:r>
        <w:rPr>
          <w:rFonts w:ascii="Times New Roman;Times;Serif" w:hAnsi="Times New Roman;Times;Serif"/>
          <w:b w:val="false"/>
          <w:i w:val="false"/>
          <w:caps w:val="false"/>
          <w:smallCaps w:val="false"/>
          <w:sz w:val="20"/>
        </w:rPr>
        <w:t>” means a right to receive shares of Common Stock which is granted pursuant to the terms and conditions of Section 6(b).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(jj)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Unit Award Agreement</w:t>
      </w:r>
      <w:r>
        <w:rPr>
          <w:rFonts w:ascii="Times New Roman;Times;Serif" w:hAnsi="Times New Roman;Times;Serif"/>
          <w:b w:val="false"/>
          <w:i w:val="false"/>
          <w:caps w:val="false"/>
          <w:smallCaps w:val="false"/>
          <w:sz w:val="20"/>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405</w:t>
      </w:r>
      <w:r>
        <w:rPr>
          <w:rFonts w:ascii="Times New Roman;Times;Serif" w:hAnsi="Times New Roman;Times;Serif"/>
          <w:b w:val="false"/>
          <w:i w:val="false"/>
          <w:caps w:val="false"/>
          <w:smallCaps w:val="false"/>
          <w:sz w:val="20"/>
        </w:rPr>
        <w:t>” means Rule 405 promulgated under the Securities Act. (ll)”</w:t>
      </w:r>
      <w:r>
        <w:rPr>
          <w:rFonts w:ascii="Times New Roman;Times;Serif" w:hAnsi="Times New Roman;Times;Serif"/>
          <w:b w:val="false"/>
          <w:i/>
          <w:caps w:val="false"/>
          <w:smallCaps w:val="false"/>
          <w:sz w:val="20"/>
        </w:rPr>
        <w:t>Rule 701</w:t>
      </w:r>
      <w:r>
        <w:rPr>
          <w:rFonts w:ascii="Times New Roman;Times;Serif" w:hAnsi="Times New Roman;Times;Serif"/>
          <w:b w:val="false"/>
          <w:i w:val="false"/>
          <w:caps w:val="false"/>
          <w:smallCaps w:val="false"/>
          <w:sz w:val="20"/>
        </w:rPr>
        <w:t>” means Rule 701 promulgated under the Securities Act. (mm)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SAR</w:t>
      </w:r>
      <w:r>
        <w:rPr>
          <w:rFonts w:ascii="Times New Roman;Times;Serif" w:hAnsi="Times New Roman;Times;Serif"/>
          <w:b w:val="false"/>
          <w:i w:val="false"/>
          <w:caps w:val="false"/>
          <w:smallCaps w:val="false"/>
          <w:sz w:val="20"/>
        </w:rPr>
        <w:t>” means a right to receive the appreciation on Common Stock that is granted pursuant to the terms and conditions of Section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Appreciation Right Agreement</w:t>
      </w:r>
      <w:r>
        <w:rPr>
          <w:rFonts w:ascii="Times New Roman;Times;Serif" w:hAnsi="Times New Roman;Times;Serif"/>
          <w:b w:val="false"/>
          <w:i w:val="false"/>
          <w:caps w:val="false"/>
          <w:smallCaps w:val="false"/>
          <w:sz w:val="20"/>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Award</w:t>
      </w:r>
      <w:r>
        <w:rPr>
          <w:rFonts w:ascii="Times New Roman;Times;Serif" w:hAnsi="Times New Roman;Times;Serif"/>
          <w:b w:val="false"/>
          <w:i w:val="false"/>
          <w:caps w:val="false"/>
          <w:smallCaps w:val="false"/>
          <w:sz w:val="20"/>
        </w:rPr>
        <w:t>” means any right to receive Common Stock granted under the Plan, including an Incentive Stock Option, a Nonstatutory Stock Option, a Restricted Stock Award, a Restricted Stock Unit Award, a Stock Appreciation Right or any Other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(oo)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Award Agreement</w:t>
      </w:r>
      <w:r>
        <w:rPr>
          <w:rFonts w:ascii="Times New Roman;Times;Serif" w:hAnsi="Times New Roman;Times;Serif"/>
          <w:b w:val="false"/>
          <w:i w:val="false"/>
          <w:caps w:val="false"/>
          <w:smallCaps w:val="false"/>
          <w:sz w:val="20"/>
        </w:rPr>
        <w:t>” means a written agreement between the Company and a Participant evidencing the terms and conditions of a Stock Award grant. Each Stock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(pp)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(qq)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1" w:name="tm2626897d1_ex99-2.htm"/>
      <w:bookmarkStart w:id="12" w:name="kstm2626897d1_ex992"/>
      <w:bookmarkEnd w:id="11"/>
      <w:bookmarkEnd w:id="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CLAROS, INC.</w:t>
      </w:r>
      <w:r>
        <w:rPr>
          <w:rFonts w:ascii="Times New Roman;Times;Serif" w:hAnsi="Times New Roman;Times;Serif"/>
          <w:b w:val="false"/>
          <w:i w:val="false"/>
          <w:caps w:val="false"/>
          <w:smallCaps w:val="false"/>
          <w:sz w:val="20"/>
        </w:rPr>
        <w:t>, a corporation organized under the laws of the State of Delaware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previously established the Company’s 2024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currently provides for 6,499,800 shares of the Company’s Common Stock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to be reserved for issuance under the Plan;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now wishes to amend the Plan to increase the number of shares of Common Stock reserved under the Plan and to modify Section 3(a)(i)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effective immediately, the Plan is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reference in Section 3(a)(i) to “6,499,800” is amended to reference “6,813,060.”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all other respects the Plan remains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Amendment to be executed as of October 31, 2025.</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CLAROS, INC.</w:t>
            </w:r>
          </w:p>
        </w:tc>
      </w:tr>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Denpol Kultran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Denpol Kultran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AMENDMENT TO 2024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3" w:name="tm2626897d1_ex99-3.htm"/>
      <w:bookmarkStart w:id="14" w:name="kstm2626897d1_ex993"/>
      <w:bookmarkEnd w:id="13"/>
      <w:bookmarkEnd w:id="1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 NOTICE</w:t>
        <w:br/>
        <w:t>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2024 Equity Incentive Plan (as amended and/or restated as of the Date of Grant set forth below,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has granted to Optionholder an option to purchase the number of shares of the Common Stock set forth below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The Option is subject to all of the terms and conditions as set forth in this Stock Option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and in the Plan, the Option Agreement, and the Notice of Exercise, all of which are attached to this Grant Notice and incorporated into this Grant Notice in their entirety. Capitalized terms not explicitly defined in this Grant Notice but defined in the Plan or the Option Agreement shall have the meanings set forth in the Plan or the Option Agreement, as applicable. If the Company uses an electronic capitalization table system (such as Carta or Shareworks) and the fields below are blank or the information is otherwise provided in a different format electronically, the blank fields and other information (such as exercise schedule and type of grant) shall be deemed to come from the electronic capitalization system and is considered part of this Grant Notice.</w:t>
      </w:r>
    </w:p>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3545"/>
        <w:gridCol w:w="5240"/>
      </w:tblGrid>
      <w:tr>
        <w:trPr/>
        <w:tc>
          <w:tcPr>
            <w:tcW w:w="3545" w:type="dxa"/>
            <w:tcBorders/>
            <w:vAlign w:val="center"/>
          </w:tcPr>
          <w:p>
            <w:pPr>
              <w:pStyle w:val="TableContents"/>
              <w:bidi w:val="0"/>
              <w:spacing w:before="0" w:after="283"/>
              <w:jc w:val="left"/>
              <w:rPr/>
            </w:pPr>
            <w:r>
              <w:rPr/>
              <w:t>Optionholder:</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Date of Grant:</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Vesting Commencement Date:</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Number of Shares Subject to Option:</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Exercise Price (Per Share)</w:t>
            </w:r>
            <w:r>
              <w:rPr>
                <w:rFonts w:ascii="Times New Roman;Times;Serif" w:hAnsi="Times New Roman;Times;Serif"/>
                <w:position w:val="7"/>
                <w:sz w:val="16"/>
                <w:sz w:val="20"/>
              </w:rPr>
              <w:t>1</w:t>
            </w:r>
            <w:r>
              <w:rPr/>
              <w:t>:</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Total Exercise Price:</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Expiration Date:</w:t>
            </w:r>
          </w:p>
        </w:tc>
        <w:tc>
          <w:tcPr>
            <w:tcW w:w="524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Exercise Schedule:</w:t>
            </w:r>
          </w:p>
        </w:tc>
        <w:tc>
          <w:tcPr>
            <w:tcW w:w="5240" w:type="dxa"/>
            <w:tcBorders/>
            <w:vAlign w:val="center"/>
          </w:tcPr>
          <w:p>
            <w:pPr>
              <w:pStyle w:val="TableContents"/>
              <w:bidi w:val="0"/>
              <w:spacing w:before="0" w:after="283"/>
              <w:jc w:val="left"/>
              <w:rPr>
                <w:u w:val="single"/>
              </w:rPr>
            </w:pPr>
            <w:r>
              <w:rPr>
                <w:u w:val="single"/>
              </w:rPr>
              <w:t>[Same as Vesting Schedule] [Early Exercise Permitted]</w:t>
            </w:r>
          </w:p>
        </w:tc>
      </w:tr>
      <w:tr>
        <w:trPr/>
        <w:tc>
          <w:tcPr>
            <w:tcW w:w="3545" w:type="dxa"/>
            <w:tcBorders/>
            <w:vAlign w:val="center"/>
          </w:tcPr>
          <w:p>
            <w:pPr>
              <w:pStyle w:val="TableContents"/>
              <w:bidi w:val="0"/>
              <w:spacing w:before="0" w:after="283"/>
              <w:jc w:val="left"/>
              <w:rPr/>
            </w:pPr>
            <w:r>
              <w:rPr/>
              <w:t>Type of Grant</w:t>
            </w:r>
            <w:r>
              <w:rPr>
                <w:position w:val="8"/>
                <w:sz w:val="19"/>
              </w:rPr>
              <w:t>22</w:t>
            </w:r>
            <w:r>
              <w:rPr/>
              <w:t>:</w:t>
            </w:r>
          </w:p>
        </w:tc>
        <w:tc>
          <w:tcPr>
            <w:tcW w:w="5240" w:type="dxa"/>
            <w:tcBorders/>
            <w:vAlign w:val="center"/>
          </w:tcPr>
          <w:p>
            <w:pPr>
              <w:pStyle w:val="TableContents"/>
              <w:bidi w:val="0"/>
              <w:spacing w:before="0" w:after="283"/>
              <w:jc w:val="left"/>
              <w:rPr>
                <w:u w:val="single"/>
              </w:rPr>
            </w:pPr>
            <w:r>
              <w:rPr>
                <w:u w:val="single"/>
              </w:rPr>
              <w:t>[Incentive Stock Option] [Nonstatutory Stock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Vesting Schedule: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Sample of standard vesting. </w:t>
      </w:r>
      <w:r>
        <w:rPr>
          <w:rFonts w:ascii="Times New Roman;Times;Serif" w:hAnsi="Times New Roman;Times;Serif"/>
          <w:b w:val="false"/>
          <w:i w:val="false"/>
          <w:caps w:val="false"/>
          <w:smallCaps w:val="false"/>
          <w:sz w:val="20"/>
        </w:rPr>
        <w:t>12/48ths of the total shares will vest on the one-year anniversary of the Vesting Commencement Date, and 1/48th of the total shares will vest each month thereafter on the same day of the month as the Vesting Commencement Date (or if there is no corresponding day, on the last day of the month), subject to Optionholder’s Continuous Service as of each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exercise price may be paid by one or a combination of the methods permitted in the Option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If this is an Incentive Stock Option, it (plus other outstanding Incentive Stock Options) cannot be first exercisable for more than $100,000 in value (measured by exercise price) in any calendar year. Any excess over $100,000 is a Nonstatutory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Optionholder Acknowledgements: </w:t>
      </w:r>
      <w:r>
        <w:rPr>
          <w:rFonts w:ascii="Times New Roman;Times;Serif" w:hAnsi="Times New Roman;Times;Serif"/>
          <w:b w:val="false"/>
          <w:i w:val="false"/>
          <w:caps w:val="false"/>
          <w:smallCaps w:val="false"/>
          <w:sz w:val="20"/>
        </w:rPr>
        <w:t>By Optionholder’s signature below or by electronic acceptance or authentication in a form authorized by the Company, Optionholder understands and agrees that the Option is governed by this Stock Option Grant Notice, and the provisions of the Plan and the Option Agreement and the Notice of Exercise, all of which are made a part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except in writing signed by Optionholder and a duly authorized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220"/>
        <w:gridCol w:w="60"/>
        <w:gridCol w:w="1475"/>
      </w:tblGrid>
      <w:tr>
        <w:trPr/>
        <w:tc>
          <w:tcPr>
            <w:tcW w:w="1220" w:type="dxa"/>
            <w:tcBorders/>
            <w:vAlign w:val="center"/>
          </w:tcPr>
          <w:p>
            <w:pPr>
              <w:pStyle w:val="TableContents"/>
              <w:bidi w:val="0"/>
              <w:spacing w:before="0" w:after="283"/>
              <w:jc w:val="left"/>
              <w:rPr>
                <w:b/>
              </w:rPr>
            </w:pPr>
            <w:r>
              <w:rPr>
                <w:b/>
              </w:rPr>
              <w:t>Claros, Inc.</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b/>
              </w:rPr>
            </w:pPr>
            <w:r>
              <w:rPr>
                <w:b/>
              </w:rPr>
              <w:t>Optionholder:</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By:</w:t>
            </w:r>
          </w:p>
        </w:tc>
      </w:tr>
      <w:tr>
        <w:trPr/>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(Signature)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(Signature)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Email:</w:t>
            </w:r>
          </w:p>
        </w:tc>
      </w:tr>
      <w:tr>
        <w:trPr/>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Date:  </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Date:  </w:t>
            </w:r>
          </w:p>
        </w:tc>
      </w:tr>
      <w:tr>
        <w:trPr/>
        <w:tc>
          <w:tcPr>
            <w:tcW w:w="12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Attachments</w:t>
      </w:r>
      <w:r>
        <w:rPr>
          <w:rFonts w:ascii="Times New Roman;Times;Serif" w:hAnsi="Times New Roman;Times;Serif"/>
          <w:b w:val="false"/>
          <w:i w:val="false"/>
          <w:caps w:val="false"/>
          <w:smallCaps w:val="false"/>
          <w:sz w:val="20"/>
        </w:rPr>
        <w:t>: Option Agreement, Equity Incentive Plan and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w:t>
        <w:br/>
        <w:t>(INCENTIVE STOCK OPTION OR NONSTATUTORY STOCK OPTION)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your Stock Option Grant Notice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xml:space="preserve">”) and this Option Agreement, </w:t>
      </w:r>
      <w:r>
        <w:rPr>
          <w:rFonts w:ascii="Times New Roman;Times;Serif" w:hAnsi="Times New Roman;Times;Serif"/>
          <w:b/>
          <w:i w:val="false"/>
          <w:caps w:val="false"/>
          <w:smallCaps w:val="false"/>
          <w:sz w:val="20"/>
        </w:rPr>
        <w:t xml:space="preserve">Claros, Inc.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you an option under its 2024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Times;Serif" w:hAnsi="Times New Roman;Times;Serif"/>
          <w:b/>
          <w:i/>
          <w:caps w:val="false"/>
          <w:smallCaps w:val="false"/>
          <w:sz w:val="20"/>
        </w:rPr>
        <w:t>Date of Grant</w:t>
      </w:r>
      <w:r>
        <w:rPr>
          <w:rFonts w:ascii="Times New Roman;Times;Serif" w:hAnsi="Times New Roman;Times;Serif"/>
          <w:b w:val="false"/>
          <w:i w:val="false"/>
          <w:caps w:val="false"/>
          <w:smallCaps w:val="false"/>
          <w:sz w:val="20"/>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details of your option, in addition to those set forth in the Grant Notice and the Plan,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             </w:t>
      </w:r>
      <w:r>
        <w:rPr>
          <w:rFonts w:ascii="Times New Roman;Times;Serif" w:hAnsi="Times New Roman;Times;Serif"/>
          <w:b/>
          <w:i w:val="false"/>
          <w:caps w:val="false"/>
          <w:smallCaps w:val="false"/>
          <w:sz w:val="20"/>
        </w:rPr>
        <w:t>Vesting</w:t>
      </w:r>
      <w:r>
        <w:rPr>
          <w:rFonts w:ascii="Times New Roman;Times;Serif" w:hAnsi="Times New Roman;Times;Serif"/>
          <w:b w:val="false"/>
          <w:i w:val="false"/>
          <w:caps w:val="false"/>
          <w:smallCaps w:val="false"/>
          <w:sz w:val="20"/>
        </w:rPr>
        <w:t>. Your option will vest as provided in your Grant Notice. Vesting will cease upon the termination of your Continuous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2.            </w:t>
      </w:r>
      <w:r>
        <w:rPr>
          <w:rFonts w:ascii="Times New Roman;Times;Serif" w:hAnsi="Times New Roman;Times;Serif"/>
          <w:b/>
          <w:i w:val="false"/>
          <w:caps w:val="false"/>
          <w:smallCaps w:val="false"/>
          <w:sz w:val="20"/>
        </w:rPr>
        <w:t>Number of Shares and Exercise Price</w:t>
      </w:r>
      <w:r>
        <w:rPr>
          <w:rFonts w:ascii="Times New Roman;Times;Serif" w:hAnsi="Times New Roman;Times;Serif"/>
          <w:b w:val="false"/>
          <w:i w:val="false"/>
          <w:caps w:val="false"/>
          <w:smallCaps w:val="false"/>
          <w:sz w:val="20"/>
        </w:rPr>
        <w:t>. The number of shares of Common Stock subject to your option and your exercise price per share in your Grant Notice will be adjusted for Capitalization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3.            </w:t>
      </w:r>
      <w:r>
        <w:rPr>
          <w:rFonts w:ascii="Times New Roman;Times;Serif" w:hAnsi="Times New Roman;Times;Serif"/>
          <w:b/>
          <w:i w:val="false"/>
          <w:caps w:val="false"/>
          <w:smallCaps w:val="false"/>
          <w:sz w:val="20"/>
        </w:rPr>
        <w:t>Exercise Restriction for Non-Exempt Employees</w:t>
      </w:r>
      <w:r>
        <w:rPr>
          <w:rFonts w:ascii="Times New Roman;Times;Serif" w:hAnsi="Times New Roman;Times;Serif"/>
          <w:b w:val="false"/>
          <w:i w:val="false"/>
          <w:caps w:val="false"/>
          <w:smallCaps w:val="false"/>
          <w:sz w:val="20"/>
        </w:rPr>
        <w:t>. If you are an Employee eligible for overtime compensation under the Fair Labor Standards Act of 1938, as amended (that is, a “</w:t>
      </w:r>
      <w:r>
        <w:rPr>
          <w:rFonts w:ascii="Times New Roman;Times;Serif" w:hAnsi="Times New Roman;Times;Serif"/>
          <w:b/>
          <w:i/>
          <w:caps w:val="false"/>
          <w:smallCaps w:val="false"/>
          <w:sz w:val="20"/>
        </w:rPr>
        <w:t>Non-Exempt Employee</w:t>
      </w:r>
      <w:r>
        <w:rPr>
          <w:rFonts w:ascii="Times New Roman;Times;Serif" w:hAnsi="Times New Roman;Times;Serif"/>
          <w:b w:val="false"/>
          <w:i w:val="false"/>
          <w:caps w:val="false"/>
          <w:smallCaps w:val="false"/>
          <w:sz w:val="20"/>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4.             </w:t>
      </w:r>
      <w:r>
        <w:rPr>
          <w:rFonts w:ascii="Times New Roman;Times;Serif" w:hAnsi="Times New Roman;Times;Serif"/>
          <w:b/>
          <w:i w:val="false"/>
          <w:caps w:val="false"/>
          <w:smallCaps w:val="false"/>
          <w:sz w:val="20"/>
        </w:rPr>
        <w:t>Exercise prior to Vesting (“Early Exercise”)</w:t>
      </w:r>
      <w:r>
        <w:rPr>
          <w:rFonts w:ascii="Times New Roman;Times;Serif" w:hAnsi="Times New Roman;Times;Serif"/>
          <w:b w:val="false"/>
          <w:i w:val="false"/>
          <w:caps w:val="false"/>
          <w:smallCaps w:val="false"/>
          <w:sz w:val="20"/>
        </w:rPr>
        <w:t>. If permitted in your Grant Notice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“Exercise 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a partial exercise of your option will be deemed to cover first vested shares of Common Stock and then the earliest vesting installment of unvested shares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any shares of Common Stock so purchased from installments that have not vested as of the date of exercise will be subject to the purchase option in favor of the Company as described in the Company’s form of Early Exercise Stock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you will enter into the Company’s form of Early Exercise Stock Purchase Agreement with a vesting schedule that will result in the same vesting as if no early exercise had occurred;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5.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You must pay the full amount of the exercise price for the shares you wish to exercise. The permitted methods of payment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by cash, check, bank draft, electronic funds transfer or money order payable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val="false"/>
          <w:i w:val="false"/>
          <w:caps w:val="false"/>
          <w:smallCaps w:val="false"/>
          <w:sz w:val="20"/>
        </w:rPr>
        <w:t xml:space="preserve">subject to the consent of the Company and/or Board at the time of exercise, according to a deferred payment or similar arrangement with you;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             </w:t>
      </w:r>
      <w:r>
        <w:rPr>
          <w:rFonts w:ascii="Times New Roman;Times;Serif" w:hAnsi="Times New Roman;Times;Serif"/>
          <w:b w:val="false"/>
          <w:i w:val="false"/>
          <w:caps w:val="false"/>
          <w:smallCaps w:val="false"/>
          <w:sz w:val="20"/>
        </w:rPr>
        <w:t>in any other form of legal consideration that may be acceptable to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6.             </w:t>
      </w:r>
      <w:r>
        <w:rPr>
          <w:rFonts w:ascii="Times New Roman;Times;Serif" w:hAnsi="Times New Roman;Times;Serif"/>
          <w:b/>
          <w:i w:val="false"/>
          <w:caps w:val="false"/>
          <w:smallCaps w:val="false"/>
          <w:sz w:val="20"/>
        </w:rPr>
        <w:t>Whole Shares</w:t>
      </w:r>
      <w:r>
        <w:rPr>
          <w:rFonts w:ascii="Times New Roman;Times;Serif" w:hAnsi="Times New Roman;Times;Serif"/>
          <w:b w:val="false"/>
          <w:i w:val="false"/>
          <w:caps w:val="false"/>
          <w:smallCaps w:val="false"/>
          <w:sz w:val="20"/>
        </w:rPr>
        <w:t>. You may exercise your option only for whole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7.            </w:t>
      </w:r>
      <w:r>
        <w:rPr>
          <w:rFonts w:ascii="Times New Roman;Times;Serif" w:hAnsi="Times New Roman;Times;Serif"/>
          <w:b/>
          <w:i w:val="false"/>
          <w:caps w:val="false"/>
          <w:smallCaps w:val="false"/>
          <w:sz w:val="20"/>
        </w:rPr>
        <w:t>Securities Law Compliance</w:t>
      </w:r>
      <w:r>
        <w:rPr>
          <w:rFonts w:ascii="Times New Roman;Times;Serif" w:hAnsi="Times New Roman;Times;Serif"/>
          <w:b w:val="false"/>
          <w:i w:val="false"/>
          <w:caps w:val="false"/>
          <w:smallCaps w:val="false"/>
          <w:sz w:val="20"/>
        </w:rPr>
        <w:t>. In no event may you exercise your option unless the shares of Common Stock issuable upon exercise 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8.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You may not exercise your option before the Date of Grant or after the expiration of the option’s term. Except as set forth in your Grant Notice, the term of your option expires, subject to the provisions of Section 5(h) of the Plan, upon the earliest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immediately upon the termination of your Continuous Service for Cause;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three months after the termination of your Continuous Service for any reason other than Cause, your Disability or your death (except as otherwise provided in Section 8(d) below);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(i) you are a Non-Exempt Employee, (ii) your Continuous Service terminates within six months after the Date of Grant, and (iii) you have vested in a portion of your option at the time of your termination of Continuous Service, your option will not expire until the earlier of (x) the later of (A) the date that is seven months after the Date of Grant, and (B) the date that is three months after the termination of your Continuous Service, and (y) the Expiration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12 months after the termination of your Continuous Service due to your Disability (except as otherwise provided in Section 8(d))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18 months after your death if you die either during your Continuous Service or within three (3) months after your Continuous Service terminates for any reason other than Cause;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(e)             </w:t>
      </w:r>
      <w:r>
        <w:rPr>
          <w:rFonts w:ascii="Times New Roman;Times;Serif" w:hAnsi="Times New Roman;Times;Serif"/>
          <w:b w:val="false"/>
          <w:i w:val="false"/>
          <w:caps w:val="false"/>
          <w:smallCaps w:val="false"/>
          <w:sz w:val="20"/>
        </w:rPr>
        <w:t>the Expiration Date indicated in your Grant Notice;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(f)             </w:t>
      </w:r>
      <w:r>
        <w:rPr>
          <w:rFonts w:ascii="Times New Roman;Times;Serif" w:hAnsi="Times New Roman;Times;Serif"/>
          <w:b w:val="false"/>
          <w:i w:val="false"/>
          <w:caps w:val="false"/>
          <w:smallCaps w:val="false"/>
          <w:sz w:val="20"/>
        </w:rPr>
        <w:t>the day before the 10th anniversary of the Date of Grant.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9.             </w:t>
      </w:r>
      <w:r>
        <w:rPr>
          <w:rFonts w:ascii="Times New Roman;Times;Serif" w:hAnsi="Times New Roman;Times;Serif"/>
          <w:b/>
          <w:i w:val="false"/>
          <w:caps w:val="false"/>
          <w:smallCaps w:val="false"/>
          <w:sz w:val="20"/>
        </w:rPr>
        <w:t>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as more fully set forth in Section 14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(d)            </w:t>
      </w:r>
      <w:r>
        <w:rPr>
          <w:rFonts w:ascii="Times New Roman;Times;Serif" w:hAnsi="Times New Roman;Times;Serif"/>
          <w:b w:val="false"/>
          <w:i w:val="false"/>
          <w:caps w:val="false"/>
          <w:smallCaps w:val="false"/>
          <w:sz w:val="20"/>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shall also, if so determined by the Company’s Board of Directors, apply in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Times;Serif" w:hAnsi="Times New Roman;Times;Serif"/>
          <w:b/>
          <w:i/>
          <w:caps w:val="false"/>
          <w:smallCaps w:val="false"/>
          <w:sz w:val="20"/>
        </w:rPr>
        <w:t>Direct Listing</w:t>
      </w:r>
      <w:r>
        <w:rPr>
          <w:rFonts w:ascii="Times New Roman;Times;Serif" w:hAnsi="Times New Roman;Times;Serif"/>
          <w:b w:val="false"/>
          <w:i w:val="false"/>
          <w:caps w:val="false"/>
          <w:smallCaps w:val="false"/>
          <w:sz w:val="20"/>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10.          </w:t>
      </w:r>
      <w:r>
        <w:rPr>
          <w:rFonts w:ascii="Times New Roman;Times;Serif" w:hAnsi="Times New Roman;Times;Serif"/>
          <w:b/>
          <w:i w:val="false"/>
          <w:caps w:val="false"/>
          <w:smallCaps w:val="false"/>
          <w:sz w:val="20"/>
        </w:rPr>
        <w:t>Transferability</w:t>
      </w:r>
      <w:r>
        <w:rPr>
          <w:rFonts w:ascii="Times New Roman;Times;Serif" w:hAnsi="Times New Roman;Times;Serif"/>
          <w:b w:val="false"/>
          <w:i w:val="false"/>
          <w:caps w:val="false"/>
          <w:smallCaps w:val="false"/>
          <w:sz w:val="20"/>
        </w:rPr>
        <w:t>. Except as otherwise provided in this Section 10, your option is not transferable, except by will or by the laws of descent and distribution, and is exercisable during your life only by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i w:val="false"/>
          <w:caps w:val="false"/>
          <w:smallCaps w:val="false"/>
          <w:sz w:val="20"/>
        </w:rPr>
        <w:t>Certain Trusts</w:t>
      </w:r>
      <w:r>
        <w:rPr>
          <w:rFonts w:ascii="Times New Roman;Times;Serif" w:hAnsi="Times New Roman;Times;Serif"/>
          <w:b w:val="false"/>
          <w:i w:val="false"/>
          <w:caps w:val="false"/>
          <w:smallCaps w:val="false"/>
          <w:sz w:val="20"/>
        </w:rPr>
        <w:t>. Upon receiving written permission from the Board or its 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i w:val="false"/>
          <w:caps w:val="false"/>
          <w:smallCaps w:val="false"/>
          <w:sz w:val="20"/>
        </w:rPr>
        <w:t>Domestic Relations Orders</w:t>
      </w:r>
      <w:r>
        <w:rPr>
          <w:rFonts w:ascii="Times New Roman;Times;Serif" w:hAnsi="Times New Roman;Times;Serif"/>
          <w:b w:val="false"/>
          <w:i w:val="false"/>
          <w:caps w:val="false"/>
          <w:smallCaps w:val="false"/>
          <w:sz w:val="20"/>
        </w:rPr>
        <w:t>. Upon receiving written permission from the Board or its duly authorized designee, 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i w:val="false"/>
          <w:caps w:val="false"/>
          <w:smallCaps w:val="false"/>
          <w:sz w:val="20"/>
        </w:rPr>
        <w:t>Beneficiary Designation</w:t>
      </w:r>
      <w:r>
        <w:rPr>
          <w:rFonts w:ascii="Times New Roman;Times;Serif" w:hAnsi="Times New Roman;Times;Serif"/>
          <w:b w:val="false"/>
          <w:i w:val="false"/>
          <w:caps w:val="false"/>
          <w:smallCaps w:val="false"/>
          <w:sz w:val="20"/>
        </w:rPr>
        <w:t>. 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11.          </w:t>
      </w:r>
      <w:r>
        <w:rPr>
          <w:rFonts w:ascii="Times New Roman;Times;Serif" w:hAnsi="Times New Roman;Times;Serif"/>
          <w:b/>
          <w:i w:val="false"/>
          <w:caps w:val="false"/>
          <w:smallCaps w:val="false"/>
          <w:sz w:val="20"/>
        </w:rPr>
        <w:t>Option not a Service Contract</w:t>
      </w:r>
      <w:r>
        <w:rPr>
          <w:rFonts w:ascii="Times New Roman;Times;Serif" w:hAnsi="Times New Roman;Times;Serif"/>
          <w:b w:val="false"/>
          <w:i w:val="false"/>
          <w:caps w:val="false"/>
          <w:smallCaps w:val="false"/>
          <w:sz w:val="20"/>
        </w:rPr>
        <w:t>. Your option is not an employment or service 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12.           </w:t>
      </w:r>
      <w:r>
        <w:rPr>
          <w:rFonts w:ascii="Times New Roman;Times;Serif" w:hAnsi="Times New Roman;Times;Serif"/>
          <w:b/>
          <w:i w:val="false"/>
          <w:caps w:val="false"/>
          <w:smallCaps w:val="false"/>
          <w:sz w:val="20"/>
        </w:rPr>
        <w:t>Withholding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(a)            </w:t>
      </w:r>
      <w:r>
        <w:rPr>
          <w:rFonts w:ascii="Times New Roman;Times;Serif" w:hAnsi="Times New Roman;Times;Serif"/>
          <w:b w:val="false"/>
          <w:i w:val="false"/>
          <w:caps w:val="false"/>
          <w:smallCaps w:val="false"/>
          <w:sz w:val="20"/>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(b)            </w:t>
      </w:r>
      <w:r>
        <w:rPr>
          <w:rFonts w:ascii="Times New Roman;Times;Serif" w:hAnsi="Times New Roman;Times;Serif"/>
          <w:b w:val="false"/>
          <w:i w:val="false"/>
          <w:caps w:val="false"/>
          <w:smallCaps w:val="false"/>
          <w:sz w:val="20"/>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(c)            </w:t>
      </w:r>
      <w:r>
        <w:rPr>
          <w:rFonts w:ascii="Times New Roman;Times;Serif" w:hAnsi="Times New Roman;Times;Serif"/>
          <w:b w:val="false"/>
          <w:i w:val="false"/>
          <w:caps w:val="false"/>
          <w:smallCaps w:val="false"/>
          <w:sz w:val="20"/>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13.          </w:t>
      </w:r>
      <w:r>
        <w:rPr>
          <w:rFonts w:ascii="Times New Roman;Times;Serif" w:hAnsi="Times New Roman;Times;Serif"/>
          <w:b/>
          <w:i w:val="false"/>
          <w:caps w:val="false"/>
          <w:smallCaps w:val="false"/>
          <w:sz w:val="20"/>
        </w:rPr>
        <w:t>Tax Consequences</w:t>
      </w:r>
      <w:r>
        <w:rPr>
          <w:rFonts w:ascii="Times New Roman;Times;Serif" w:hAnsi="Times New Roman;Times;Serif"/>
          <w:b w:val="false"/>
          <w:i w:val="false"/>
          <w:caps w:val="false"/>
          <w:smallCaps w:val="false"/>
          <w:sz w:val="20"/>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14.          </w:t>
      </w:r>
      <w:r>
        <w:rPr>
          <w:rFonts w:ascii="Times New Roman;Times;Serif" w:hAnsi="Times New Roman;Times;Serif"/>
          <w:b/>
          <w:i w:val="false"/>
          <w:caps w:val="false"/>
          <w:smallCaps w:val="false"/>
          <w:sz w:val="20"/>
        </w:rPr>
        <w:t>Imposition of Other Requirements</w:t>
      </w:r>
      <w:r>
        <w:rPr>
          <w:rFonts w:ascii="Times New Roman;Times;Serif" w:hAnsi="Times New Roman;Times;Serif"/>
          <w:b w:val="false"/>
          <w:i w:val="false"/>
          <w:caps w:val="false"/>
          <w:smallCaps w:val="false"/>
          <w:sz w:val="20"/>
        </w:rPr>
        <w:t>. You agree to execute further documents or instruments necessary or desirable in the sole determination of the Company to carry out the purposes or intent of this option. You further agree to execute, to the extent requested by the Company, at any time and from time to time, any agreements entered into with holders of capital stock of the Company, including without limitation a right of first refusal and co-sale agreement, stockholders agreement and/or a 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15.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Any notices provided for in your option or the Plan will be given in writing (including electronically) and will be deemed 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10000"/>
          <w:sz w:val="20"/>
        </w:rPr>
        <w:t xml:space="preserve">16.          </w:t>
      </w:r>
      <w:r>
        <w:rPr>
          <w:rFonts w:ascii="Times New Roman;Times;Serif" w:hAnsi="Times New Roman;Times;Serif"/>
          <w:b/>
          <w:i w:val="false"/>
          <w:caps w:val="false"/>
          <w:smallCaps w:val="false"/>
          <w:sz w:val="20"/>
        </w:rPr>
        <w:t>Governing Plan Document</w:t>
      </w:r>
      <w:r>
        <w:rPr>
          <w:rFonts w:ascii="Times New Roman;Times;Serif" w:hAnsi="Times New Roman;Times;Serif"/>
          <w:b w:val="false"/>
          <w:i w:val="false"/>
          <w:caps w:val="false"/>
          <w:smallCaps w:val="false"/>
          <w:sz w:val="20"/>
        </w:rPr>
        <w:t>. 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CLAROS,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constitutes notice to </w:t>
      </w:r>
      <w:r>
        <w:rPr>
          <w:rFonts w:ascii="Times New Roman;Times;Serif" w:hAnsi="Times New Roman;Times;Serif"/>
          <w:b/>
          <w:i w:val="false"/>
          <w:caps w:val="false"/>
          <w:smallCaps w:val="false"/>
          <w:sz w:val="20"/>
        </w:rPr>
        <w:t xml:space="preserve">Claros, Inc.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under my stock option that I elect to purchase the below number of shares of Common Stock of the Company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for the price set forth below.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4775"/>
        <w:gridCol w:w="2675"/>
      </w:tblGrid>
      <w:tr>
        <w:trPr/>
        <w:tc>
          <w:tcPr>
            <w:tcW w:w="4775" w:type="dxa"/>
            <w:tcBorders/>
            <w:vAlign w:val="center"/>
          </w:tcPr>
          <w:p>
            <w:pPr>
              <w:pStyle w:val="TableContents"/>
              <w:bidi w:val="0"/>
              <w:spacing w:before="0" w:after="283"/>
              <w:jc w:val="left"/>
              <w:rPr>
                <w:b/>
                <w:u w:val="single"/>
              </w:rPr>
            </w:pPr>
            <w:r>
              <w:rPr>
                <w:b/>
                <w:u w:val="single"/>
              </w:rPr>
              <w:t>Option Information</w:t>
            </w:r>
          </w:p>
        </w:tc>
        <w:tc>
          <w:tcPr>
            <w:tcW w:w="26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Type of option (check one):</w:t>
            </w:r>
          </w:p>
        </w:tc>
        <w:tc>
          <w:tcPr>
            <w:tcW w:w="2675" w:type="dxa"/>
            <w:tcBorders/>
            <w:vAlign w:val="center"/>
          </w:tcPr>
          <w:p>
            <w:pPr>
              <w:pStyle w:val="TableContents"/>
              <w:bidi w:val="0"/>
              <w:spacing w:before="0" w:after="283"/>
              <w:jc w:val="left"/>
              <w:rPr/>
            </w:pPr>
            <w:r>
              <w:rPr/>
              <w:t>Incentive ☐</w:t>
            </w:r>
            <w:r>
              <w:rPr>
                <w:rFonts w:ascii="Times New Roman;Times;Serif" w:hAnsi="Times New Roman;Times;Serif"/>
                <w:sz w:val="20"/>
              </w:rPr>
              <w:tab/>
            </w:r>
            <w:r>
              <w:rPr/>
              <w:t>Nonstatutory ☐</w:t>
            </w:r>
            <w:r>
              <w:rPr>
                <w:rFonts w:ascii="Times New Roman;Times;Serif" w:hAnsi="Times New Roman;Times;Serif"/>
                <w:sz w:val="20"/>
              </w:rPr>
              <w:tab/>
            </w:r>
          </w:p>
        </w:tc>
      </w:tr>
      <w:tr>
        <w:trPr/>
        <w:tc>
          <w:tcPr>
            <w:tcW w:w="4775" w:type="dxa"/>
            <w:tcBorders/>
            <w:vAlign w:val="center"/>
          </w:tcPr>
          <w:p>
            <w:pPr>
              <w:pStyle w:val="TableContents"/>
              <w:bidi w:val="0"/>
              <w:spacing w:before="0" w:after="283"/>
              <w:jc w:val="left"/>
              <w:rPr/>
            </w:pPr>
            <w:r>
              <w:rPr/>
              <w:t>Stock option dated:</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Number of Shares as to which option is exercised:</w:t>
            </w:r>
            <w:r>
              <w:rPr>
                <w:sz w:val="20"/>
              </w:rPr>
              <w:tab/>
            </w:r>
          </w:p>
        </w:tc>
        <w:tc>
          <w:tcPr>
            <w:tcW w:w="26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Certificates to be issued in name of:</w:t>
            </w:r>
            <w:r>
              <w:rPr>
                <w:rFonts w:ascii="Times New Roman;Times;Serif" w:hAnsi="Times New Roman;Times;Serif"/>
                <w:position w:val="7"/>
                <w:sz w:val="16"/>
                <w:sz w:val="20"/>
              </w:rPr>
              <w:t>3</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b/>
                <w:u w:val="single"/>
              </w:rPr>
            </w:pPr>
            <w:r>
              <w:rPr>
                <w:b/>
                <w:u w:val="single"/>
              </w:rPr>
              <w:t>Exercise Information</w:t>
            </w:r>
          </w:p>
        </w:tc>
        <w:tc>
          <w:tcPr>
            <w:tcW w:w="26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Date of Exercise:</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Total exercise price:</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Cash:</w:t>
            </w:r>
            <w:r>
              <w:rPr>
                <w:rFonts w:ascii="Times New Roman;Times;Serif" w:hAnsi="Times New Roman;Times;Serif"/>
                <w:position w:val="7"/>
                <w:sz w:val="16"/>
                <w:sz w:val="20"/>
              </w:rPr>
              <w:t>4</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Regulation T Program (cashless exercise):</w:t>
            </w:r>
            <w:r>
              <w:rPr>
                <w:rFonts w:ascii="Times New Roman;Times;Serif" w:hAnsi="Times New Roman;Times;Serif"/>
                <w:position w:val="7"/>
                <w:sz w:val="16"/>
                <w:sz w:val="20"/>
              </w:rPr>
              <w:t>5</w:t>
            </w:r>
          </w:p>
        </w:tc>
        <w:tc>
          <w:tcPr>
            <w:tcW w:w="26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Value of</w:t>
              <w:tab/>
              <w:t>Shares delivered with this notice:</w:t>
            </w:r>
            <w:r>
              <w:rPr>
                <w:rFonts w:ascii="Times New Roman;Times;Serif" w:hAnsi="Times New Roman;Times;Serif"/>
                <w:position w:val="7"/>
                <w:sz w:val="16"/>
                <w:sz w:val="20"/>
              </w:rPr>
              <w:t>6</w:t>
            </w:r>
          </w:p>
        </w:tc>
        <w:tc>
          <w:tcPr>
            <w:tcW w:w="267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Value of</w:t>
              <w:tab/>
              <w:t>Shares pursuant to net exercise:</w:t>
            </w:r>
            <w:r>
              <w:rPr>
                <w:rFonts w:ascii="Times New Roman;Times;Serif" w:hAnsi="Times New Roman;Times;Serif"/>
                <w:position w:val="7"/>
                <w:sz w:val="16"/>
                <w:sz w:val="20"/>
              </w:rPr>
              <w:t>7</w:t>
            </w:r>
          </w:p>
        </w:tc>
        <w:tc>
          <w:tcPr>
            <w:tcW w:w="26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this exercise, I agree (i) to provide such additional documents as you may require pursuant to the terms of the 2024 Equity Incentive Plan, (ii) to provide for the payment by me to you (in the manner designated by you) of your withholding obligation, if any, relating to the exercise of this option,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and (iv) to execute, if and when requested by the Company, at any time or from time to time, any agreements entered into with holders of capital stock of the Company, including without limitation a right of first refusal and co-sale agreement, stockholders agreement and/or a voting agreement.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If left blank, will be issued in the name of the option holder.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Cash may be in the form of cash, check, bank draft, electronic funds transfer or money order payment.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Subject to Company and/or Board consent and must meet the public trading and other requirements set forth in the Option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Subject to Company and/or Board consent and must meet the public trading and other requirements set forth in the Option Agreement. Shares must be valued in accordance with the terms of the option being exercised, and must be owned free and clear of any liens, claims, encumbrances or security interests. Certificates must be endorsed or accompanied by an executed assignment separate from certificate.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Subject to Company and/or Board consent and must be a Nonstatutory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make the following certifications and representations with respect to the number of Shares listed above, which are being acquired by me for my own account upon exercise of the option as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the Shares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Times New Roman;Times;Serif" w:hAnsi="Times New Roman;Times;Serif"/>
          <w:b/>
          <w:i/>
          <w:caps w:val="false"/>
          <w:smallCaps w:val="false"/>
          <w:sz w:val="20"/>
        </w:rPr>
        <w:t>Inspection Rights</w:t>
      </w:r>
      <w:r>
        <w:rPr>
          <w:rFonts w:ascii="Times New Roman;Times;Serif" w:hAnsi="Times New Roman;Times;Serif"/>
          <w:b w:val="false"/>
          <w:i w:val="false"/>
          <w:caps w:val="false"/>
          <w:smallCaps w:val="false"/>
          <w:sz w:val="20"/>
        </w:rPr>
        <w:t>”). I hereby covenant and agree never to directly or indirectly commence, voluntarily aid in any way, prosecute, assign, transfer, or cause to be commenced any claim, action, cause of action, or other proceeding to pursue or exercise the Inspection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acknowledge that I will not be able to resell the Shares for at least 90 days after the stock of the Company becomes publicly traded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subject to the reporting requirements of Section 13 or 15(d) of the Securities Exchange Act of 1934) under Rule 701 and that more restrictive conditions apply to affiliates of the Company under Rule 144.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 I further agree that the obligations contained in this paragraph shall also, if so determined by the Company’s Board of Directors, apply in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Times;Serif" w:hAnsi="Times New Roman;Times;Serif"/>
          <w:b/>
          <w:i/>
          <w:caps w:val="false"/>
          <w:smallCaps w:val="false"/>
          <w:sz w:val="20"/>
        </w:rPr>
        <w:t>Direct Listing</w:t>
      </w:r>
      <w:r>
        <w:rPr>
          <w:rFonts w:ascii="Times New Roman;Times;Serif" w:hAnsi="Times New Roman;Times;Serif"/>
          <w:b w:val="false"/>
          <w:i w:val="false"/>
          <w:caps w:val="false"/>
          <w:smallCaps w:val="false"/>
          <w:sz w:val="20"/>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pStyle w:val="TextBody"/>
        <w:bidi w:val="0"/>
        <w:spacing w:before="0" w:after="0"/>
        <w:ind w:left="0" w:right="0" w:firstLine="720"/>
        <w:jc w:val="both"/>
        <w:rPr>
          <w:caps w:val="false"/>
          <w:smallCaps w:val="false"/>
        </w:rPr>
      </w:pPr>
      <w:r>
        <w:rPr>
          <w:caps w:val="false"/>
          <w:smallCaps w:val="false"/>
        </w:rPr>
        <w:t> </w:t>
      </w:r>
    </w:p>
    <w:tbl>
      <w:tblPr>
        <w:tblW w:w="1715" w:type="dxa"/>
        <w:jc w:val="left"/>
        <w:tblInd w:w="0" w:type="dxa"/>
        <w:tblLayout w:type="fixed"/>
        <w:tblCellMar>
          <w:top w:w="0" w:type="dxa"/>
          <w:left w:w="0" w:type="dxa"/>
          <w:bottom w:w="0" w:type="dxa"/>
          <w:right w:w="0" w:type="dxa"/>
        </w:tblCellMar>
      </w:tblPr>
      <w:tblGrid>
        <w:gridCol w:w="75"/>
        <w:gridCol w:w="1565"/>
        <w:gridCol w:w="75"/>
      </w:tblGrid>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 </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(Please Print)</w:t>
            </w:r>
          </w:p>
        </w:tc>
      </w:tr>
      <w:tr>
        <w:trPr/>
        <w:tc>
          <w:tcPr>
            <w:tcW w:w="75"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Record:</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710" w:type="dxa"/>
        <w:jc w:val="left"/>
        <w:tblInd w:w="0" w:type="dxa"/>
        <w:tblLayout w:type="fixed"/>
        <w:tblCellMar>
          <w:top w:w="0" w:type="dxa"/>
          <w:left w:w="0" w:type="dxa"/>
          <w:bottom w:w="0" w:type="dxa"/>
          <w:right w:w="0" w:type="dxa"/>
        </w:tblCellMar>
      </w:tblPr>
      <w:tblGrid>
        <w:gridCol w:w="75"/>
        <w:gridCol w:w="560"/>
        <w:gridCol w:w="75"/>
      </w:tblGrid>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5" w:name="tm2626897d1_ex-filingfees.htm"/>
      <w:bookmarkStart w:id="16" w:name="kstm2626897d1_exfilingfees"/>
      <w:bookmarkStart w:id="17" w:name="tm2626897d1_ex-filingfees.htm"/>
      <w:bookmarkStart w:id="18" w:name="kstm2626897d1_exfilingfees"/>
      <w:bookmarkEnd w:id="17"/>
      <w:bookmarkEnd w:id="18"/>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Navitas Semiconductor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266"/>
        <w:gridCol w:w="1294"/>
        <w:gridCol w:w="1203"/>
        <w:gridCol w:w="1220"/>
        <w:gridCol w:w="1587"/>
        <w:gridCol w:w="100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8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266" w:type="dxa"/>
            <w:tcBorders/>
            <w:shd w:fill="E7E7E2" w:val="clear"/>
            <w:vAlign w:val="center"/>
          </w:tcPr>
          <w:p>
            <w:pPr>
              <w:pStyle w:val="TableContents"/>
              <w:bidi w:val="0"/>
              <w:spacing w:before="0" w:after="283"/>
              <w:jc w:val="left"/>
              <w:rPr/>
            </w:pPr>
            <w:r>
              <w:rPr/>
              <w:t xml:space="preserve">Class A common stock, par value $0.0001 per share (the "Class A Common Stock"), issuable pursuant to the exercise of stock options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2,395,762 </w:t>
            </w:r>
          </w:p>
        </w:tc>
        <w:tc>
          <w:tcPr>
            <w:tcW w:w="1220" w:type="dxa"/>
            <w:tcBorders/>
            <w:shd w:fill="E7E7E2" w:val="clear"/>
            <w:vAlign w:val="center"/>
          </w:tcPr>
          <w:p>
            <w:pPr>
              <w:pStyle w:val="TableContents"/>
              <w:bidi w:val="0"/>
              <w:spacing w:before="0" w:after="283"/>
              <w:jc w:val="right"/>
              <w:rPr/>
            </w:pPr>
            <w:r>
              <w:rPr/>
              <w:t xml:space="preserve">$ 2.26 </w:t>
            </w:r>
          </w:p>
        </w:tc>
        <w:tc>
          <w:tcPr>
            <w:tcW w:w="1587" w:type="dxa"/>
            <w:tcBorders/>
            <w:shd w:fill="E7E7E2" w:val="clear"/>
            <w:vAlign w:val="center"/>
          </w:tcPr>
          <w:p>
            <w:pPr>
              <w:pStyle w:val="TableContents"/>
              <w:bidi w:val="0"/>
              <w:spacing w:before="0" w:after="283"/>
              <w:jc w:val="right"/>
              <w:rPr/>
            </w:pPr>
            <w:r>
              <w:rPr/>
              <w:t xml:space="preserve">$ 5,414,422.12 </w:t>
            </w:r>
          </w:p>
        </w:tc>
        <w:tc>
          <w:tcPr>
            <w:tcW w:w="1007" w:type="dxa"/>
            <w:tcBorders/>
            <w:shd w:fill="E7E7E2" w:val="clear"/>
            <w:vAlign w:val="center"/>
          </w:tcPr>
          <w:p>
            <w:pPr>
              <w:pStyle w:val="TableContents"/>
              <w:bidi w:val="0"/>
              <w:spacing w:before="0" w:after="283"/>
              <w:jc w:val="right"/>
              <w:rPr/>
            </w:pPr>
            <w:r>
              <w:rPr/>
              <w:t xml:space="preserve">0.000087 </w:t>
            </w:r>
          </w:p>
        </w:tc>
        <w:tc>
          <w:tcPr>
            <w:tcW w:w="1429" w:type="dxa"/>
            <w:tcBorders/>
            <w:shd w:fill="E7E7E2" w:val="clear"/>
            <w:vAlign w:val="center"/>
          </w:tcPr>
          <w:p>
            <w:pPr>
              <w:pStyle w:val="TableContents"/>
              <w:bidi w:val="0"/>
              <w:spacing w:before="0" w:after="283"/>
              <w:jc w:val="right"/>
              <w:rPr/>
            </w:pPr>
            <w:r>
              <w:rPr/>
              <w:t xml:space="preserve">$ 471.05 </w:t>
            </w:r>
          </w:p>
        </w:tc>
      </w:tr>
      <w:tr>
        <w:trPr/>
        <w:tc>
          <w:tcPr>
            <w:tcW w:w="4962" w:type="dxa"/>
            <w:gridSpan w:val="5"/>
            <w:tcBorders/>
            <w:vAlign w:val="center"/>
          </w:tcPr>
          <w:p>
            <w:pPr>
              <w:pStyle w:val="TableContents"/>
              <w:bidi w:val="0"/>
              <w:spacing w:before="0" w:after="0"/>
              <w:ind w:left="0" w:right="0" w:hanging="0"/>
              <w:jc w:val="right"/>
              <w:rPr/>
            </w:pPr>
            <w:r>
              <w:rPr/>
              <w:t>Total Offering Amounts:</w:t>
            </w:r>
          </w:p>
        </w:tc>
        <w:tc>
          <w:tcPr>
            <w:tcW w:w="122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0"/>
              <w:ind w:left="0" w:right="0" w:hanging="0"/>
              <w:jc w:val="right"/>
              <w:rPr/>
            </w:pPr>
            <w:bookmarkStart w:id="19" w:name="MaxAggtOfferingPrice"/>
            <w:bookmarkEnd w:id="19"/>
            <w:r>
              <w:rPr/>
              <w:t xml:space="preserve">$ 5,414,422.12 </w:t>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0" w:name="TotalFeeAmt"/>
            <w:bookmarkEnd w:id="20"/>
            <w:r>
              <w:rPr/>
              <w:t xml:space="preserve">$ 471.05 </w:t>
            </w:r>
          </w:p>
        </w:tc>
      </w:tr>
      <w:tr>
        <w:trPr/>
        <w:tc>
          <w:tcPr>
            <w:tcW w:w="4962" w:type="dxa"/>
            <w:gridSpan w:val="5"/>
            <w:tcBorders/>
            <w:vAlign w:val="center"/>
          </w:tcPr>
          <w:p>
            <w:pPr>
              <w:pStyle w:val="TableContents"/>
              <w:bidi w:val="0"/>
              <w:spacing w:before="0" w:after="0"/>
              <w:ind w:left="0" w:right="0" w:hanging="0"/>
              <w:jc w:val="right"/>
              <w:rPr/>
            </w:pPr>
            <w:r>
              <w:rPr/>
              <w:t xml:space="preserve">Total Fee Offsets: </w:t>
            </w:r>
          </w:p>
        </w:tc>
        <w:tc>
          <w:tcPr>
            <w:tcW w:w="122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21" w:name="TotalOffsetAmt"/>
            <w:bookmarkEnd w:id="21"/>
            <w:r>
              <w:rPr/>
              <w:t xml:space="preserve">$ 0.00 </w:t>
            </w:r>
          </w:p>
        </w:tc>
      </w:tr>
      <w:tr>
        <w:trPr/>
        <w:tc>
          <w:tcPr>
            <w:tcW w:w="4962" w:type="dxa"/>
            <w:gridSpan w:val="5"/>
            <w:tcBorders/>
            <w:vAlign w:val="center"/>
          </w:tcPr>
          <w:p>
            <w:pPr>
              <w:pStyle w:val="TableContents"/>
              <w:bidi w:val="0"/>
              <w:spacing w:before="0" w:after="0"/>
              <w:ind w:left="0" w:right="0" w:hanging="0"/>
              <w:jc w:val="right"/>
              <w:rPr/>
            </w:pPr>
            <w:r>
              <w:rPr/>
              <w:t xml:space="preserve">Net Fee Due: </w:t>
            </w:r>
          </w:p>
        </w:tc>
        <w:tc>
          <w:tcPr>
            <w:tcW w:w="122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22" w:name="NetFeeAmt"/>
            <w:bookmarkEnd w:id="22"/>
            <w:r>
              <w:rPr/>
              <w:t xml:space="preserve">$ 471.05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4"/>
        <w:gridCol w:w="8709"/>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Note 1a. Represents outstanding unvested stock options under the Claros, Inc. 2024 Equity Incentive Plan (the "Plan") to purchase shares of Claros common stock that were assumed by the Registrant and converted into stock options to purchase shares of the Class A Common Stock (the "Common Stock"). Pursuant to Rule 416 promulgated under the Securities Act of 1933, as amended (the "Securities Act"), this registration statement also covers an indeterminate number of additional shares of the Registrant's Class A common stock, par value $0.0001 per share (the "Class A Common Stock"), that may become issuable by reason of any stock split, stock distribution or similar transaction. Note 1b. The proposed maximum aggregate offering price was calculated using the weighted-average exercise price of such outstanding unvested stock options of $2.26 per share.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21769/000182176926000007/nvts-20251231.htm" TargetMode="External"/><Relationship Id="rId4" Type="http://schemas.openxmlformats.org/officeDocument/2006/relationships/hyperlink" Target="https://www.sec.gov/ix?doc=/Archives/edgar/data/1821769/000110465926052971/nvts-20251231x10ka.htm" TargetMode="External"/><Relationship Id="rId5" Type="http://schemas.openxmlformats.org/officeDocument/2006/relationships/hyperlink" Target="https://www.sec.gov/ix?doc=/Archives/edgar/data/1821769/000162828026030524/nvts-20260331.htm" TargetMode="External"/><Relationship Id="rId6" Type="http://schemas.openxmlformats.org/officeDocument/2006/relationships/hyperlink" Target="https://www.sec.gov/ix?doc=/Archives/edgar/data/1821769/000162828026049808/nvts-20260630.htm" TargetMode="External"/><Relationship Id="rId7" Type="http://schemas.openxmlformats.org/officeDocument/2006/relationships/hyperlink" Target="https://www.sec.gov/ix?doc=/Archives/edgar/data/1821769/000110465926019220/tm267059d1_8k.htm" TargetMode="External"/><Relationship Id="rId8" Type="http://schemas.openxmlformats.org/officeDocument/2006/relationships/hyperlink" Target="https://www.sec.gov/ix?doc=/Archives/edgar/data/1821769/000110465926026385/tm268482d1_8k.htm" TargetMode="External"/><Relationship Id="rId9" Type="http://schemas.openxmlformats.org/officeDocument/2006/relationships/hyperlink" Target="https://www.sec.gov/ix?doc=/Archives/edgar/data/1821769/000110465926029469/tm269070d1_8k.htm" TargetMode="External"/><Relationship Id="rId10" Type="http://schemas.openxmlformats.org/officeDocument/2006/relationships/hyperlink" Target="https://www.sec.gov/ix?doc=/Archives/edgar/data/1821769/000110465926042619/tm2611717d1_8k.htm" TargetMode="External"/><Relationship Id="rId11" Type="http://schemas.openxmlformats.org/officeDocument/2006/relationships/hyperlink" Target="https://www.sec.gov/ix?doc=/Archives/edgar/data/1821769/000110465926054482/tm2613278d1_8k.htm" TargetMode="External"/><Relationship Id="rId12" Type="http://schemas.openxmlformats.org/officeDocument/2006/relationships/hyperlink" Target="https://www.sec.gov/ix?doc=/Archives/edgar/data/1821769/000110465926058734/tm2613239d3_8k.htm" TargetMode="External"/><Relationship Id="rId13" Type="http://schemas.openxmlformats.org/officeDocument/2006/relationships/hyperlink" Target="https://www.sec.gov/ix?doc=/Archives/edgar/data/1821769/000110465926059828/tm2614473d1_8k.htm" TargetMode="External"/><Relationship Id="rId14" Type="http://schemas.openxmlformats.org/officeDocument/2006/relationships/hyperlink" Target="https://www.sec.gov/ix?doc=/Archives/edgar/data/1821769/000110465926065731/tm2614473d1_8k.htm" TargetMode="External"/><Relationship Id="rId15" Type="http://schemas.openxmlformats.org/officeDocument/2006/relationships/hyperlink" Target="https://www.sec.gov/ix?doc=/Archives/edgar/data/1821769/000110465926065737/tm2615305d2_8k.htm" TargetMode="External"/><Relationship Id="rId16" Type="http://schemas.openxmlformats.org/officeDocument/2006/relationships/hyperlink" Target="https://www.sec.gov/ix?doc=/Archives/edgar/data/1821769/000110465926070530/tm2616859d1_8k.htm" TargetMode="External"/><Relationship Id="rId17" Type="http://schemas.openxmlformats.org/officeDocument/2006/relationships/hyperlink" Target="https://www.sec.gov/ix?doc=/Archives/edgar/data/1821769/000110465926071850/tm2617349d1_8k.htm" TargetMode="External"/><Relationship Id="rId18" Type="http://schemas.openxmlformats.org/officeDocument/2006/relationships/hyperlink" Target="https://www.sec.gov/ix?doc=/Archives/edgar/data/1821769/000110465926074127/tm2617991d1_8k.htm" TargetMode="External"/><Relationship Id="rId19" Type="http://schemas.openxmlformats.org/officeDocument/2006/relationships/hyperlink" Target="https://www.sec.gov/ix?doc=/Archives/edgar/data/1821769/000110465926078274/tm2619097d1_8k.htm" TargetMode="External"/><Relationship Id="rId20" Type="http://schemas.openxmlformats.org/officeDocument/2006/relationships/hyperlink" Target="https://www.sec.gov/ix?doc=/Archives/edgar/data/1821769/000110465926100478/tm2623854d1_8k.htm" TargetMode="External"/><Relationship Id="rId21" Type="http://schemas.openxmlformats.org/officeDocument/2006/relationships/hyperlink" Target="https://www.sec.gov/ix?doc=/Archives/edgar/data/1821769/000110465926109125/tm2625807d1_8k.htm" TargetMode="External"/><Relationship Id="rId22" Type="http://schemas.openxmlformats.org/officeDocument/2006/relationships/hyperlink" Target="https://www.sec.gov/ix?doc=/Archives/edgar/data/1821769/000110465926109227/tm2625807d2_8ka.htm" TargetMode="External"/><Relationship Id="rId23" Type="http://schemas.openxmlformats.org/officeDocument/2006/relationships/hyperlink" Target="https://www.sec.gov/ix?doc=/Archives/edgar/data/0001821769/000110465926114051/tm2626897d3_8k.htm" TargetMode="External"/><Relationship Id="rId24" Type="http://schemas.openxmlformats.org/officeDocument/2006/relationships/hyperlink" Target="https://www.sec.gov/Archives/edgar/data/1821769/000119312521301974/d242787d8a12b.htm" TargetMode="External"/><Relationship Id="rId25" Type="http://schemas.openxmlformats.org/officeDocument/2006/relationships/hyperlink" Target="https://www.sec.gov/Archives/edgar/data/1821769/000182176924000024/exhibit41-descriptionofsec.htm" TargetMode="External"/><Relationship Id="rId26" Type="http://schemas.openxmlformats.org/officeDocument/2006/relationships/hyperlink" Target="https://www.sec.gov/Archives/edgar/data/1821769/000119312521306726/d225525dex31.htm" TargetMode="External"/><Relationship Id="rId27" Type="http://schemas.openxmlformats.org/officeDocument/2006/relationships/hyperlink" Target="https://www.sec.gov/Archives/edgar/data/1821769/000119312521306726/d225525dex31.htm" TargetMode="External"/><Relationship Id="rId28" Type="http://schemas.openxmlformats.org/officeDocument/2006/relationships/hyperlink" Target="https://www.sec.gov/Archives/edgar/data/1821769/000182176925000049/a20250408-arbylawsasamende.htm" TargetMode="External"/><Relationship Id="rId29" Type="http://schemas.openxmlformats.org/officeDocument/2006/relationships/hyperlink" Target="https://www.sec.gov/Archives/edgar/data/1821769/000182176925000049/a20250408-arbylawsasamende.htm" TargetMode="External"/><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23277</Words>
  <Characters>119604</Characters>
  <CharactersWithSpaces>145207</CharactersWithSpaces>
  <Paragraphs>1289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