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DAVIN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Navitas Semiconductor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NVTS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313" w:lineRule="auto"/>
        <w:rPr>
          <w:sz w:val="20"/>
          <w:szCs w:val="20"/>
          <w:color w:val="auto"/>
        </w:rPr>
      </w:pPr>
      <w:r>
        <w:rPr>
          <w:rFonts w:ascii="Times New Roman" w:cs="Times New Roman" w:eastAsia="Times New Roman" w:hAnsi="Times New Roman"/>
          <w:sz w:val="18"/>
          <w:szCs w:val="18"/>
          <w:color w:val="0000FF"/>
        </w:rPr>
        <w:t>C/O NAVITAS SEMICONDUCTOR CORPORATION</w:t>
      </w:r>
    </w:p>
    <w:p>
      <w:pPr>
        <w:ind w:left="140"/>
        <w:spacing w:after="0"/>
        <w:rPr>
          <w:sz w:val="20"/>
          <w:szCs w:val="20"/>
          <w:color w:val="auto"/>
        </w:rPr>
      </w:pPr>
      <w:r>
        <w:rPr>
          <w:rFonts w:ascii="Times New Roman" w:cs="Times New Roman" w:eastAsia="Times New Roman" w:hAnsi="Times New Roman"/>
          <w:sz w:val="20"/>
          <w:szCs w:val="20"/>
          <w:color w:val="0000FF"/>
        </w:rPr>
        <w:t>3520 CHALLENGER ST.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TORRANCE CA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90503-1640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Matthew Sant,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DAVIN LEE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AND OTHER S.E.C. REPORTING PURPOSES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persons by these presents that the undersigned hereby constitutes and appoints each of Matthew Sant and Gary Shymkiw, acting alone or jointly and each with full power of substitution, as the undersigned’s true and lawful attorney-in-fact to:</w:t>
      </w:r>
    </w:p>
    <w:p>
      <w:pPr>
        <w:spacing w:after="0" w:line="180" w:lineRule="exact"/>
        <w:rPr>
          <w:sz w:val="20"/>
          <w:szCs w:val="20"/>
          <w:color w:val="auto"/>
        </w:rPr>
      </w:pPr>
    </w:p>
    <w:p>
      <w:pPr>
        <w:jc w:val="both"/>
        <w:ind w:left="360" w:hanging="360"/>
        <w:spacing w:after="0" w:line="261"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for and file on behalf of the undersigned Form 144 in accordance with Rule 144 under the Securities Act of 1933, and Forms 3, 4 and 5 in accordance with Section 16(a) of the Securities Exchange Act of 1934 and the rules thereunder, and any other forms or reports the undersigned may be required to file in connection with the undersigned’s ownership, acquisition or disposition of securities of Navitas Semiconductor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3, 4 or 5, or other form or report, and timely file such form or report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1"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any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or Rule 144 under the Securities Act of 1933.</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144, 3, 4, and 5 with respect to the undersigned’s holdings of and transactions in securities issued by the Company, unless earlier revoked by the undersigned in a signed writing delivered to the foregoing attorneys-in-fact. Further, this Power of Attorney shall terminate as to each attorney-in-fact appointed hereunder, individually, if and when the employment of such attorney-in-fact by the Company is terminated for any reason. For the avoidance of doubt, the termination of this Power of Attorney as to any attorney-in-fact hereunder shall not affect the effectiveness of this Power of Attorney as to any other attorney-in-fact or the power or authority of such attorney-in-fact 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signed this Power of Attorney on the date indicated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180" w:type="dxa"/>
            <w:vAlign w:val="bottom"/>
          </w:tcPr>
          <w:p>
            <w:pPr>
              <w:spacing w:after="0"/>
              <w:rPr>
                <w:sz w:val="22"/>
                <w:szCs w:val="22"/>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Davin Lee</w:t>
            </w:r>
          </w:p>
        </w:tc>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4, 2026</w:t>
            </w:r>
          </w:p>
        </w:tc>
      </w:tr>
      <w:tr>
        <w:trPr>
          <w:trHeight w:val="30"/>
        </w:trPr>
        <w:tc>
          <w:tcPr>
            <w:tcW w:w="318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65"/>
        </w:trPr>
        <w:tc>
          <w:tcPr>
            <w:tcW w:w="3180" w:type="dxa"/>
            <w:vAlign w:val="bottom"/>
          </w:tcPr>
          <w:p>
            <w:pPr>
              <w:spacing w:after="0"/>
              <w:rPr>
                <w:sz w:val="23"/>
                <w:szCs w:val="23"/>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Davin Lee</w:t>
            </w:r>
          </w:p>
        </w:tc>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r>
      <w:tr>
        <w:trPr>
          <w:trHeight w:val="780"/>
        </w:trPr>
        <w:tc>
          <w:tcPr>
            <w:tcW w:w="3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76914" TargetMode="External"/><Relationship Id="rId11"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2026-05-04T18:07:42Z</dcterms:created>
  <dcterms:modified xsi:type="dcterms:W3CDTF">2026-05-04T18:07:42Z</dcterms:modified>
</cp:coreProperties>
</file>