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UNITED STATES</w:t>
      </w:r>
    </w:p>
    <w:p>
      <w:pPr>
        <w:jc w:val="center"/>
        <w:ind w:right="20"/>
        <w:spacing w:after="0" w:line="209" w:lineRule="auto"/>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18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July 3,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2687955</wp:posOffset>
            </wp:positionH>
            <wp:positionV relativeFrom="paragraph">
              <wp:posOffset>182880</wp:posOffset>
            </wp:positionV>
            <wp:extent cx="1774190" cy="377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774190"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4"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Navitas Semiconductor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8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p>
        </w:tc>
        <w:tc>
          <w:tcPr>
            <w:tcW w:w="140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442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b w:val="1"/>
                <w:bCs w:val="1"/>
                <w:color w:val="auto"/>
              </w:rPr>
              <w:t>001-39755</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b w:val="1"/>
                <w:bCs w:val="1"/>
                <w:color w:val="auto"/>
              </w:rPr>
              <w:t>85-2560226</w:t>
            </w:r>
          </w:p>
        </w:tc>
      </w:tr>
      <w:tr>
        <w:trPr>
          <w:trHeight w:val="218"/>
        </w:trPr>
        <w:tc>
          <w:tcPr>
            <w:tcW w:w="2820" w:type="dxa"/>
            <w:vAlign w:val="bottom"/>
            <w:tcBorders>
              <w:top w:val="single" w:sz="8" w:color="auto"/>
            </w:tcBorders>
            <w:gridSpan w:val="2"/>
          </w:tcPr>
          <w:p>
            <w:pPr>
              <w:jc w:val="center"/>
              <w:ind w:left="67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Borders>
              <w:top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580" w:type="dxa"/>
            <w:vAlign w:val="bottom"/>
            <w:tcBorders>
              <w:top w:val="single" w:sz="8" w:color="auto"/>
            </w:tcBorders>
            <w:gridSpan w:val="2"/>
          </w:tcPr>
          <w:p>
            <w:pPr>
              <w:ind w:left="56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820" w:type="dxa"/>
            <w:vAlign w:val="bottom"/>
            <w:gridSpan w:val="2"/>
          </w:tcPr>
          <w:p>
            <w:pPr>
              <w:jc w:val="center"/>
              <w:ind w:left="67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527"/>
        </w:trPr>
        <w:tc>
          <w:tcPr>
            <w:tcW w:w="14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0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3520 Challenger Street, Torrance,</w:t>
            </w:r>
          </w:p>
        </w:tc>
        <w:tc>
          <w:tcPr>
            <w:tcW w:w="180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1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90503-1640</w:t>
            </w:r>
          </w:p>
        </w:tc>
        <w:tc>
          <w:tcPr>
            <w:tcW w:w="1400" w:type="dxa"/>
            <w:vAlign w:val="bottom"/>
          </w:tcPr>
          <w:p>
            <w:pPr>
              <w:spacing w:after="0"/>
              <w:rPr>
                <w:sz w:val="24"/>
                <w:szCs w:val="24"/>
                <w:color w:val="auto"/>
              </w:rPr>
            </w:pPr>
          </w:p>
        </w:tc>
      </w:tr>
      <w:tr>
        <w:trPr>
          <w:trHeight w:val="228"/>
        </w:trPr>
        <w:tc>
          <w:tcPr>
            <w:tcW w:w="1420" w:type="dxa"/>
            <w:vAlign w:val="bottom"/>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3040" w:type="dxa"/>
            <w:vAlign w:val="bottom"/>
            <w:tcBorders>
              <w:top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3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2180" w:type="dxa"/>
            <w:vAlign w:val="bottom"/>
            <w:tcBorders>
              <w:top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(Zip Code)</w:t>
            </w:r>
          </w:p>
        </w:tc>
        <w:tc>
          <w:tcPr>
            <w:tcW w:w="1400" w:type="dxa"/>
            <w:vAlign w:val="bottom"/>
          </w:tcPr>
          <w:p>
            <w:pPr>
              <w:spacing w:after="0"/>
              <w:rPr>
                <w:sz w:val="19"/>
                <w:szCs w:val="19"/>
                <w:color w:val="auto"/>
              </w:rPr>
            </w:pPr>
          </w:p>
        </w:tc>
      </w:tr>
    </w:tbl>
    <w:p>
      <w:pPr>
        <w:spacing w:after="0" w:line="2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(844) 654-2642</w:t>
      </w:r>
    </w:p>
    <w:p>
      <w:pPr>
        <w:spacing w:after="0" w:line="200" w:lineRule="exact"/>
        <w:rPr>
          <w:sz w:val="24"/>
          <w:szCs w:val="24"/>
          <w:color w:val="auto"/>
        </w:rPr>
      </w:pPr>
    </w:p>
    <w:p>
      <w:pPr>
        <w:spacing w:after="0" w:line="200" w:lineRule="exact"/>
        <w:rPr>
          <w:sz w:val="24"/>
          <w:szCs w:val="24"/>
          <w:color w:val="auto"/>
        </w:rPr>
      </w:pPr>
    </w:p>
    <w:p>
      <w:pPr>
        <w:spacing w:after="0" w:line="248" w:lineRule="exact"/>
        <w:rPr>
          <w:sz w:val="24"/>
          <w:szCs w:val="24"/>
          <w:color w:val="auto"/>
        </w:rPr>
      </w:pPr>
    </w:p>
    <w:p>
      <w:pPr>
        <w:ind w:right="640"/>
        <w:spacing w:after="0" w:line="237"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obligations of the registrant under any of the following provisions:</w:t>
      </w:r>
    </w:p>
    <w:p>
      <w:pPr>
        <w:spacing w:after="0" w:line="239" w:lineRule="exact"/>
        <w:rPr>
          <w:sz w:val="24"/>
          <w:szCs w:val="24"/>
          <w:color w:val="auto"/>
        </w:rPr>
      </w:pPr>
    </w:p>
    <w:p>
      <w:pPr>
        <w:ind w:left="520" w:hanging="494"/>
        <w:spacing w:after="0"/>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62"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56"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56" w:lineRule="exact"/>
        <w:rPr>
          <w:rFonts w:ascii="MS PGothic" w:cs="MS PGothic" w:eastAsia="MS PGothic" w:hAnsi="MS PGothic"/>
          <w:sz w:val="22"/>
          <w:szCs w:val="22"/>
          <w:color w:val="auto"/>
        </w:rPr>
      </w:pPr>
    </w:p>
    <w:p>
      <w:pPr>
        <w:ind w:left="520" w:hanging="494"/>
        <w:spacing w:after="0" w:line="225" w:lineRule="auto"/>
        <w:tabs>
          <w:tab w:leader="none" w:pos="5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7" w:lineRule="exact"/>
        <w:rPr>
          <w:sz w:val="24"/>
          <w:szCs w:val="24"/>
          <w:color w:val="auto"/>
        </w:rPr>
      </w:pPr>
    </w:p>
    <w:tbl>
      <w:tblPr>
        <w:tblLayout w:type="fixed"/>
        <w:tblInd w:w="10" w:type="dxa"/>
        <w:tblCellMar>
          <w:top w:w="0" w:type="dxa"/>
          <w:left w:w="0" w:type="dxa"/>
          <w:bottom w:w="0" w:type="dxa"/>
          <w:right w:w="0" w:type="dxa"/>
        </w:tblCellMar>
      </w:tblPr>
      <w:tr>
        <w:trPr>
          <w:trHeight w:val="236"/>
        </w:trPr>
        <w:tc>
          <w:tcPr>
            <w:tcW w:w="41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3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 Symbol(s)</w:t>
            </w:r>
          </w:p>
        </w:tc>
        <w:tc>
          <w:tcPr>
            <w:tcW w:w="472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c>
          <w:tcPr>
            <w:tcW w:w="0" w:type="dxa"/>
            <w:vAlign w:val="bottom"/>
          </w:tcPr>
          <w:p>
            <w:pPr>
              <w:spacing w:after="0"/>
              <w:rPr>
                <w:sz w:val="1"/>
                <w:szCs w:val="1"/>
                <w:color w:val="auto"/>
              </w:rPr>
            </w:pPr>
          </w:p>
        </w:tc>
      </w:tr>
      <w:tr>
        <w:trPr>
          <w:trHeight w:val="156"/>
        </w:trPr>
        <w:tc>
          <w:tcPr>
            <w:tcW w:w="4180" w:type="dxa"/>
            <w:vAlign w:val="bottom"/>
            <w:tcBorders>
              <w:left w:val="single" w:sz="8" w:color="auto"/>
              <w:right w:val="single" w:sz="8" w:color="auto"/>
            </w:tcBorders>
          </w:tcPr>
          <w:p>
            <w:pPr>
              <w:jc w:val="center"/>
              <w:spacing w:after="0" w:line="155" w:lineRule="exact"/>
              <w:rPr>
                <w:sz w:val="20"/>
                <w:szCs w:val="20"/>
                <w:color w:val="auto"/>
              </w:rPr>
            </w:pPr>
            <w:r>
              <w:rPr>
                <w:rFonts w:ascii="Times New Roman" w:cs="Times New Roman" w:eastAsia="Times New Roman" w:hAnsi="Times New Roman"/>
                <w:sz w:val="16"/>
                <w:szCs w:val="16"/>
                <w:b w:val="1"/>
                <w:bCs w:val="1"/>
                <w:color w:val="auto"/>
              </w:rPr>
              <w:t>Class A Common Stock,</w:t>
            </w:r>
          </w:p>
        </w:tc>
        <w:tc>
          <w:tcPr>
            <w:tcW w:w="23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NVTS</w:t>
            </w:r>
          </w:p>
        </w:tc>
        <w:tc>
          <w:tcPr>
            <w:tcW w:w="47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c>
          <w:tcPr>
            <w:tcW w:w="0" w:type="dxa"/>
            <w:vAlign w:val="bottom"/>
          </w:tcPr>
          <w:p>
            <w:pPr>
              <w:spacing w:after="0"/>
              <w:rPr>
                <w:sz w:val="1"/>
                <w:szCs w:val="1"/>
                <w:color w:val="auto"/>
              </w:rPr>
            </w:pPr>
          </w:p>
        </w:tc>
      </w:tr>
      <w:tr>
        <w:trPr>
          <w:trHeight w:val="129"/>
        </w:trPr>
        <w:tc>
          <w:tcPr>
            <w:tcW w:w="41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par value $0.0001 per share</w:t>
            </w:r>
          </w:p>
        </w:tc>
        <w:tc>
          <w:tcPr>
            <w:tcW w:w="2360" w:type="dxa"/>
            <w:vAlign w:val="bottom"/>
            <w:tcBorders>
              <w:right w:val="single" w:sz="8" w:color="auto"/>
            </w:tcBorders>
            <w:vMerge w:val="continue"/>
          </w:tcPr>
          <w:p>
            <w:pPr>
              <w:spacing w:after="0"/>
              <w:rPr>
                <w:sz w:val="11"/>
                <w:szCs w:val="11"/>
                <w:color w:val="auto"/>
              </w:rPr>
            </w:pPr>
          </w:p>
        </w:tc>
        <w:tc>
          <w:tcPr>
            <w:tcW w:w="47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180" w:type="dxa"/>
            <w:vAlign w:val="bottom"/>
            <w:tcBorders>
              <w:left w:val="single" w:sz="8" w:color="auto"/>
              <w:bottom w:val="single" w:sz="8" w:color="auto"/>
              <w:right w:val="single" w:sz="8" w:color="auto"/>
            </w:tcBorders>
            <w:vMerge w:val="continue"/>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4720" w:type="dxa"/>
            <w:vAlign w:val="bottom"/>
            <w:tcBorders>
              <w:bottom w:val="single" w:sz="8" w:color="auto"/>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w:t>
      </w:r>
    </w:p>
    <w:p>
      <w:pPr>
        <w:spacing w:after="0" w:line="205" w:lineRule="auto"/>
        <w:rPr>
          <w:sz w:val="20"/>
          <w:szCs w:val="20"/>
          <w:color w:val="auto"/>
        </w:rPr>
      </w:pPr>
      <w:r>
        <w:rPr>
          <w:rFonts w:ascii="Times New Roman" w:cs="Times New Roman" w:eastAsia="Times New Roman" w:hAnsi="Times New Roman"/>
          <w:sz w:val="18"/>
          <w:szCs w:val="18"/>
          <w:color w:val="auto"/>
        </w:rPr>
        <w:t>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2" w:lineRule="exact"/>
        <w:rPr>
          <w:sz w:val="24"/>
          <w:szCs w:val="24"/>
          <w:color w:val="auto"/>
        </w:rPr>
      </w:pPr>
    </w:p>
    <w:p>
      <w:pPr>
        <w:ind w:right="180"/>
        <w:spacing w:after="0" w:line="226"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844550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16"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Navitas Semiconductor Corporation (the “Company”) is furnishing this information pursuant to Item 7.01 of Form 8-K to disclose that the Company completed the sale of shares of its Class A common stock under its at-the-market offering program announced by the Company on May 27, 2025, selling shares having an aggregate offering price of $50,000,000, which represents the full dollar amount registered under the program. This amount is in addition to $50,000,000 sold under the Company’s previous ATM program announced on March 20, 2025.</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shares of Class A common stock were offered and sold under the respective ATM programs pursuant to an Open Market Sale Agreement</w:t>
      </w:r>
      <w:r>
        <w:rPr>
          <w:rFonts w:ascii="Times New Roman" w:cs="Times New Roman" w:eastAsia="Times New Roman" w:hAnsi="Times New Roman"/>
          <w:sz w:val="23"/>
          <w:szCs w:val="23"/>
          <w:color w:val="auto"/>
          <w:vertAlign w:val="superscript"/>
        </w:rPr>
        <w:t>SM</w:t>
      </w:r>
      <w:r>
        <w:rPr>
          <w:rFonts w:ascii="Times New Roman" w:cs="Times New Roman" w:eastAsia="Times New Roman" w:hAnsi="Times New Roman"/>
          <w:sz w:val="18"/>
          <w:szCs w:val="18"/>
          <w:color w:val="auto"/>
        </w:rPr>
        <w:t>, dated March 19, 2025, between the Company and Jefferies LLC, as sales agent, and the Company’s Registration Statement on Form S-3 (File No. 333-269752), as amended, including the prospectus contained therein and prospectus supplements dated March 19, 2025 and May 27, 2025. Needham &amp; Company, LLC, Craig-Hallum Capital Group LLC &amp; Rosenblatt Securities Inc. acted as financial advisors in connection with the ATM program.</w:t>
      </w:r>
    </w:p>
    <w:p>
      <w:pPr>
        <w:spacing w:after="0" w:line="151"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Company currently intends to use the net proceeds from these offerings, together with existing cash, cash equivalents and trade receivables, for working capital and other general corporate purposes, including potential acquisitions. The Company may also use a portion of our net proceeds to fund possible investments in and acquisitions of complementary businesses; however, the Company currently has no agreements or commitments to complete any such transaction.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8"/>
          <w:szCs w:val="18"/>
          <w:color w:val="auto"/>
        </w:rPr>
        <w:t>Statements and information in this report that are not historical are forward-looking statements within the meaning of the Private Securities Litigation Reform Act of 1995 and are made pursuant to the “safe harbor” provisions of such Act. Forward-looking statements may be identified by the use of words such as “we expect” or “are expected to be,” “estimate,” “plan,” “project,” “forecast,” “intend,” “anticipate,” “believe,” “seek,” or other similar expressions that predict or indicate future events or trends or that are not statements of historical matters. These forward-looking statements include, but are not limited to, statements regarding the possible uses of the net proceeds from the offering, as well as the possibility of investments, acquisitions, partnerships and joint ventures.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and expectations. The risks, uncertainties, assumptions and other factors that could cause actual events or results to differ from the events or results predicted or implied by our forward-looking statement include those risk factors discussed in our filings with the SEC, including those disclosed under the caption “Risk Factors” in our annual report on Form 10-K for the year ended December 31, 2024, our quarterly report on Form 10-Q for the fiscal quarter ended March 31, 2025, and subsequent quarterly reports. Navitas may elect to update these forward-looking statements at some point in the future, but specifically disclaims any obligation to do so.</w:t>
      </w:r>
    </w:p>
    <w:p>
      <w:pPr>
        <w:spacing w:after="0" w:line="143"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8"/>
          <w:szCs w:val="18"/>
          <w:color w:val="auto"/>
        </w:rPr>
        <w:t>The information in this report is being furnished pursuant to Item 7.01 of Form 8-K and shall not be deemed “filed” for purposes of Section 18 of the Securities Exchange Act of 1934, as amended, or otherwise subject to the liabilities of that section. The information in this Item 7.01 shall not be incorporated by reference into any filing under the Securities Act of 1933 or the Securities Exchange Act of 1934, except as expressly set forth by specific reference in such a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1223645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NAVITAS SEMICONDUCTOR CORPORATION</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Dated: July 3, 2025</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230"/>
        </w:trPr>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Gene Sheridan</w:t>
            </w:r>
          </w:p>
        </w:tc>
      </w:tr>
      <w:tr>
        <w:trPr>
          <w:trHeight w:val="218"/>
        </w:trPr>
        <w:tc>
          <w:tcPr>
            <w:tcW w:w="680" w:type="dxa"/>
            <w:vAlign w:val="bottom"/>
          </w:tcPr>
          <w:p>
            <w:pPr>
              <w:spacing w:after="0"/>
              <w:rPr>
                <w:sz w:val="18"/>
                <w:szCs w:val="18"/>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 Sheridan</w:t>
            </w:r>
          </w:p>
        </w:tc>
      </w:tr>
      <w:tr>
        <w:trPr>
          <w:trHeight w:val="234"/>
        </w:trPr>
        <w:tc>
          <w:tcPr>
            <w:tcW w:w="680" w:type="dxa"/>
            <w:vAlign w:val="bottom"/>
          </w:tcPr>
          <w:p>
            <w:pPr>
              <w:spacing w:after="0"/>
              <w:rPr>
                <w:sz w:val="20"/>
                <w:szCs w:val="20"/>
                <w:color w:val="auto"/>
              </w:rPr>
            </w:pPr>
          </w:p>
        </w:tc>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pacing w:after="0" w:line="1" w:lineRule="exact"/>
        <w:rPr>
          <w:sz w:val="20"/>
          <w:szCs w:val="20"/>
          <w:color w:val="auto"/>
        </w:rPr>
      </w:pPr>
    </w:p>
    <w:sectPr>
      <w:pgSz w:w="11900" w:h="16838" w:orient="portrait"/>
      <w:cols w:equalWidth="0" w:num="1">
        <w:col w:w="11240"/>
      </w:cols>
      <w:pgMar w:left="320" w:top="14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2025-07-03T15:33:13Z</dcterms:created>
  <dcterms:modified xsi:type="dcterms:W3CDTF">2025-07-03T15:33:13Z</dcterms:modified>
</cp:coreProperties>
</file>