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2024</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Calibri" w:cs="Calibri" w:eastAsia="Calibri" w:hAnsi="Calibri"/>
          <w:sz w:val="32"/>
          <w:szCs w:val="32"/>
          <w:b w:val="1"/>
          <w:bCs w:val="1"/>
          <w:color w:val="auto"/>
        </w:rPr>
        <w:t>Navitas Semiconductor Corporaton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183,100,829 shares of Class A Common Stock were outstanding at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 - Financial Information</w:t>
            </w:r>
          </w:p>
        </w:tc>
        <w:tc>
          <w:tcPr>
            <w:tcW w:w="3320" w:type="dxa"/>
            <w:vAlign w:val="bottom"/>
            <w:gridSpan w:val="6"/>
            <w:vMerge w:val="restart"/>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tcBorders>
              <w:bottom w:val="single" w:sz="8" w:color="0E32E1"/>
            </w:tcBorders>
            <w:gridSpan w:val="7"/>
            <w:vMerge w:val="continue"/>
          </w:tcPr>
          <w:p>
            <w:pPr>
              <w:spacing w:after="0"/>
              <w:rPr>
                <w:sz w:val="14"/>
                <w:szCs w:val="14"/>
                <w:color w:val="auto"/>
              </w:rPr>
            </w:pPr>
          </w:p>
        </w:tc>
        <w:tc>
          <w:tcPr>
            <w:tcW w:w="3320" w:type="dxa"/>
            <w:vAlign w:val="bottom"/>
            <w:gridSpan w:val="6"/>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2</w:t>
            </w:r>
          </w:p>
        </w:tc>
        <w:tc>
          <w:tcPr>
            <w:tcW w:w="0" w:type="dxa"/>
            <w:vAlign w:val="bottom"/>
          </w:tcPr>
          <w:p>
            <w:pPr>
              <w:spacing w:after="0"/>
              <w:rPr>
                <w:sz w:val="1"/>
                <w:szCs w:val="1"/>
                <w:color w:val="auto"/>
              </w:rPr>
            </w:pPr>
          </w:p>
        </w:tc>
      </w:tr>
      <w:tr>
        <w:trPr>
          <w:trHeight w:val="736"/>
        </w:trPr>
        <w:tc>
          <w:tcPr>
            <w:tcW w:w="2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14"/>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and December 31, 2023</w:t>
            </w:r>
          </w:p>
        </w:tc>
        <w:tc>
          <w:tcPr>
            <w:tcW w:w="2660" w:type="dxa"/>
            <w:vAlign w:val="bottom"/>
            <w:gridSpan w:val="4"/>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2</w:t>
            </w:r>
          </w:p>
        </w:tc>
        <w:tc>
          <w:tcPr>
            <w:tcW w:w="0" w:type="dxa"/>
            <w:vAlign w:val="bottom"/>
          </w:tcPr>
          <w:p>
            <w:pPr>
              <w:spacing w:after="0"/>
              <w:rPr>
                <w:sz w:val="1"/>
                <w:szCs w:val="1"/>
                <w:color w:val="auto"/>
              </w:rPr>
            </w:pPr>
          </w:p>
        </w:tc>
      </w:tr>
      <w:tr>
        <w:trPr>
          <w:trHeight w:val="209"/>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 March 31, 2024 and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2024 and 2023</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9"/>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 for the Three Months Ended March 31, 2024 and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09"/>
        </w:trPr>
        <w:tc>
          <w:tcPr>
            <w:tcW w:w="40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w:t>
            </w:r>
          </w:p>
        </w:tc>
        <w:tc>
          <w:tcPr>
            <w:tcW w:w="3640" w:type="dxa"/>
            <w:vAlign w:val="bottom"/>
            <w:tcBorders>
              <w:top w:val="single" w:sz="8" w:color="0000FF"/>
            </w:tcBorders>
            <w:gridSpan w:val="8"/>
          </w:tcPr>
          <w:p>
            <w:pPr>
              <w:spacing w:after="0"/>
              <w:rPr>
                <w:sz w:val="18"/>
                <w:szCs w:val="18"/>
                <w:color w:val="auto"/>
              </w:rPr>
            </w:pPr>
          </w:p>
        </w:tc>
        <w:tc>
          <w:tcPr>
            <w:tcW w:w="1300" w:type="dxa"/>
            <w:vAlign w:val="bottom"/>
            <w:gridSpan w:val="3"/>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9"/>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Conditions and Operating Results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23</w:t>
            </w:r>
          </w:p>
        </w:tc>
        <w:tc>
          <w:tcPr>
            <w:tcW w:w="0" w:type="dxa"/>
            <w:vAlign w:val="bottom"/>
          </w:tcPr>
          <w:p>
            <w:pPr>
              <w:spacing w:after="0"/>
              <w:rPr>
                <w:sz w:val="1"/>
                <w:szCs w:val="1"/>
                <w:color w:val="auto"/>
              </w:rPr>
            </w:pPr>
          </w:p>
        </w:tc>
      </w:tr>
      <w:tr>
        <w:trPr>
          <w:trHeight w:val="223"/>
        </w:trPr>
        <w:tc>
          <w:tcPr>
            <w:tcW w:w="43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900" w:type="dxa"/>
            <w:vAlign w:val="bottom"/>
            <w:tcBorders>
              <w:top w:val="single" w:sz="8" w:color="0000FF"/>
            </w:tcBorders>
            <w:gridSpan w:val="5"/>
          </w:tcPr>
          <w:p>
            <w:pPr>
              <w:spacing w:after="0"/>
              <w:rPr>
                <w:sz w:val="19"/>
                <w:szCs w:val="19"/>
                <w:color w:val="auto"/>
              </w:rPr>
            </w:pPr>
          </w:p>
        </w:tc>
        <w:tc>
          <w:tcPr>
            <w:tcW w:w="2680" w:type="dxa"/>
            <w:vAlign w:val="bottom"/>
            <w:gridSpan w:val="5"/>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29</w:t>
            </w:r>
          </w:p>
        </w:tc>
        <w:tc>
          <w:tcPr>
            <w:tcW w:w="0" w:type="dxa"/>
            <w:vAlign w:val="bottom"/>
          </w:tcPr>
          <w:p>
            <w:pPr>
              <w:spacing w:after="0"/>
              <w:rPr>
                <w:sz w:val="1"/>
                <w:szCs w:val="1"/>
                <w:color w:val="auto"/>
              </w:rPr>
            </w:pPr>
          </w:p>
        </w:tc>
      </w:tr>
      <w:tr>
        <w:trPr>
          <w:trHeight w:val="250"/>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29</w:t>
            </w:r>
          </w:p>
        </w:tc>
        <w:tc>
          <w:tcPr>
            <w:tcW w:w="0" w:type="dxa"/>
            <w:vAlign w:val="bottom"/>
          </w:tcPr>
          <w:p>
            <w:pPr>
              <w:spacing w:after="0"/>
              <w:rPr>
                <w:sz w:val="1"/>
                <w:szCs w:val="1"/>
                <w:color w:val="auto"/>
              </w:rPr>
            </w:pPr>
          </w:p>
        </w:tc>
      </w:tr>
      <w:tr>
        <w:trPr>
          <w:trHeight w:val="763"/>
        </w:trPr>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4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6"/>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31</w:t>
            </w:r>
          </w:p>
        </w:tc>
        <w:tc>
          <w:tcPr>
            <w:tcW w:w="0" w:type="dxa"/>
            <w:vAlign w:val="bottom"/>
          </w:tcPr>
          <w:p>
            <w:pPr>
              <w:spacing w:after="0"/>
              <w:rPr>
                <w:sz w:val="1"/>
                <w:szCs w:val="1"/>
                <w:color w:val="auto"/>
              </w:rPr>
            </w:pPr>
          </w:p>
        </w:tc>
      </w:tr>
      <w:tr>
        <w:trPr>
          <w:trHeight w:val="250"/>
        </w:trPr>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31</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20" w:type="dxa"/>
            <w:vAlign w:val="bottom"/>
            <w:gridSpan w:val="17"/>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31</w:t>
            </w: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20" w:type="dxa"/>
            <w:vAlign w:val="bottom"/>
            <w:gridSpan w:val="17"/>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340" w:type="dxa"/>
            <w:vAlign w:val="bottom"/>
            <w:gridSpan w:val="19"/>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500"/>
            <w:col w:w="10080"/>
          </w:cols>
          <w:pgMar w:left="320" w:top="12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shares and par value)</w:t>
            </w: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60" w:type="dxa"/>
            <w:vAlign w:val="bottom"/>
          </w:tcPr>
          <w:p>
            <w:pPr>
              <w:spacing w:after="0"/>
              <w:rPr>
                <w:sz w:val="17"/>
                <w:szCs w:val="17"/>
                <w:color w:val="auto"/>
              </w:rPr>
            </w:pPr>
          </w:p>
        </w:tc>
        <w:tc>
          <w:tcPr>
            <w:tcW w:w="1540" w:type="dxa"/>
            <w:vAlign w:val="bottom"/>
          </w:tcPr>
          <w:p>
            <w:pPr>
              <w:jc w:val="right"/>
              <w:ind w:right="151"/>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208,482</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0" w:type="dxa"/>
            <w:vAlign w:val="bottom"/>
          </w:tcPr>
          <w:p>
            <w:pPr>
              <w:spacing w:after="0"/>
              <w:rPr>
                <w:sz w:val="1"/>
                <w:szCs w:val="1"/>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deposit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50,384</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$0.0001 par value, 750,000,000 shares authorized as of March 31, 2024 and December</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31, 2023, and 182,996,785 and 179,196,418 shares issued and outstanding at March 31, 2024 and</w:t>
            </w:r>
          </w:p>
        </w:tc>
        <w:tc>
          <w:tcPr>
            <w:tcW w:w="2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17,394</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(35,466)</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(62,304)</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29"/>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70"/>
        </w:trPr>
        <w:tc>
          <w:tcPr>
            <w:tcW w:w="7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175"/>
        </w:trPr>
        <w:tc>
          <w:tcPr>
            <w:tcW w:w="7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LOSS PER SHARE ATTRIBUTABLE</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COMMON STOCKHOLDERS: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4"/>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156,792</w:t>
            </w:r>
          </w:p>
        </w:tc>
      </w:tr>
      <w:tr>
        <w:trPr>
          <w:trHeight w:val="234"/>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156,792</w:t>
            </w: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2"/>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w:t>
            </w:r>
          </w:p>
        </w:tc>
      </w:tr>
      <w:tr>
        <w:trPr>
          <w:trHeight w:val="229"/>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ATTRIBUTABLE TO CONTROLLING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6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179,196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680,790</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380,617</w:t>
            </w:r>
          </w:p>
        </w:tc>
        <w:tc>
          <w:tcPr>
            <w:tcW w:w="0" w:type="dxa"/>
            <w:vAlign w:val="bottom"/>
          </w:tcPr>
          <w:p>
            <w:pPr>
              <w:spacing w:after="0"/>
              <w:rPr>
                <w:sz w:val="1"/>
                <w:szCs w:val="1"/>
                <w:color w:val="auto"/>
              </w:rPr>
            </w:pPr>
          </w:p>
        </w:tc>
      </w:tr>
      <w:tr>
        <w:trPr>
          <w:trHeight w:val="139"/>
        </w:trPr>
        <w:tc>
          <w:tcPr>
            <w:tcW w:w="3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10,734</w:t>
            </w:r>
          </w:p>
        </w:tc>
        <w:tc>
          <w:tcPr>
            <w:tcW w:w="0" w:type="dxa"/>
            <w:vAlign w:val="bottom"/>
          </w:tcPr>
          <w:p>
            <w:pPr>
              <w:spacing w:after="0"/>
              <w:rPr>
                <w:sz w:val="1"/>
                <w:szCs w:val="1"/>
                <w:color w:val="auto"/>
              </w:rPr>
            </w:pPr>
          </w:p>
        </w:tc>
      </w:tr>
      <w:tr>
        <w:trPr>
          <w:trHeight w:val="193"/>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 plans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10,247</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non-employee stock awards</w:t>
            </w: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22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182,997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701,771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397,917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6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153,629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535,875</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384,760</w:t>
            </w:r>
          </w:p>
        </w:tc>
        <w:tc>
          <w:tcPr>
            <w:tcW w:w="0" w:type="dxa"/>
            <w:vAlign w:val="bottom"/>
          </w:tcPr>
          <w:p>
            <w:pPr>
              <w:spacing w:after="0"/>
              <w:rPr>
                <w:sz w:val="1"/>
                <w:szCs w:val="1"/>
                <w:color w:val="auto"/>
              </w:rPr>
            </w:pPr>
          </w:p>
        </w:tc>
      </w:tr>
      <w:tr>
        <w:trPr>
          <w:trHeight w:val="139"/>
        </w:trPr>
        <w:tc>
          <w:tcPr>
            <w:tcW w:w="3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193"/>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 plans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14,884</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non-employee stock awards</w:t>
            </w: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buyout agreement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(62,365)</w:t>
            </w: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160,944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561,193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(216,601)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344,603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45"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Customer deposit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0" w:type="dxa"/>
            <w:vAlign w:val="bottom"/>
          </w:tcPr>
          <w:p>
            <w:pPr>
              <w:spacing w:after="0"/>
              <w:rPr>
                <w:sz w:val="1"/>
                <w:szCs w:val="1"/>
                <w:color w:val="auto"/>
              </w:rPr>
            </w:pP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100,823</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buyout agreement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silicon carbide (“SiC”) devices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Third Party</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3, 2024, the Company made an additional investment of $2.5 million in preferred interests in a third party . The Company’s new ownership percentage increased to 15.48%. The investment is $5.0 million and $2.5 million as of March 31, 2024 and December 31, 2023, respectively. Such investment is included in Other Assets in the Condensed Consolidated Balance Sheets and is accounted for as an equity investment under ASC 321 Investments - Equity Securities.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15, Noncontrolling Interest, for more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are in the opinion of management, necessary for a fair presentation of such condensed consolidated financial statements. Operating results for the three months ended March 31, 2024, are not necessarily indicative of results to be expected for the full year ending December 31, 2024.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 for the fiscal year ended December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 2023, filed with the SEC on March 6, 2024. Except as further described below, there have been no significant changes in the Company’s accounting policies from those disclosed in its Form 10-K filed with the SEC on March 6,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 Resulting from a Business Combination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we may 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Condensed Consolidated Statements of Operations until such time as the specified milestone achievement period is complete.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may differ from estimates.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ASU 2023-09 becomes effective for fiscal years beginning after December 15, 2024, with early adoption permitted. While we are currently assessing the impact of this standard, we anticipate it will result in disclosure changes only.</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our company or are not anticipated to materially impact the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w:t>
            </w:r>
          </w:p>
        </w:tc>
      </w:tr>
      <w:tr>
        <w:trPr>
          <w:trHeight w:val="27"/>
        </w:trPr>
        <w:tc>
          <w:tcPr>
            <w:tcW w:w="6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6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depreciation expense was $0.7 million and $0.5 million for the three months ended March 31, 2024 and 2023, respectively, and was determined using the straight-line method over the following estimated useful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3 — 7 years</w:t>
            </w: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482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2 — 5 years</w:t>
            </w: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2 — 6 years</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$113.0 million as of March 31, 2024 and $139.0 million for December 31, 2023.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March 31,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20,653</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2023 (in thousands):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Significant</w:t>
            </w:r>
          </w:p>
        </w:tc>
      </w:tr>
      <w:tr>
        <w:trPr>
          <w:trHeight w:val="241"/>
        </w:trPr>
        <w:tc>
          <w:tcPr>
            <w:tcW w:w="7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6"/>
              </w:rPr>
              <w:t>46,852</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center"/>
              <w:ind w:left="2850"/>
              <w:spacing w:after="0"/>
              <w:rPr>
                <w:sz w:val="20"/>
                <w:szCs w:val="20"/>
                <w:color w:val="auto"/>
              </w:rPr>
            </w:pPr>
            <w:r>
              <w:rPr>
                <w:rFonts w:ascii="Times New Roman" w:cs="Times New Roman" w:eastAsia="Times New Roman" w:hAnsi="Times New Roman"/>
                <w:sz w:val="18"/>
                <w:szCs w:val="18"/>
                <w:color w:val="auto"/>
              </w:rPr>
              <w:t>(26,199)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Borders>
              <w:bottom w:val="single" w:sz="8" w:color="auto"/>
            </w:tcBorders>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6"/>
              </w:rPr>
              <w:t>20,653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INTANGIBLES</w:t>
      </w:r>
    </w:p>
    <w:p>
      <w:pPr>
        <w:spacing w:after="0" w:line="36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as of March 31, 2024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32,453</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1400" w:right="1600"/>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86"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33655</wp:posOffset>
            </wp:positionV>
            <wp:extent cx="70548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Additions to intangible assets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91,099</w:t>
            </w:r>
          </w:p>
        </w:tc>
      </w:tr>
      <w:tr>
        <w:trPr>
          <w:trHeight w:val="230"/>
        </w:trPr>
        <w:tc>
          <w:tcPr>
            <w:tcW w:w="14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3"/>
        </w:trPr>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86,325</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-334010</wp:posOffset>
            </wp:positionV>
            <wp:extent cx="70548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445" w:right="339" w:bottom="1440" w:gutter="0" w:footer="0" w:header="0"/>
          <w:type w:val="continuous"/>
        </w:sectPr>
      </w:pP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amortization expense was $4.8 million and $4.5 million for the three months ended March 31, 2024 and 2023, respectively.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380" w:type="dxa"/>
            <w:vAlign w:val="bottom"/>
          </w:tcPr>
          <w:p>
            <w:pPr>
              <w:spacing w:after="0"/>
              <w:rPr>
                <w:sz w:val="16"/>
                <w:szCs w:val="16"/>
                <w:color w:val="auto"/>
              </w:rPr>
            </w:pPr>
          </w:p>
        </w:tc>
        <w:tc>
          <w:tcPr>
            <w:tcW w:w="420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fiscal 2024)</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impairment charges during the three months ended March 31,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These leases have remaining terms which range from 0.2 to 5.6 years. As of March 31, 2024,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March 31, 2024, all leases recorded on the Company’s consolidated balance sheets were operating leases.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Rent expense, including short-term lease cost, was $0.8 million and $0.5 million for the three months ended March 31, 2024 and 2023, respectively. In addition to rent payments, the Company’s leases include real estate taxes, common area maintenance, utilities, and management fees, which are not fixed. The Company accounts for these costs as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payments and does not include such costs as a lease component. Total variable expense was $0.1 million for the three months ended March 31, 2024 and not material for the three months ended March 31,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4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6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23"/>
                <w:szCs w:val="23"/>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7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- 9.25%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- 7.75%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 (in thousands):</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2026</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2027</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2028</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March 31, 2024 the Company has issued 9,750,000 non-statutory stock options under the 2021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months ended March 31, 2024 and 2023:</w:t>
      </w:r>
    </w:p>
    <w:p>
      <w:pPr>
        <w:spacing w:after="0" w:line="295"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39"/>
        </w:trPr>
        <w:tc>
          <w:tcPr>
            <w:tcW w:w="47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7,177</w:t>
            </w:r>
          </w:p>
        </w:tc>
      </w:tr>
      <w:tr>
        <w:trPr>
          <w:trHeight w:val="25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9,983</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17,160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incentive stock options and non-statutory stock options issued was estimated using the Black-Scholes model. The Company did not grant any stock option awards during the three months ended March 31, 2024 or 2023.</w:t>
      </w:r>
    </w:p>
    <w:p>
      <w:pPr>
        <w:spacing w:after="0" w:line="54" w:lineRule="exact"/>
        <w:rPr>
          <w:sz w:val="20"/>
          <w:szCs w:val="20"/>
          <w:color w:val="auto"/>
        </w:rPr>
      </w:pPr>
    </w:p>
    <w:p>
      <w:pPr>
        <w:jc w:val="both"/>
        <w:ind w:right="20" w:firstLine="486"/>
        <w:spacing w:after="0" w:line="271"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March 31, 2024, and activity during the three months then ended, is presented below:</w:t>
      </w: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6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175"/>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gridSpan w:val="2"/>
          </w:tcPr>
          <w:p>
            <w:pPr>
              <w:jc w:val="center"/>
              <w:ind w:right="5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16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4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2,657</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5"/>
        </w:trPr>
        <w:tc>
          <w:tcPr>
            <w:tcW w:w="4600" w:type="dxa"/>
            <w:vAlign w:val="bottom"/>
            <w:tcBorders>
              <w:bottom w:val="single" w:sz="8" w:color="CCEEFF"/>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60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at March 31, 2024</w:t>
            </w:r>
          </w:p>
        </w:tc>
        <w:tc>
          <w:tcPr>
            <w:tcW w:w="1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2,050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891"/>
        </w:trPr>
        <w:tc>
          <w:tcPr>
            <w:tcW w:w="4600" w:type="dxa"/>
            <w:vAlign w:val="bottom"/>
          </w:tcPr>
          <w:p>
            <w:pPr>
              <w:spacing w:after="0"/>
              <w:rPr>
                <w:sz w:val="24"/>
                <w:szCs w:val="24"/>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both the three months ended March 31, 2024 and 2023, the Company recognized $0.1 million of stock-based compensation expense for the vesting of outstanding stock options, excluding $1.9 million and $2.5 million, respectively, related to the LTIP Options described below. At March 31, 2024, unrecognized compensation cost related to unvested options totaled $0.1 million. The weighted-average period over which this remaining compensation cost will be recognized is 0.5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7.8 years. The Company utilized the services of a professional valuation firm to finalize these assumptions during the fiscal year ended December 31, 2023. The valuation model utilized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“2021 LTIP Options”, the Company recognized $1.6 million and $2.2 million of stock-based compensation expense for the three months ended March 31, 2024 and 2023, respectively. The unrecognized compensation expense related to these LTIP Options is $4.7 million as of March 31, 2024, and compensation expense will be recognized over 0.8 years. On a quarterly basis, after evaluating the 2021 LTIP Options based on the probability of achieving certain market and performance conditions, the Company may true up the 2021 LTIP Options expense as needed.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w:t>
      </w:r>
    </w:p>
    <w:p>
      <w:pPr>
        <w:spacing w:after="0" w:line="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weighted average contractual period remaining is 8.3 years. Th</w:t>
      </w:r>
      <w:r>
        <w:rPr>
          <w:rFonts w:ascii="Times New Roman" w:cs="Times New Roman" w:eastAsia="Times New Roman" w:hAnsi="Times New Roman"/>
          <w:sz w:val="21"/>
          <w:szCs w:val="21"/>
          <w:color w:val="auto"/>
        </w:rPr>
        <w:t>e</w:t>
      </w:r>
      <w:r>
        <w:rPr>
          <w:rFonts w:ascii="Times New Roman" w:cs="Times New Roman" w:eastAsia="Times New Roman" w:hAnsi="Times New Roman"/>
          <w:sz w:val="18"/>
          <w:szCs w:val="18"/>
          <w:color w:val="auto"/>
        </w:rPr>
        <w:t xml:space="preserve"> Black-Scholes model and a Monte Carlo simulation incorporated 100,000 scenarios. The valuation model utilized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“2022 LTIP Options”, the Company recognized $0.3 million of stock-based compensation expense for both the three months ended March 31, 2024 and 2023, respectively. The unrecognized compensation expense related to the LTIP Options is $1.5 million as of March 31, 2024, and compensation expense will be recognized over 1.7 years. On a quarterly basis, after evaluating the 2022 LTIP Options based on the probability of achieving certain market and performance conditions, the Company may true up the 2022 LTIP Options expense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March 31, 2024, and activity during the three months then ended, is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c>
          <w:tcPr>
            <w:tcW w:w="23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Weighted-Average Grant Date Fair</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vMerge w:val="continue"/>
          </w:tcPr>
          <w:p>
            <w:pPr>
              <w:spacing w:after="0"/>
              <w:rPr>
                <w:sz w:val="21"/>
                <w:szCs w:val="21"/>
                <w:color w:val="auto"/>
              </w:rPr>
            </w:pPr>
          </w:p>
        </w:tc>
        <w:tc>
          <w:tcPr>
            <w:tcW w:w="23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$8.2 million and $7.1 million of stock-based compensation expense for the vesting of RSUs, respectively. As of March 31, 2024, unrecognized compensation cost related to unvested RSU awards totaled $79.2 million. The weighted-average period over which this remaining compensation cost is expected be recognized is 2.5 years.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annual bonus plan of $2.5 million related to fiscal year 2024 (included in accrued compensation expense liability on the condensed consolidated balance sheets), will be issued with a variable number of fully-vested restricted stock units to its employees and is expected to be settled in the first quarter of 2025. Based on the closing share price of the Company’s Class A Common Stock of $4.77 on March 28, 2024, approximately 518,942 shares would be issued, however the actual number of shares will be based on the share price at the date of settlement.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three months ended March 31, 2024, employees who elected to participate in the ESPP purchased 393,139 shares of common stock under the 2022 ESPP, resulting in cash proceeds to the Company of $1.8 million. The purchase price was $4.55, which was 15% of the fair market value in March 2024. As of March 31, 2024, the Company had 2,348,898 remaining authorized shares available for purchase. As the plan was newly adopted in 2023, there were no shares issued or stock-based compensation expense for the 2022 ESPP as of March 31, 2023. During the three months ended March 31, 2024, the Company recognized $0.8 million of stock-based compensation expense for the 2022 ESPP.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the remaining minority interest of a silicon control IC joint venture, as described in Note 15, the Company issued 841,729 fully vested shares to certain former employees of the joint venture with a grant date fair value totaling $4.5 million. Such amount has been recognized as stock-based compensation expense during the three months ended March 31, 2023.</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four and three years, respectively, following the date of issue. These restricted shares are subject to certain individuals maintaining employment with the Company and, therefore, are accounted for under ASC 718.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$0.1 million and $0.4 million of stock-based compensation expense related to the vesting of these shares during the three months ended March 31,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portion of the earnout shares (discussed in Note 9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As of the beginning of the second quarter of fiscal year 2023, these earnout shares had fully vested. At March 31, 2024, there was no remaining compensation cost related to unvested earnout shares. During the three months ended March 31, 2023, the Company recognized $0.3 million of stock-based compensation expense for the vesting of earnout shares. Refer to Note 9, Earnout Liability.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EARNOUT LIABILITY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6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earnout liability is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in the consolidated statements of operations.</w:t>
      </w:r>
    </w:p>
    <w:p>
      <w:pPr>
        <w:spacing w:after="0" w:line="52"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7"/>
              </w:rPr>
              <w:t>March 31, 2024</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80.00 %</w:t>
            </w:r>
          </w:p>
        </w:tc>
        <w:tc>
          <w:tcPr>
            <w:tcW w:w="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earnout liability had a fair value of $20.7 million and $46.9 million, respectively, which resulted in a gain in the fair value of the earnout liability of $26.2 million. The loss in the earnout liability was $27.8 million for the three month period ended March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SIGNIFICANT CUSTOMERS AND CREDIT CONCENTRATIONS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22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52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net revenues were less than 10% of total net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three months ended March 31, 2024 and 2023 were attributable to end customers in the following countries or regions: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504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2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accounts receivable was less than 10% of total net accounts receivable.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a customer deposit from a primary customer of $8.1 million and the Company intends to apply a portion of the customer deposit to outstanding accounts receivable from time-to-time.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to purchase raw materials from a supplier from September 29, 2022 through December 31, 2025, and accordingly made a $2.0 million refundable deposit. The Company is not obligated to purchase from this supplier, however, if the Company does not meet minimum purchase requirements during the term, the Company may forfeit all or a portion of its $2.0 million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Basic loss per share is calculated by dividing net loss by the weighted-average shares of common stock outstanding during the period. Diluted loss per share is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spacing w:after="0" w:line="23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156,792</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179,779</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156,792</w:t>
            </w:r>
          </w:p>
        </w:tc>
      </w:tr>
      <w:tr>
        <w:trPr>
          <w:trHeight w:val="27"/>
        </w:trPr>
        <w:tc>
          <w:tcPr>
            <w:tcW w:w="7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Shares excluded from diluted weighted-average shares: </w:t>
            </w:r>
            <w:r>
              <w:rPr>
                <w:rFonts w:ascii="Times New Roman" w:cs="Times New Roman" w:eastAsia="Times New Roman" w:hAnsi="Times New Roman"/>
                <w:sz w:val="21"/>
                <w:szCs w:val="21"/>
                <w:b w:val="1"/>
                <w:bCs w:val="1"/>
                <w:color w:val="auto"/>
              </w:rPr>
              <w:t>¹</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shares excluded ²</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43"/>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Earnout shares (potentially issuable common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7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restricted stock units and restricted stock awards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options potentially exercisable for common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7"/>
        </w:trPr>
        <w:tc>
          <w:tcPr>
            <w:tcW w:w="7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9"/>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excluded from diluted weighted average shares</w:t>
            </w:r>
          </w:p>
        </w:tc>
        <w:tc>
          <w:tcPr>
            <w:tcW w:w="1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right="320" w:hanging="8"/>
        <w:spacing w:after="0" w:line="266" w:lineRule="auto"/>
        <w:tabs>
          <w:tab w:leader="none" w:pos="4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potentially dilutive securities, which include unexercised stock options, unvested shares, and earnout shares, have been excluded from the computation of diluted net loss per share as the effect would be to reduce the net loss per share for both the three months ended March 31, 2024 and 2023.</w:t>
      </w:r>
    </w:p>
    <w:p>
      <w:pPr>
        <w:spacing w:after="0" w:line="68" w:lineRule="exact"/>
        <w:rPr>
          <w:sz w:val="20"/>
          <w:szCs w:val="20"/>
          <w:color w:val="auto"/>
        </w:rPr>
      </w:pPr>
    </w:p>
    <w:p>
      <w:pPr>
        <w:ind w:left="340" w:hanging="8"/>
        <w:spacing w:after="0" w:line="282" w:lineRule="auto"/>
        <w:tabs>
          <w:tab w:leader="none" w:pos="4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the impact of restricted stock from the calculation of diluted net loss per common share in periods where we have a net loss or when their inclusion would be antidilutive.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INCOME TAXES</w:t>
      </w:r>
    </w:p>
    <w:p>
      <w:pPr>
        <w:spacing w:after="0" w:line="36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months ended March 31, 2024 and 2023 was (1.93)% and (0.03)%, respectively. The effective tax rate for 2024 differs from the prior year primarily due to tax expense in foreign as a result of tax expense in foreign jurisdictions not impacted by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our ability to accurately predict the proportion of our loss before provision for income taxes in multiple jurisdictions, the tax effects of our stock-based compensation, and the effects of its foreign entities.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months ended March 31, 2024 and 2023. The Company recognizes interest and penalties related to unrecognized tax benefits in operating expenses. No such interest and penalties were recognized during the three months ended March 31,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2024, the Company had no non-cancelable contractual arrangements that were due beyond one year besides lease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March 31, 2024.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2021, Navitas entered into a silicon control IC joint venture with Halo Microelectronics Co., Ltd. (“Halo”), a manufacturer of power management ICs, to develop products and technology relating to AC/DC converters. Navitas’ initial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On January 19, 2023, the Company announced an agreement to acquire the remaining minority interest in the joint venture as well as rights to certain intellectual property from Halo and its U.S. affiliate for a total purchase price of $22.4 million in Navitas stock. See Note 15, Noncontrolling Interest, for more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expired in September 2023 and is now a month-to-month lease. During the three months ended March 31, 2024, the Company paid an immaterial amount in rental payments in relation to this lease. These payments were made at standard market rates in the ordinary course of business.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is now a month-to-month lease. During the three months ended March 31, 2024, the Company paid an immaterial amount in rental payments in relation to this lease. These payments were made at standard market rates in the ordinary course of business. There was no rent obligation as of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NONCONTROLLING INTEREST</w:t>
      </w:r>
    </w:p>
    <w:p>
      <w:pPr>
        <w:spacing w:after="0" w:line="36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July 2021, the Company formed a joint venture for the purpose of conducting research and development on technology in the area of AC/DC converters for chargers and adapters. Refer to Note 14.</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the joint venture as well as rights to certain intellectual property from Halo and its U.S. affiliate for a total purchase price of $22.4 million in Navitas stock. The transaction was completed on February 13, 2023. In connection with the purchase of intellectual property, the Company recognized developed technology as an intangible asset at its estimated fair value of $4.4 million.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consolidated balance sheet date of March 31, 2024, through May 15, 2024, the date the condensed consolidated financial statements were issued. There were no material subsequent events as of May 15,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Founded in 2013, Navitas is a U.S. based developer of gallium nitride and silicon carbide power semiconductor devices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three months ended March 31, 2024 and 2023, we spent approximately 87% and 130%, respectively, of our revenue on research and development. Navitas’ research and development activities are located primarily in the US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Buyout of Elevation Semiconductor</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Our revenue represents the sale of semiconductors through specialized distributors to original equipment manufacturers (“OEMs”), their suppliers and other end customers.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less estimated returns. We provide a non-conformity warranty which is not sold separately and does not represent a separate performance obligation.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primarily consists of interest earned from our cash on hand.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12, Provision for Income Taxes, in our accompanying condensed consolidated financial statements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March 31, 2024 and 2023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0"/>
        </w:trPr>
        <w:tc>
          <w:tcPr>
            <w:tcW w:w="49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r>
      <w:tr>
        <w:trPr>
          <w:trHeight w:val="263"/>
        </w:trPr>
        <w:tc>
          <w:tcPr>
            <w:tcW w:w="4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right="41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Three Months Ended March 31, 2024 Compared to the Three Months Ended March 31, 2023 </w:t>
      </w:r>
      <w:r>
        <w:rPr>
          <w:rFonts w:ascii="Times New Roman" w:cs="Times New Roman" w:eastAsia="Times New Roman" w:hAnsi="Times New Roman"/>
          <w:sz w:val="18"/>
          <w:szCs w:val="18"/>
          <w:b w:val="1"/>
          <w:bCs w:val="1"/>
          <w:i w:val="1"/>
          <w:iCs w:val="1"/>
          <w:u w:val="single" w:color="auto"/>
          <w:color w:val="auto"/>
        </w:rPr>
        <w:t>Revenue</w:t>
      </w:r>
    </w:p>
    <w:p>
      <w:pPr>
        <w:ind w:firstLine="486"/>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March 31, 2024 was $23.2 million compared to $13.4 million for the three months ended March 31, 2023, an increase of $9.8 million, or 73%. The increase is primarily due to increased sales within the mobile/consumer market.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revenues for the three months ended March 31, 2024 was $13.7 million compared to $7.9 million for the three months ended March 31, 2023, an increase of $5.8 million or 74%. The increase was primarily driven by significant revenue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2024 of $20.2 million increased by $2.8 million, or 16%, when compared to the three months ended March 31, 2023, primarily driven by an increase in research and development materials by approximately $1.4 million since March 31, 2023 and an increase in research and development stock compensation expense by approximately $0.2 million reflecting increases in research and development personnel.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2024 of $16.1 million decreased by $3.0 million, or 16%, when compared to the three months ended March 31, 2023, primarily driven by lower stock compensation expense in selling, general and administrative compared to March 2023 by around $3.8 million given the stock grant in March 2023 related to the acquisition of the minority interest of the Joint Venture as discussed in Note 15 Noncontrolling Interest.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2024 of $4.8 million increased by $0.3 million, or 6%, when compared to the three months ended March 31, 2023. The increase is primarily due to business acquisitions resulting in more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interest income for the three months ended March 31, 2024 was $1.7 million compared to $0.9 million net interest income for the three months ended March 31, 2023, primarily due to the higher interest rate received on money markets funds.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we recognized a $26.2 million gain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$26.2 million was primarily a result of the decrease of the closing price of our Class A common stock listed on the Nasdaq, resulting in the decrease in the estimated fair value of the earnout shares from $4.76 as of March 31, 2023 to $2.42 as of March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provision for the three months ended March 31, 2024 increased $0.0 million when compared to the income tax expense of $0.1 million for the three months ended March 31, 2023. We expect our tax rate to remain close to zero in the near term due to full valuation allowances against deferred tax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we had cash and cash equivalents of $129.7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three months ended March 31, 2024 and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20" w:type="dxa"/>
            <w:vAlign w:val="bottom"/>
          </w:tcPr>
          <w:p>
            <w:pPr>
              <w:spacing w:after="0"/>
              <w:rPr>
                <w:sz w:val="20"/>
                <w:szCs w:val="20"/>
                <w:color w:val="auto"/>
              </w:rPr>
            </w:pPr>
          </w:p>
        </w:tc>
        <w:tc>
          <w:tcPr>
            <w:tcW w:w="2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7"/>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96"/>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3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18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derive liquidity primarily from equity financing activities. As of March 31, 2024, our balance of cash and cash equivalents was $129.7 million, which is a decrease of $23.2 million or 15% compared to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$19.8 million, which primarily reflects a net loss of $3.7 million. This decrease to operating cash flows are partially offset by adjustments for non-cash share-based compensation of $13.5 million, non-cash gains of $26.2 million in earnout liabilities, amortization of intangible assets of $4.8 million, and an aggregate cash used in operating assets and liabilities of $7.8 million. Specifically, increases in inventories of $10 million due to wafer purchases, decreases in customer deposits of $2.9 million partially offset by a $3.7 million decrease in accounts receivable and a decrease in accounts payable, accrued compensation and other expenses of $0.5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of $5.4 million was primarily due to $2.5 million cash funding of a joint venture and $2.9 million for purchases of fixed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of $2.0 million was primarily due to proceeds from stock option exercises of $0.2 million and proceeds from our employee stock purchase plan of $1.8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March 31, 2024, our non-cancellable contractual arrangements consisted entirely of lease obligations. Refer to Note 7 - Leases for further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we did not have any off-balance sheet arrangements as defined in Item 303(a)(4)(ii) of Regulation S-K.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2023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March 31, 2024, as a result of the material weaknesses in our internal control over financial reporting discussed below, our disclosure controls and procedures were not effective.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material weaknesses in the control environment based on the COSO Framework and control activities have been identified:</w:t>
      </w:r>
    </w:p>
    <w:p>
      <w:pPr>
        <w:spacing w:after="0" w:line="239" w:lineRule="exact"/>
        <w:rPr>
          <w:sz w:val="20"/>
          <w:szCs w:val="20"/>
          <w:color w:val="auto"/>
        </w:rPr>
      </w:pPr>
    </w:p>
    <w:p>
      <w:pPr>
        <w:jc w:val="both"/>
        <w:ind w:left="660" w:right="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a sufficient complement of personnel with appropriate levels of knowledge, experience, and training in accounting for complex and non-routine transactions, and internal control matters to perform assigned responsibilities and have appropriate accountability for the design and operation of internal control over financial reporting.</w:t>
      </w:r>
    </w:p>
    <w:p>
      <w:pPr>
        <w:spacing w:after="0" w:line="196"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control environment material weaknesses contributed to other material weaknesses within the Company’s system of internal control over financial reporting in the following COSO Framework components such that the Company did not design and implement effective controls as follows:</w:t>
      </w:r>
    </w:p>
    <w:p>
      <w:pPr>
        <w:spacing w:after="0" w:line="175" w:lineRule="exact"/>
        <w:rPr>
          <w:sz w:val="20"/>
          <w:szCs w:val="20"/>
          <w:color w:val="auto"/>
        </w:rPr>
      </w:pPr>
    </w:p>
    <w:p>
      <w:pPr>
        <w:ind w:left="660" w:right="140" w:hanging="328"/>
        <w:spacing w:after="0" w:line="280"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activities and monitoring - The Company did not design and implement effective controls over the accounting for share-based payments, including the long-term incentive plan awards, as well as the accounting for the Company’s license and release agreement. Additionally, the Company did not have effective ongoing evaluation to ascertain whether the components of internal controls are present and functioning.</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Management is in the process of evaluating resources throughout the organization where current resources should be assigned and where additional resources are needed to consistently timely execute internal control activities. For complex transactions, management plans to utilize external professional firms to assist with such transactions as they may arise.</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232323"/>
        </w:rPr>
        <w:t xml:space="preserve">Other than the material weakness described above, there have been no significant changes in our internal control over financial reporting (as defined in </w:t>
      </w:r>
      <w:r>
        <w:rPr>
          <w:rFonts w:ascii="Times New Roman" w:cs="Times New Roman" w:eastAsia="Times New Roman" w:hAnsi="Times New Roman"/>
          <w:sz w:val="18"/>
          <w:szCs w:val="18"/>
          <w:color w:val="000000"/>
        </w:rPr>
        <w:t>Exchange</w:t>
      </w:r>
      <w:r>
        <w:rPr>
          <w:rFonts w:ascii="Times New Roman" w:cs="Times New Roman" w:eastAsia="Times New Roman" w:hAnsi="Times New Roman"/>
          <w:sz w:val="18"/>
          <w:szCs w:val="18"/>
          <w:color w:val="232323"/>
        </w:rPr>
        <w:t xml:space="preserve"> Act Rules 13a-15(f) and 15d-15(f)) that occurred during our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risk factors disclosed in Part I—Item 1A, “Risk Factors,” in our annual report on Form 10-K for the fiscal year ended December 31, 2023, which was filed with the SEC on March 6, 2024. We have no identified additional risks that could materially adversely affect our operating results, financial condition or future business as of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10b5-1 Trading Plans by Directors and Executive Officers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13, 2024, Gene Sheridan, chair of the board and president and chief executive officer, adopted a Rule 10b5-1 trading plan covering up to 800,000 shares held directly and 912,000 shares underlying restricted stock units (“RSUs”) held by Mr. Sheridan. The plan is scheduled to remain in effect until December 13, 2024. Of the shares held directly, a minimum of 400,000 shares will be sold under the plan. All shares to be issued to Mr. Sheridan upon vesting of the RSUs, following automatic sales to cover withholding taxes incurred upon settlement, will be sold under the plan. The proceeds of all sales under the plan will be used solely to satisfy tax obligations of Mr. Sheridan. Prior to any sales under the plan, Mr. Sheridan beneficially owns a total of 4,937,007 shares of common stock and 912,000 shares underlying RSUs.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is intended to satisfy the affirmative defense of Rule 10b5-1(c) under the Securities Exchange Act of 1934. Rule 10b5-1 plans allow corporate executives to establish prearranged plans to buy or sell company stock at predetermined times or prices, regardless of any material non-public information they may possess when the prearranged trades are executed, and regardless of any trading restrictions imposed by company policy that would otherwise apply. Such plans are designed to provide an affirmative defense against insider trading liability, provided the plans satisfy the conditions of Rule 10b5-1(c), including, but not limited to, a condition which requires executive officers of public companies to observe a waiting period of at least 90 days, after the plan adoption date, before any trades can be executed under the plan.</w:t>
      </w: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does not undertake any obligation to report the establishment, modification or termination of any Rule 10b5-1 plans by officers or directors, except to the extent required by law.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36"/>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40" w:type="dxa"/>
            <w:vAlign w:val="bottom"/>
            <w:gridSpan w:val="7"/>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0" w:type="dxa"/>
            <w:vAlign w:val="bottom"/>
          </w:tcPr>
          <w:p>
            <w:pPr>
              <w:spacing w:after="0"/>
              <w:rPr>
                <w:sz w:val="18"/>
                <w:szCs w:val="18"/>
                <w:color w:val="auto"/>
              </w:rPr>
            </w:pPr>
          </w:p>
        </w:tc>
        <w:tc>
          <w:tcPr>
            <w:tcW w:w="6840" w:type="dxa"/>
            <w:vAlign w:val="bottom"/>
            <w:gridSpan w:val="7"/>
          </w:tcPr>
          <w:p>
            <w:pPr>
              <w:ind w:left="23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66"/>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8240" w:type="dxa"/>
            <w:vAlign w:val="bottom"/>
            <w:tcBorders>
              <w:top w:val="single" w:sz="8" w:color="auto"/>
            </w:tcBorders>
            <w:gridSpan w:val="8"/>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Letter Agreement, dated January 9, 2024, among Navitas Semiconductor USA, Inc., Navitas Semiconductor Corporation and</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Ron Shelton (incorporated by reference to Exhibit 10.26 of the company’s annual report on Form 10-K for the year ended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December 31, 2023, filed with the SEC on March 6, 2024)</w:t>
              </w:r>
            </w:hyperlink>
          </w:p>
        </w:tc>
        <w:tc>
          <w:tcPr>
            <w:tcW w:w="43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 Act</w:t>
            </w:r>
          </w:p>
        </w:tc>
        <w:tc>
          <w:tcPr>
            <w:tcW w:w="0" w:type="dxa"/>
            <w:vAlign w:val="bottom"/>
          </w:tcPr>
          <w:p>
            <w:pPr>
              <w:spacing w:after="0"/>
              <w:rPr>
                <w:sz w:val="1"/>
                <w:szCs w:val="1"/>
                <w:color w:val="auto"/>
              </w:rPr>
            </w:pP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1"/>
                <w:szCs w:val="21"/>
                <w:color w:val="auto"/>
              </w:rPr>
            </w:pPr>
          </w:p>
        </w:tc>
        <w:tc>
          <w:tcPr>
            <w:tcW w:w="59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 Act</w:t>
            </w:r>
          </w:p>
        </w:tc>
        <w:tc>
          <w:tcPr>
            <w:tcW w:w="40" w:type="dxa"/>
            <w:vAlign w:val="bottom"/>
            <w:tcBorders>
              <w:top w:val="single" w:sz="8" w:color="0000FF"/>
            </w:tcBorders>
          </w:tcPr>
          <w:p>
            <w:pPr>
              <w:spacing w:after="0"/>
              <w:rPr>
                <w:sz w:val="21"/>
                <w:szCs w:val="21"/>
                <w:color w:val="auto"/>
              </w:rPr>
            </w:pPr>
          </w:p>
        </w:tc>
        <w:tc>
          <w:tcPr>
            <w:tcW w:w="22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1"/>
                <w:szCs w:val="21"/>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 Rule 13a-14(b) of the Exchange Act</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and 18 U.S.C. § 1350</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400" w:type="dxa"/>
            <w:vAlign w:val="bottom"/>
            <w:shd w:val="clear" w:color="auto" w:fill="0000FF"/>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00" w:type="dxa"/>
            <w:vAlign w:val="bottom"/>
            <w:gridSpan w:val="2"/>
            <w:vMerge w:val="continue"/>
          </w:tcPr>
          <w:p>
            <w:pPr>
              <w:spacing w:after="0"/>
              <w:rPr>
                <w:sz w:val="24"/>
                <w:szCs w:val="24"/>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82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260"/>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2024</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Janet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1859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Janet Chou</w:t>
      </w:r>
    </w:p>
    <w:p>
      <w:pPr>
        <w:spacing w:after="0" w:line="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Executive Vice President, Chief</w:t>
      </w:r>
    </w:p>
    <w:p>
      <w:pPr>
        <w:ind w:left="49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4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420"/>
        <w:spacing w:after="0"/>
        <w:tabs>
          <w:tab w:leader="none" w:pos="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60"/>
          </w:cols>
          <w:pgMar w:left="320" w:top="445" w:right="8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6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Janet Chou, certify that:</w:t>
      </w:r>
    </w:p>
    <w:p>
      <w:pPr>
        <w:spacing w:after="0" w:line="1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7"/>
          <w:szCs w:val="17"/>
          <w:u w:val="single" w:color="auto"/>
          <w:color w:val="auto"/>
        </w:rPr>
        <w:t>/s/ Janet Chou</w:t>
      </w:r>
    </w:p>
    <w:p>
      <w:pPr>
        <w:ind w:left="4740"/>
        <w:spacing w:after="0" w:line="205" w:lineRule="auto"/>
        <w:rPr>
          <w:sz w:val="20"/>
          <w:szCs w:val="20"/>
          <w:color w:val="auto"/>
        </w:rPr>
      </w:pPr>
      <w:r>
        <w:rPr>
          <w:rFonts w:ascii="Times New Roman" w:cs="Times New Roman" w:eastAsia="Times New Roman" w:hAnsi="Times New Roman"/>
          <w:sz w:val="18"/>
          <w:szCs w:val="18"/>
          <w:color w:val="auto"/>
        </w:rPr>
        <w:t>Janet Chou</w:t>
      </w:r>
    </w:p>
    <w:p>
      <w:pPr>
        <w:ind w:left="4740"/>
        <w:spacing w:after="0" w:line="204"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4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or her knowledge, Navitas’ quarterly report on Form 10-Q for the period ended March 31, 2024,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472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332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46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Janet Chou</w:t>
            </w:r>
          </w:p>
        </w:tc>
      </w:tr>
      <w:tr>
        <w:trPr>
          <w:trHeight w:val="151"/>
        </w:trPr>
        <w:tc>
          <w:tcPr>
            <w:tcW w:w="4720" w:type="dxa"/>
            <w:vAlign w:val="bottom"/>
          </w:tcPr>
          <w:p>
            <w:pPr>
              <w:spacing w:after="0"/>
              <w:rPr>
                <w:sz w:val="13"/>
                <w:szCs w:val="13"/>
                <w:color w:val="auto"/>
              </w:rPr>
            </w:pPr>
          </w:p>
        </w:tc>
        <w:tc>
          <w:tcPr>
            <w:tcW w:w="10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Janet Chou</w:t>
            </w:r>
          </w:p>
        </w:tc>
        <w:tc>
          <w:tcPr>
            <w:tcW w:w="3580" w:type="dxa"/>
            <w:vAlign w:val="bottom"/>
            <w:gridSpan w:val="2"/>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46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7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¹"/>
      <w:numFmt w:val="bullet"/>
      <w:start w:val="1"/>
    </w:lvl>
  </w:abstractNum>
  <w:abstractNum w:abstractNumId="3">
    <w:nsid w:val="2EB141F2"/>
    <w:multiLevelType w:val="hybridMultilevel"/>
    <w:lvl w:ilvl="0">
      <w:lvlJc w:val="left"/>
      <w:lvlText w:val="%1."/>
      <w:numFmt w:val="decimal"/>
      <w:start w:val="11"/>
    </w:lvl>
    <w:lvl w:ilvl="1">
      <w:lvlJc w:val="left"/>
      <w:lvlText w:val="²"/>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8" Type="http://schemas.openxmlformats.org/officeDocument/2006/relationships/hyperlink" Target="https://www.sec.gov/Archives/edgar/data/0001821769/000182176924000024/exhibit1026-ronsheltonres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2024-05-15T12:40:19Z</dcterms:created>
  <dcterms:modified xsi:type="dcterms:W3CDTF">2024-05-15T12:40:19Z</dcterms:modified>
</cp:coreProperties>
</file>