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741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3520 Challenger Street, Torrance, California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90503-1640</w:t>
            </w:r>
          </w:p>
        </w:tc>
      </w:tr>
      <w:tr>
        <w:trPr>
          <w:trHeight w:val="228"/>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2"/>
        </w:trPr>
        <w:tc>
          <w:tcPr>
            <w:tcW w:w="452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41"/>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June 4, 2026, Navitas Semiconductor Corporation (the “Company”) issued an aggregate of 3,283,844 shares of the Company’s Class A common stock, par value of $0.0001 per share (the “Class A common stock”), comprised of (a) 3,277,438 shares issued in satisfaction of its obligations with respect to Triggering Event II and (b) 6,406 shares issued to certain employees of the Company (net of tax withholding) in satisfaction of its obligations with respect </w:t>
      </w:r>
      <w:hyperlink r:id="rId15">
        <w:r>
          <w:rPr>
            <w:rFonts w:ascii="Times New Roman" w:cs="Times New Roman" w:eastAsia="Times New Roman" w:hAnsi="Times New Roman"/>
            <w:sz w:val="18"/>
            <w:szCs w:val="18"/>
            <w:color w:val="auto"/>
          </w:rPr>
          <w:t xml:space="preserve">to Triggering Event I and Triggering Event II (each of “Triggering Event I” and “Triggering Event II” as defined in that certain </w:t>
        </w:r>
        <w:r>
          <w:rPr>
            <w:rFonts w:ascii="Times New Roman" w:cs="Times New Roman" w:eastAsia="Times New Roman" w:hAnsi="Times New Roman"/>
            <w:sz w:val="18"/>
            <w:szCs w:val="18"/>
            <w:u w:val="single" w:color="auto"/>
            <w:color w:val="0000EE"/>
          </w:rPr>
          <w:t>Business Combination</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Agreement and Plan of Reorganization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“Business Combination Agreement”), dated as of May 6, 2021, by and among the Company’s predecessor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entity (then named Live Oak Acquisition Corp. II), Live Oak Merger Sub Inc. and Navitas Semiconductor Limited, including as domesticated in the State of Delaware as Navitas Semiconductor Ireland, LLC (“Legacy Navitas”)). As of the date hereof, an aggregate of 6,561,282 shares of Class A common stock have been issued by the Company pursuant to its obligations under the Business Combination Agreement, and all of the required issuances under Triggering Event I and Triggering Event II have been effected.</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former stockholders of Legacy Navitas and certain persons set forth in the Business Combination Agreement have the contingent right to receive up to a total of 10,000,000 shares of Class A common stock from the Company if the Company’s stock price achieves certain price targets before October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s://www.sec.gov/Archives/edgar/data/1821769/000119312521154315/d30653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2026-06-04T15:32:03Z</dcterms:created>
  <dcterms:modified xsi:type="dcterms:W3CDTF">2026-06-04T15:32:03Z</dcterms:modified>
</cp:coreProperties>
</file>