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2025</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Corporation</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213,107,277 shares of Class A Common Stock and 0 shares of Class B Common Stock were outstanding at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 - Financial Information</w:t>
            </w:r>
          </w:p>
        </w:tc>
        <w:tc>
          <w:tcPr>
            <w:tcW w:w="3320" w:type="dxa"/>
            <w:vAlign w:val="bottom"/>
            <w:gridSpan w:val="6"/>
            <w:vMerge w:val="restart"/>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tcBorders>
              <w:bottom w:val="single" w:sz="8" w:color="0E32E1"/>
            </w:tcBorders>
            <w:gridSpan w:val="5"/>
            <w:vMerge w:val="continue"/>
          </w:tcPr>
          <w:p>
            <w:pPr>
              <w:spacing w:after="0"/>
              <w:rPr>
                <w:sz w:val="14"/>
                <w:szCs w:val="14"/>
                <w:color w:val="auto"/>
              </w:rPr>
            </w:pPr>
          </w:p>
        </w:tc>
        <w:tc>
          <w:tcPr>
            <w:tcW w:w="3320" w:type="dxa"/>
            <w:vAlign w:val="bottom"/>
            <w:gridSpan w:val="6"/>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736"/>
        </w:trPr>
        <w:tc>
          <w:tcPr>
            <w:tcW w:w="2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12"/>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2025 and December 31, 2024</w:t>
            </w:r>
          </w:p>
        </w:tc>
        <w:tc>
          <w:tcPr>
            <w:tcW w:w="2800" w:type="dxa"/>
            <w:vAlign w:val="bottom"/>
            <w:gridSpan w:val="5"/>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09"/>
        </w:trPr>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10"/>
        </w:trPr>
        <w:tc>
          <w:tcPr>
            <w:tcW w:w="88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 for the Six Months Ended June 30, 2025 and 2024</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9"/>
        </w:trPr>
        <w:tc>
          <w:tcPr>
            <w:tcW w:w="40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Notes to Consolidated Financial Statements</w:t>
            </w:r>
          </w:p>
        </w:tc>
        <w:tc>
          <w:tcPr>
            <w:tcW w:w="3300" w:type="dxa"/>
            <w:vAlign w:val="bottom"/>
            <w:tcBorders>
              <w:top w:val="single" w:sz="8" w:color="0000FF"/>
            </w:tcBorders>
            <w:gridSpan w:val="6"/>
          </w:tcPr>
          <w:p>
            <w:pPr>
              <w:spacing w:after="0"/>
              <w:rPr>
                <w:sz w:val="18"/>
                <w:szCs w:val="18"/>
                <w:color w:val="auto"/>
              </w:rPr>
            </w:pPr>
          </w:p>
        </w:tc>
        <w:tc>
          <w:tcPr>
            <w:tcW w:w="1640" w:type="dxa"/>
            <w:vAlign w:val="bottom"/>
            <w:gridSpan w:val="3"/>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209"/>
        </w:trPr>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Conditions and Operating Results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27</w:t>
            </w:r>
          </w:p>
        </w:tc>
        <w:tc>
          <w:tcPr>
            <w:tcW w:w="0" w:type="dxa"/>
            <w:vAlign w:val="bottom"/>
          </w:tcPr>
          <w:p>
            <w:pPr>
              <w:spacing w:after="0"/>
              <w:rPr>
                <w:sz w:val="1"/>
                <w:szCs w:val="1"/>
                <w:color w:val="auto"/>
              </w:rPr>
            </w:pPr>
          </w:p>
        </w:tc>
      </w:tr>
      <w:tr>
        <w:trPr>
          <w:trHeight w:val="223"/>
        </w:trPr>
        <w:tc>
          <w:tcPr>
            <w:tcW w:w="4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900" w:type="dxa"/>
            <w:vAlign w:val="bottom"/>
            <w:tcBorders>
              <w:top w:val="single" w:sz="8" w:color="0000FF"/>
            </w:tcBorders>
            <w:gridSpan w:val="4"/>
          </w:tcPr>
          <w:p>
            <w:pPr>
              <w:spacing w:after="0"/>
              <w:rPr>
                <w:sz w:val="19"/>
                <w:szCs w:val="19"/>
                <w:color w:val="auto"/>
              </w:rPr>
            </w:pPr>
          </w:p>
        </w:tc>
        <w:tc>
          <w:tcPr>
            <w:tcW w:w="2680" w:type="dxa"/>
            <w:vAlign w:val="bottom"/>
            <w:gridSpan w:val="4"/>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35</w:t>
            </w:r>
          </w:p>
        </w:tc>
        <w:tc>
          <w:tcPr>
            <w:tcW w:w="0" w:type="dxa"/>
            <w:vAlign w:val="bottom"/>
          </w:tcPr>
          <w:p>
            <w:pPr>
              <w:spacing w:after="0"/>
              <w:rPr>
                <w:sz w:val="1"/>
                <w:szCs w:val="1"/>
                <w:color w:val="auto"/>
              </w:rPr>
            </w:pPr>
          </w:p>
        </w:tc>
      </w:tr>
      <w:tr>
        <w:trPr>
          <w:trHeight w:val="250"/>
        </w:trPr>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 and Procedures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36</w:t>
            </w:r>
          </w:p>
        </w:tc>
        <w:tc>
          <w:tcPr>
            <w:tcW w:w="0" w:type="dxa"/>
            <w:vAlign w:val="bottom"/>
          </w:tcPr>
          <w:p>
            <w:pPr>
              <w:spacing w:after="0"/>
              <w:rPr>
                <w:sz w:val="1"/>
                <w:szCs w:val="1"/>
                <w:color w:val="auto"/>
              </w:rPr>
            </w:pPr>
          </w:p>
        </w:tc>
      </w:tr>
      <w:tr>
        <w:trPr>
          <w:trHeight w:val="763"/>
        </w:trPr>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4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00" w:type="dxa"/>
            <w:vAlign w:val="bottom"/>
            <w:gridSpan w:val="14"/>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38</w:t>
            </w:r>
          </w:p>
        </w:tc>
        <w:tc>
          <w:tcPr>
            <w:tcW w:w="0" w:type="dxa"/>
            <w:vAlign w:val="bottom"/>
          </w:tcPr>
          <w:p>
            <w:pPr>
              <w:spacing w:after="0"/>
              <w:rPr>
                <w:sz w:val="1"/>
                <w:szCs w:val="1"/>
                <w:color w:val="auto"/>
              </w:rPr>
            </w:pPr>
          </w:p>
        </w:tc>
      </w:tr>
      <w:tr>
        <w:trPr>
          <w:trHeight w:val="250"/>
        </w:trPr>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A2299"/>
              </w:rPr>
              <w:t>Risk Factors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38</w:t>
            </w:r>
          </w:p>
        </w:tc>
        <w:tc>
          <w:tcPr>
            <w:tcW w:w="0" w:type="dxa"/>
            <w:vAlign w:val="bottom"/>
          </w:tcPr>
          <w:p>
            <w:pPr>
              <w:spacing w:after="0"/>
              <w:rPr>
                <w:sz w:val="1"/>
                <w:szCs w:val="1"/>
                <w:color w:val="auto"/>
              </w:rPr>
            </w:pPr>
          </w:p>
        </w:tc>
      </w:tr>
      <w:tr>
        <w:trPr>
          <w:trHeight w:val="250"/>
        </w:trPr>
        <w:tc>
          <w:tcPr>
            <w:tcW w:w="600" w:type="dxa"/>
            <w:vAlign w:val="bottom"/>
            <w:tcBorders>
              <w:top w:val="single" w:sz="8" w:color="0A2299"/>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00" w:type="dxa"/>
            <w:vAlign w:val="bottom"/>
            <w:tcBorders>
              <w:top w:val="single" w:sz="8" w:color="0A2299"/>
            </w:tcBorders>
          </w:tcPr>
          <w:p>
            <w:pPr>
              <w:spacing w:after="0"/>
              <w:rPr>
                <w:sz w:val="21"/>
                <w:szCs w:val="21"/>
                <w:color w:val="auto"/>
              </w:rPr>
            </w:pPr>
          </w:p>
        </w:tc>
        <w:tc>
          <w:tcPr>
            <w:tcW w:w="8040" w:type="dxa"/>
            <w:vAlign w:val="bottom"/>
            <w:gridSpan w:val="15"/>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500"/>
            <w:col w:w="10080"/>
          </w:cols>
          <w:pgMar w:left="320" w:top="121" w:right="339"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par value)</w:t>
            </w: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86,737</w:t>
            </w: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$885 and $135, respectively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120,266</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A common stock, $0.0001 par value, 740,000,000 shares authorized as of June 30, 2025 and</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2024, and 213,084,356 and 188,114,202 shares issued and outstanding at June 30, 2025 and</w:t>
            </w: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as of June 30, 2025 and</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and 0 shares issued and outstanding at both June 30, 2025 and December 31, 2024</w:t>
            </w:r>
          </w:p>
        </w:tc>
        <w:tc>
          <w:tcPr>
            <w:tcW w:w="26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0" w:type="dxa"/>
            <w:vAlign w:val="bottom"/>
          </w:tcPr>
          <w:p>
            <w:pPr>
              <w:spacing w:after="0"/>
              <w:rPr>
                <w:sz w:val="1"/>
                <w:szCs w:val="1"/>
                <w:color w:val="auto"/>
              </w:rPr>
            </w:pPr>
          </w:p>
        </w:tc>
      </w:tr>
      <w:tr>
        <w:trPr>
          <w:trHeight w:val="176"/>
        </w:trPr>
        <w:tc>
          <w:tcPr>
            <w:tcW w:w="5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below)</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54,592</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LOSS PER</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181,493</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NAVITAS SEMICONDUCTOR CORPORATION</w:t>
      </w:r>
    </w:p>
    <w:p>
      <w:pPr>
        <w:spacing w:after="0" w:line="1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6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900" w:type="dxa"/>
            <w:vAlign w:val="bottom"/>
            <w:gridSpan w:val="3"/>
          </w:tcPr>
          <w:p>
            <w:pPr>
              <w:jc w:val="right"/>
              <w:ind w:right="24"/>
              <w:spacing w:after="0" w:line="159" w:lineRule="exact"/>
              <w:rPr>
                <w:sz w:val="20"/>
                <w:szCs w:val="20"/>
                <w:color w:val="auto"/>
              </w:rPr>
            </w:pPr>
            <w:r>
              <w:rPr>
                <w:rFonts w:ascii="Times New Roman" w:cs="Times New Roman" w:eastAsia="Times New Roman" w:hAnsi="Times New Roman"/>
                <w:sz w:val="15"/>
                <w:szCs w:val="15"/>
                <w:b w:val="1"/>
                <w:bCs w:val="1"/>
                <w:color w:val="auto"/>
              </w:rPr>
              <w:t>Class A 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8"/>
              </w:rPr>
              <w:t>paid in</w:t>
            </w:r>
          </w:p>
        </w:tc>
        <w:tc>
          <w:tcPr>
            <w:tcW w:w="1100" w:type="dxa"/>
            <w:vAlign w:val="bottom"/>
            <w:gridSpan w:val="3"/>
            <w:vMerge w:val="continue"/>
          </w:tcPr>
          <w:p>
            <w:pPr>
              <w:spacing w:after="0"/>
              <w:rPr>
                <w:sz w:val="4"/>
                <w:szCs w:val="4"/>
                <w:color w:val="auto"/>
              </w:rPr>
            </w:pPr>
          </w:p>
        </w:tc>
        <w:tc>
          <w:tcPr>
            <w:tcW w:w="110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 2025</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restart"/>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24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188,114</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732,784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(384,786)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348,013</w:t>
            </w:r>
          </w:p>
        </w:tc>
        <w:tc>
          <w:tcPr>
            <w:tcW w:w="0" w:type="dxa"/>
            <w:vAlign w:val="bottom"/>
          </w:tcPr>
          <w:p>
            <w:pPr>
              <w:spacing w:after="0"/>
              <w:rPr>
                <w:sz w:val="1"/>
                <w:szCs w:val="1"/>
                <w:color w:val="auto"/>
              </w:rPr>
            </w:pPr>
          </w:p>
        </w:tc>
      </w:tr>
      <w:tr>
        <w:trPr>
          <w:trHeight w:val="158"/>
        </w:trPr>
        <w:tc>
          <w:tcPr>
            <w:tcW w:w="46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employee stock option and stock award</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plans</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3,649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3,979</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Costs for the issuance of common stock/At-the-market offering (ATM One</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and ATM Two)</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0" w:type="dxa"/>
            <w:vAlign w:val="bottom"/>
          </w:tcPr>
          <w:p>
            <w:pPr>
              <w:spacing w:after="0"/>
              <w:rPr>
                <w:sz w:val="1"/>
                <w:szCs w:val="1"/>
                <w:color w:val="auto"/>
              </w:rPr>
            </w:pPr>
          </w:p>
        </w:tc>
      </w:tr>
      <w:tr>
        <w:trPr>
          <w:trHeight w:val="158"/>
        </w:trPr>
        <w:tc>
          <w:tcPr>
            <w:tcW w:w="46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Stock-based compensation expense related to employee and non-employee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7,003</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(16,829)</w:t>
            </w:r>
          </w:p>
        </w:tc>
        <w:tc>
          <w:tcPr>
            <w:tcW w:w="0" w:type="dxa"/>
            <w:vAlign w:val="bottom"/>
          </w:tcPr>
          <w:p>
            <w:pPr>
              <w:spacing w:after="0"/>
              <w:rPr>
                <w:sz w:val="1"/>
                <w:szCs w:val="1"/>
                <w:color w:val="auto"/>
              </w:rPr>
            </w:pPr>
          </w:p>
        </w:tc>
      </w:tr>
      <w:tr>
        <w:trPr>
          <w:trHeight w:val="194"/>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10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191,763</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22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743,420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(401,615)</w:t>
            </w:r>
          </w:p>
        </w:tc>
        <w:tc>
          <w:tcPr>
            <w:tcW w:w="8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341,820</w:t>
            </w:r>
          </w:p>
        </w:tc>
        <w:tc>
          <w:tcPr>
            <w:tcW w:w="0" w:type="dxa"/>
            <w:vAlign w:val="bottom"/>
          </w:tcPr>
          <w:p>
            <w:pPr>
              <w:spacing w:after="0"/>
              <w:rPr>
                <w:sz w:val="1"/>
                <w:szCs w:val="1"/>
                <w:color w:val="auto"/>
              </w:rPr>
            </w:pPr>
          </w:p>
        </w:tc>
      </w:tr>
      <w:tr>
        <w:trPr>
          <w:trHeight w:val="160"/>
        </w:trPr>
        <w:tc>
          <w:tcPr>
            <w:tcW w:w="4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Issuance of common stock under employee stock option and stock award</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plans</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889</w:t>
            </w:r>
          </w:p>
        </w:tc>
        <w:tc>
          <w:tcPr>
            <w:tcW w:w="0" w:type="dxa"/>
            <w:vAlign w:val="bottom"/>
          </w:tcPr>
          <w:p>
            <w:pPr>
              <w:spacing w:after="0"/>
              <w:rPr>
                <w:sz w:val="1"/>
                <w:szCs w:val="1"/>
                <w:color w:val="auto"/>
              </w:rPr>
            </w:pPr>
          </w:p>
        </w:tc>
      </w:tr>
      <w:tr>
        <w:trPr>
          <w:trHeight w:val="158"/>
        </w:trPr>
        <w:tc>
          <w:tcPr>
            <w:tcW w:w="46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Shares issued in connection with At-the-market offerings (ATM One and</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ATM Two)</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19,781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99,998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100,000</w:t>
            </w: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Costs for the issuance of common stock/At-the-market offering (ATM One</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and ATM Two)</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(2,904)</w:t>
            </w:r>
          </w:p>
        </w:tc>
        <w:tc>
          <w:tcPr>
            <w:tcW w:w="0" w:type="dxa"/>
            <w:vAlign w:val="bottom"/>
          </w:tcPr>
          <w:p>
            <w:pPr>
              <w:spacing w:after="0"/>
              <w:rPr>
                <w:sz w:val="1"/>
                <w:szCs w:val="1"/>
                <w:color w:val="auto"/>
              </w:rPr>
            </w:pPr>
          </w:p>
        </w:tc>
      </w:tr>
      <w:tr>
        <w:trPr>
          <w:trHeight w:val="158"/>
        </w:trPr>
        <w:tc>
          <w:tcPr>
            <w:tcW w:w="46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Stock-based compensation expense related to employee and non-employee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(49,075)</w:t>
            </w:r>
          </w:p>
        </w:tc>
        <w:tc>
          <w:tcPr>
            <w:tcW w:w="0" w:type="dxa"/>
            <w:vAlign w:val="bottom"/>
          </w:tcPr>
          <w:p>
            <w:pPr>
              <w:spacing w:after="0"/>
              <w:rPr>
                <w:sz w:val="1"/>
                <w:szCs w:val="1"/>
                <w:color w:val="auto"/>
              </w:rPr>
            </w:pPr>
          </w:p>
        </w:tc>
      </w:tr>
      <w:tr>
        <w:trPr>
          <w:trHeight w:val="200"/>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2025</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213,084</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24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839,550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(450,690)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388,877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46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900" w:type="dxa"/>
            <w:vAlign w:val="bottom"/>
            <w:gridSpan w:val="3"/>
            <w:vMerge w:val="restart"/>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Class A 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0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 2024</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24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20" w:type="dxa"/>
            <w:vAlign w:val="bottom"/>
          </w:tcPr>
          <w:p>
            <w:pPr>
              <w:spacing w:after="0"/>
              <w:rPr>
                <w:sz w:val="18"/>
                <w:szCs w:val="18"/>
                <w:color w:val="auto"/>
              </w:rPr>
            </w:pPr>
          </w:p>
        </w:tc>
        <w:tc>
          <w:tcPr>
            <w:tcW w:w="82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179,196</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680,790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(300,187)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380,617</w:t>
            </w:r>
          </w:p>
        </w:tc>
        <w:tc>
          <w:tcPr>
            <w:tcW w:w="0" w:type="dxa"/>
            <w:vAlign w:val="bottom"/>
          </w:tcPr>
          <w:p>
            <w:pPr>
              <w:spacing w:after="0"/>
              <w:rPr>
                <w:sz w:val="1"/>
                <w:szCs w:val="1"/>
                <w:color w:val="auto"/>
              </w:rPr>
            </w:pPr>
          </w:p>
        </w:tc>
      </w:tr>
      <w:tr>
        <w:trPr>
          <w:trHeight w:val="149"/>
        </w:trPr>
        <w:tc>
          <w:tcPr>
            <w:tcW w:w="4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common stock under employee stock option and stock award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plans</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3,801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10,734</w:t>
            </w:r>
          </w:p>
        </w:tc>
        <w:tc>
          <w:tcPr>
            <w:tcW w:w="0" w:type="dxa"/>
            <w:vAlign w:val="bottom"/>
          </w:tcPr>
          <w:p>
            <w:pPr>
              <w:spacing w:after="0"/>
              <w:rPr>
                <w:sz w:val="1"/>
                <w:szCs w:val="1"/>
                <w:color w:val="auto"/>
              </w:rPr>
            </w:pPr>
          </w:p>
        </w:tc>
      </w:tr>
      <w:tr>
        <w:trPr>
          <w:trHeight w:val="153"/>
        </w:trPr>
        <w:tc>
          <w:tcPr>
            <w:tcW w:w="46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Stock-based compensation expense related to employee and non-employee</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10,247</w:t>
            </w:r>
          </w:p>
        </w:tc>
        <w:tc>
          <w:tcPr>
            <w:tcW w:w="0" w:type="dxa"/>
            <w:vAlign w:val="bottom"/>
          </w:tcPr>
          <w:p>
            <w:pPr>
              <w:spacing w:after="0"/>
              <w:rPr>
                <w:sz w:val="1"/>
                <w:szCs w:val="1"/>
                <w:color w:val="auto"/>
              </w:rPr>
            </w:pP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0" w:type="dxa"/>
            <w:vAlign w:val="bottom"/>
          </w:tcPr>
          <w:p>
            <w:pPr>
              <w:spacing w:after="0"/>
              <w:rPr>
                <w:sz w:val="1"/>
                <w:szCs w:val="1"/>
                <w:color w:val="auto"/>
              </w:rPr>
            </w:pPr>
          </w:p>
        </w:tc>
      </w:tr>
      <w:tr>
        <w:trPr>
          <w:trHeight w:val="20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2024</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182,997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701,771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(303,868)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397,917</w:t>
            </w:r>
          </w:p>
        </w:tc>
        <w:tc>
          <w:tcPr>
            <w:tcW w:w="0" w:type="dxa"/>
            <w:vAlign w:val="bottom"/>
          </w:tcPr>
          <w:p>
            <w:pPr>
              <w:spacing w:after="0"/>
              <w:rPr>
                <w:sz w:val="1"/>
                <w:szCs w:val="1"/>
                <w:color w:val="auto"/>
              </w:rPr>
            </w:pPr>
          </w:p>
        </w:tc>
      </w:tr>
      <w:tr>
        <w:trPr>
          <w:trHeight w:val="148"/>
        </w:trPr>
        <w:tc>
          <w:tcPr>
            <w:tcW w:w="4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common stock under employee stock option and stock award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plans</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1,123</w:t>
            </w:r>
          </w:p>
        </w:tc>
        <w:tc>
          <w:tcPr>
            <w:tcW w:w="0" w:type="dxa"/>
            <w:vAlign w:val="bottom"/>
          </w:tcPr>
          <w:p>
            <w:pPr>
              <w:spacing w:after="0"/>
              <w:rPr>
                <w:sz w:val="1"/>
                <w:szCs w:val="1"/>
                <w:color w:val="auto"/>
              </w:rPr>
            </w:pPr>
          </w:p>
        </w:tc>
      </w:tr>
      <w:tr>
        <w:trPr>
          <w:trHeight w:val="153"/>
        </w:trPr>
        <w:tc>
          <w:tcPr>
            <w:tcW w:w="46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Stock-based compensation expense related to employee and non-employee</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11,388</w:t>
            </w:r>
          </w:p>
        </w:tc>
        <w:tc>
          <w:tcPr>
            <w:tcW w:w="0" w:type="dxa"/>
            <w:vAlign w:val="bottom"/>
          </w:tcPr>
          <w:p>
            <w:pPr>
              <w:spacing w:after="0"/>
              <w:rPr>
                <w:sz w:val="1"/>
                <w:szCs w:val="1"/>
                <w:color w:val="auto"/>
              </w:rPr>
            </w:pP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(22,328)</w:t>
            </w: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183,502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714,282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(326,196)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388,100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disposition of capital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223"/>
        </w:trPr>
        <w:tc>
          <w:tcPr>
            <w:tcW w:w="812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(34,908)</w:t>
            </w:r>
          </w:p>
        </w:tc>
      </w:tr>
      <w:tr>
        <w:trPr>
          <w:trHeight w:val="21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23"/>
        </w:trPr>
        <w:tc>
          <w:tcPr>
            <w:tcW w:w="8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issuance of the At-the-market offerings (ATM One and ATM Two)</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for the issuance of common stock/At-the-market offering (ATM One and ATM Two)</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30"/>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(40,844)</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161,341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111,687</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connection with annual bonus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finance lease acquisition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140"/>
          </w:cols>
          <w:pgMar w:left="320" w:top="454" w:right="439" w:bottom="9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4" w:right="439" w:bottom="929"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3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Navitas Semiconductor Corporation (“the Company”) designs, develops and markets next-generation power semiconductors including gallium nitride (“GaN”) power integrated circuits (“ICs”), silicon carbide (“SiC”) devices and associated high-speed silicon system controllers, and digital isolators used in power conversion and charging. Power supplies incorporating the Company’s products may be used in a wide variety of applications including fast chargers for mobile phones and laptops, consumer electronics, data centers, solar products, electric vehicles and infrastructure,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spacing w:after="0" w:line="7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has two authorized classes of common stock: Class A and Class B. Both classes have identical voting, dividend, and liquidation rights. There were no outstanding Class B shares as of June 30, 2025 and December 31, 2024. The Company also has 1.0 million shares of preferred stock authorized, with no shares outstanding as of June 30, 2025 and December 31, 2024. The preferred stock may be issued with voting rights, if any, and such other designations, powers, preferences and rights as may be determined by the board of directors at the time of issuance.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56"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On March 19, 2025, the Company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as sales agent, pursuant to which the Company may sell shares of its Class A common stock, par value $0.0001 per share, from time to time in “at the market” (“ATM”) offerings through Jefferies as sales agent. The Company subsequently completed two ATM offerings (“ATM One” and “ATM Two”). Under each of ATM One and ATM Two, the Company may, from time to time, offer and sell shares having an aggregate offering price of up to $50,000,000. As of June 30, 2025, the Company completed sales of 11.1 million shares of Class A common stock under ATM One and 8.7 million shares under ATM Two, resulting in gross proceeds of approximately $100.0 million and offering-related costs of $3.3 million in total. The shares were offered and sold pursuant to the Company’s registration statement on Form S-3 (File No. 333-269752), the prospectus included therein, and prospectus supplements filed with the SEC effective March 20, 2025 and May 27, 2025 with respect to ATM One and ATM Two,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in the opinion of management, are necessary for a fair presentation of such condensed consolidated financial statements. Operating results for the three and six months ended June 30, 2025, are not necessarily indicative of results to be expected for the full year ending December 31, 2025.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 filed for the fiscal year ended December 31, 2024, filed with the SEC on March 19, 2025. Except as further described below, there have been no significant changes in the Company’s accounting policies from those disclosed in its Form 10-K filed with the SEC on March 19,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AND RECENT ACCOUNTING PRONOUNCEMENTS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evaluating the impact that this ASU will have on the presentation of its consolidated financial statements.</w:t>
      </w:r>
    </w:p>
    <w:p>
      <w:pPr>
        <w:spacing w:after="0" w:line="8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2023,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This updated standard will be effective for fiscal years beginning after December 15, 2024 on a prospective basis, with the option to apply the standard retrospectively. The new disclosure requirements are applicable beginning with the Company’s annual reporting for the year ending December 31, 2025. The Company is still assessing this standard and expects it to result in changes to disclosures only.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introduced Accounting Standard Update ASU 2023-07, titled Segment Reporting (Topic 280): Improvements to Reportable Segment Disclosures. This update mandates that all public entities, including those with a single reportable segment, disclose one or more measures of segment profit or loss that the chief operating decision maker (CODM) uses to allocate resources and assess performance during interim and annual reporting periods. Furthermore, the standard requires the disclosure of significant segment expenses, other relevant segment items, and additional qualitative information. The Company adopted ASC 2023-07 and all related subsequent amendments during the year ended December 31, 2024, as disclosed in Note 14 - “Segment Information” of this Form 10-Q.</w:t>
      </w:r>
    </w:p>
    <w:p>
      <w:pPr>
        <w:spacing w:after="0" w:line="7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trade, net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6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tcPr>
          <w:p>
            <w:pPr>
              <w:jc w:val="right"/>
              <w:ind w:right="14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r>
      <w:tr>
        <w:trPr>
          <w:trHeight w:val="27"/>
        </w:trPr>
        <w:tc>
          <w:tcPr>
            <w:tcW w:w="64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activity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4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86"/>
        <w:spacing w:after="0" w:line="362" w:lineRule="auto"/>
        <w:rPr>
          <w:sz w:val="20"/>
          <w:szCs w:val="20"/>
          <w:color w:val="auto"/>
        </w:rPr>
      </w:pPr>
      <w:r>
        <w:rPr>
          <w:rFonts w:ascii="Times New Roman" w:cs="Times New Roman" w:eastAsia="Times New Roman" w:hAnsi="Times New Roman"/>
          <w:sz w:val="17"/>
          <w:szCs w:val="17"/>
          <w:color w:val="auto"/>
        </w:rPr>
        <w:t>The depreciation expense was $0.9 million and $1.7 million for the three and six months ended June 30, 2025 and $0.7 million and $1.4 million for the three and six months ended June 30, 2024, respectively, and was determined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294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94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7 years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5 years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6 years</w:t>
      </w:r>
    </w:p>
    <w:p>
      <w:pPr>
        <w:spacing w:after="0" w:line="200" w:lineRule="exact"/>
        <w:rPr>
          <w:sz w:val="20"/>
          <w:szCs w:val="20"/>
          <w:color w:val="auto"/>
        </w:rPr>
      </w:pPr>
    </w:p>
    <w:p>
      <w:pPr>
        <w:sectPr>
          <w:pgSz w:w="11900" w:h="16838" w:orient="portrait"/>
          <w:cols w:equalWidth="0" w:num="2">
            <w:col w:w="9460" w:space="720"/>
            <w:col w:w="1060"/>
          </w:cols>
          <w:pgMar w:left="320" w:top="454"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13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7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 Cash equivalents classified as Level 1 instruments were $92.9 million as of June 30, 2025 and $66.5 million for December 31, 2024.</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June 30, 2025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30,059</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80" w:firstLine="486"/>
        <w:spacing w:after="0" w:line="313"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w:t>
            </w:r>
          </w:p>
        </w:tc>
      </w:tr>
      <w:tr>
        <w:trPr>
          <w:trHeight w:val="214"/>
        </w:trPr>
        <w:tc>
          <w:tcPr>
            <w:tcW w:w="7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19,851</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486"/>
        <w:spacing w:after="0" w:line="329" w:lineRule="auto"/>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during the three and six months ended June 30, 2025.</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INTANGIBLES</w:t>
      </w:r>
    </w:p>
    <w:p>
      <w:pPr>
        <w:spacing w:after="0" w:line="13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 As of the annual measurement date of September 30, 2024, the fair market value of the Company’s stock price remains above carrying value, and no indicators of impairment are present as of June 30, 2025. In the first quarter of 2025, the Company transferred $1.2 million from in-process research and development to developed technology as the project was completed and placed into service.</w:t>
      </w:r>
    </w:p>
    <w:p>
      <w:pPr>
        <w:spacing w:after="0" w:line="8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There were no changes to goodwill during the three and six months ended June 30, 2025. The following table presents the Company’s intangible asset balance by asset class as of June 30, 2025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for the fiscal year ended December 31,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3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7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r>
      <w:tr>
        <w:trPr>
          <w:trHeight w:val="22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72,195</w:t>
            </w: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(9,468)</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62,727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amortization expense was $4.7 million and $9.5 million for the three and six months ended June 30, 2025 and $4.8 million and $9.5 million for the three and six months ended June 30, 2024,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fiscal 2025)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r>
      <w:tr>
        <w:trPr>
          <w:trHeight w:val="229"/>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29"/>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229"/>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29"/>
        </w:trPr>
        <w:tc>
          <w:tcPr>
            <w:tcW w:w="9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23,611</w:t>
            </w:r>
          </w:p>
        </w:tc>
      </w:tr>
      <w:tr>
        <w:trPr>
          <w:trHeight w:val="248"/>
        </w:trPr>
        <w:tc>
          <w:tcPr>
            <w:tcW w:w="9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62,727</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There were no impairment charges during the three and six months ended June 30, 2025 or during the year ended December 31, 2024. The goodwill balance was $163.2 million as of both June 30, 2025 and December 31, 2024, with no accumulated impairment losses recorded as of either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and a finance lease for equipment. As of June 30, 2025, no operating or finance lease agreements contain economic penalties for the Company to extend the lease, and it is not reasonably certain the Company will exercise these extension options. Additionally, lease agreements do not contain material residual value guarantees or material restrictive covenants.</w:t>
      </w:r>
    </w:p>
    <w:p>
      <w:pPr>
        <w:spacing w:after="0" w:line="61"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condensed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6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Rent expense for operating leases, including short-term lease cost, was $0.6 million and $1.2 million for the three and six months ended June 30, 2025 and $0.6 million and $1.4 million for the three and six months ended June 30, 2024, respectively. In addition to rent payments, the Company’s leases include real estate taxes, common area maintenance, utilities, and management fees, which are not fixed. The Company accounts for these costs as variable</w:t>
      </w:r>
    </w:p>
    <w:p>
      <w:pPr>
        <w:spacing w:after="0" w:line="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payments and does not include such costs as a lease component. Total variable expenses were $0.1 million and $0.2 million for the three and six months ended June 30, 2025 and $0.1 million and $0.2 million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and finance lease liabilities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1,122</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530</w:t>
            </w:r>
          </w:p>
        </w:tc>
      </w:tr>
      <w:tr>
        <w:trPr>
          <w:trHeight w:val="561"/>
        </w:trPr>
        <w:tc>
          <w:tcPr>
            <w:tcW w:w="74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985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74"/>
        </w:trPr>
        <w:tc>
          <w:tcPr>
            <w:tcW w:w="7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00" w:type="dxa"/>
            <w:vAlign w:val="bottom"/>
          </w:tcPr>
          <w:p>
            <w:pPr>
              <w:spacing w:after="0"/>
              <w:rPr>
                <w:sz w:val="24"/>
                <w:szCs w:val="24"/>
                <w:color w:val="auto"/>
              </w:rPr>
            </w:pPr>
          </w:p>
        </w:tc>
        <w:tc>
          <w:tcPr>
            <w:tcW w:w="15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Finance 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15" w:lineRule="exact"/>
        <w:rPr>
          <w:sz w:val="20"/>
          <w:szCs w:val="20"/>
          <w:color w:val="auto"/>
        </w:rPr>
      </w:pPr>
    </w:p>
    <w:p>
      <w:pPr>
        <w:ind w:left="20" w:right="220"/>
        <w:spacing w:after="0" w:line="344" w:lineRule="auto"/>
        <w:rPr>
          <w:sz w:val="20"/>
          <w:szCs w:val="20"/>
          <w:color w:val="auto"/>
        </w:rPr>
      </w:pPr>
      <w:r>
        <w:rPr>
          <w:rFonts w:ascii="Times New Roman" w:cs="Times New Roman" w:eastAsia="Times New Roman" w:hAnsi="Times New Roman"/>
          <w:sz w:val="18"/>
          <w:szCs w:val="18"/>
          <w:color w:val="auto"/>
        </w:rPr>
        <w:t>Weighted-average remaining lease term in years Weight-average discount rate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3.57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70"/>
        </w:trPr>
        <w:tc>
          <w:tcPr>
            <w:tcW w:w="16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4.9%</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r>
      <w:tr>
        <w:trPr>
          <w:trHeight w:val="578"/>
        </w:trPr>
        <w:tc>
          <w:tcPr>
            <w:tcW w:w="34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340" w:type="dxa"/>
            <w:vAlign w:val="bottom"/>
            <w:gridSpan w:val="2"/>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0"/>
        </w:trPr>
        <w:tc>
          <w:tcPr>
            <w:tcW w:w="16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8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1" w:lineRule="exact"/>
        <w:rPr>
          <w:sz w:val="20"/>
          <w:szCs w:val="20"/>
          <w:color w:val="auto"/>
        </w:rPr>
      </w:pPr>
    </w:p>
    <w:p>
      <w:pPr>
        <w:sectPr>
          <w:pgSz w:w="11900" w:h="16838" w:orient="portrait"/>
          <w:cols w:equalWidth="0" w:num="2">
            <w:col w:w="3720" w:space="720"/>
            <w:col w:w="6800"/>
          </w:cols>
          <w:pgMar w:left="320" w:top="454"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 w:type="dxa"/>
            <w:vAlign w:val="bottom"/>
          </w:tcPr>
          <w:p>
            <w:pPr>
              <w:spacing w:after="0"/>
              <w:rPr>
                <w:sz w:val="21"/>
                <w:szCs w:val="21"/>
                <w:color w:val="auto"/>
              </w:rPr>
            </w:pPr>
          </w:p>
        </w:tc>
      </w:tr>
      <w:tr>
        <w:trPr>
          <w:trHeight w:val="27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3"/>
                <w:szCs w:val="23"/>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expense</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837"/>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Maturities of operating and finance lease liabilities were as follows (in thousands):</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w:t>
            </w:r>
          </w:p>
        </w:tc>
        <w:tc>
          <w:tcPr>
            <w:tcW w:w="6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fiscal 2025)</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w:t>
      </w:r>
    </w:p>
    <w:p>
      <w:pPr>
        <w:sectPr>
          <w:pgSz w:w="11900" w:h="16838" w:orient="portrait"/>
          <w:cols w:equalWidth="0" w:num="1">
            <w:col w:w="11240"/>
          </w:cols>
          <w:pgMar w:left="320" w:top="4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Class A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9"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June 30, 2025 the Company has issued 3,250,000 non-statutory stock options under the 2021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and six months ended June 30,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6"/>
        </w:trPr>
        <w:tc>
          <w:tcPr>
            <w:tcW w:w="39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26,639</w:t>
            </w:r>
          </w:p>
        </w:tc>
      </w:tr>
      <w:tr>
        <w:trPr>
          <w:trHeight w:val="20"/>
        </w:trPr>
        <w:tc>
          <w:tcPr>
            <w:tcW w:w="3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85"/>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3"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Generally, stock options granted under the Plans have terms of ten years and vest 1/4th on the anniversary of the vesting commencement date and 1/36th monthly thereafter. Stock options with performance vesting conditions begin to vest upon achievement of the performance condition. Expense is recognized beginning in the period in which performance is considered probable. The fair value of incentive stock options and non-statutory stock options issued was estimated using the Black-Scholes model.</w:t>
      </w:r>
    </w:p>
    <w:p>
      <w:pPr>
        <w:spacing w:after="0" w:line="52" w:lineRule="exact"/>
        <w:rPr>
          <w:sz w:val="20"/>
          <w:szCs w:val="20"/>
          <w:color w:val="auto"/>
        </w:rPr>
      </w:pPr>
    </w:p>
    <w:p>
      <w:pPr>
        <w:jc w:val="both"/>
        <w:ind w:right="20" w:firstLine="486"/>
        <w:spacing w:after="0" w:line="275"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June 30, 2025, and activity during the three and six months then ended, is presented below:</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580" w:type="dxa"/>
            <w:vAlign w:val="bottom"/>
            <w:vMerge w:val="restart"/>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0" w:type="dxa"/>
            <w:vAlign w:val="bottom"/>
          </w:tcPr>
          <w:p>
            <w:pPr>
              <w:spacing w:after="0"/>
              <w:rPr>
                <w:sz w:val="1"/>
                <w:szCs w:val="1"/>
                <w:color w:val="auto"/>
              </w:rPr>
            </w:pPr>
          </w:p>
        </w:tc>
      </w:tr>
      <w:tr>
        <w:trPr>
          <w:trHeight w:val="214"/>
        </w:trPr>
        <w:tc>
          <w:tcPr>
            <w:tcW w:w="4600" w:type="dxa"/>
            <w:vAlign w:val="bottom"/>
            <w:vMerge w:val="continue"/>
          </w:tcPr>
          <w:p>
            <w:pPr>
              <w:spacing w:after="0"/>
              <w:rPr>
                <w:sz w:val="18"/>
                <w:szCs w:val="18"/>
                <w:color w:val="auto"/>
              </w:rPr>
            </w:pPr>
          </w:p>
        </w:tc>
        <w:tc>
          <w:tcPr>
            <w:tcW w:w="158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52"/>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During the three months ended June 30, 2025, the Company recorded no stock-based compensation expense and for the six months ended June 30, 2025, the Company recorded an immaterial amount of stock-based compensation expense for the vesting of outstanding stock options, excluding credits of $(8.3) million and $(8.0) million, respectively, related to the LTIP Options described below. During the three and six months ended June 30, 2024, the Company recognized $0.0 million and $0.1 million of stock-based compensation expense for the vesting of outstanding stock options, excluding $1.0 million and $2.9 million, respectively, related to the LTIP Options.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3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awarded a total of 6,500,000 LTIP Options (“2021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$9.14 based on the Black-Scholes model and a Monte Carlo simulation incorporating 500,000 scenarios. The weighted average contractual period remaining is 6.6 years. The Company utilized the services of a professional valuation firm to finalize these assumptions during the fiscal year ended December 31, 2023. The valuation model utilized the following assumptions: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0" w:lineRule="exact"/>
        <w:rPr>
          <w:sz w:val="20"/>
          <w:szCs w:val="20"/>
          <w:color w:val="auto"/>
        </w:rPr>
      </w:pPr>
    </w:p>
    <w:p>
      <w:pPr>
        <w:spacing w:after="0" w:line="227"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On a quarterly basis, management reviews the probable achievement for each of the tranches in the 2021 LTIP Options in regards to revenue and EBITDA, which includes assumptions for forecasted revenue and EBITDA. 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connection with the “2021 LTIP Options”, the Company recognized a credit of $(8.3) million and $(8.0) million of stock-based compensation expense for the three and six months ended June 30, 2025, respectively. During the three months ended June 30, 2025, one member of senior management who was a recipient of the 2021 LTIP Options resigned. As a result, the Company recognized a reversal of previously recognized stock-based compensation expense totaling $8.4 million related to the forfeited award of which $4.2 million was recorded in Research and development expenses and $4.2 million in Selling, general and administrative expenses. The remaining unrecognized compensation expense related to probable tranches in the 2021 LTIP Options is $0.9 million as of June 30, 2025, and compensation expense will be recognized over 3.2 years. If the Company achieves all revenue and EBITDA performance metrics, the total incremental recognized expense would be $21.3 million. The Company recognized $0.8 million and $2.4 million of stock-based compensation expense for the three and six months ended June 30, 2024, respectively.</w:t>
      </w:r>
    </w:p>
    <w:p>
      <w:pPr>
        <w:spacing w:after="0" w:line="7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 weighted average contractual period remaining is 7.3 years. The Company utilized the services of a professional valuation firm to finalize these assumptions during the fiscal year ended December 31, 2023. The valuation model utilized the following assumptions: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9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a quarterly basis, management reviews the probable achievement for each of the tranches in the 2022 LTIP Options in regards to revenue and EBITDA, which includes assumptions for forecasted revenue and EBITDA. In relation to the 2022 LTIP Options, a member of senior management departed the Company prior to December 31, 2024, failing to meet the service requirement for the options. As a result, their options were forfeited and no expense was recognized for the three and six months ended June 30, 2025. The Company recognized $0.2 million and $0.5 million of stock-based compensation expense for the three and six months ended June 30, 2024,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June 30, 2025, and activity during the six months then ended,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2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CCEEFF"/>
            </w:tcBorders>
            <w:vMerge w:val="continue"/>
          </w:tcPr>
          <w:p>
            <w:pPr>
              <w:spacing w:after="0"/>
              <w:rPr>
                <w:sz w:val="18"/>
                <w:szCs w:val="18"/>
                <w:color w:val="auto"/>
              </w:rPr>
            </w:pPr>
          </w:p>
        </w:tc>
        <w:tc>
          <w:tcPr>
            <w:tcW w:w="236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2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recognized $5.9 million and 12.4 million of stock-based compensation expense for the vesting of RSUs, respectively. During the three and six months ended June 30, 2024, the Company recognized $9.7 million and $17.9 million of stock-based compensation expense for the vesting of RSUs, respectively. As of June 30, 2025, unrecognized compensation cost related to unvested RSU awards expected to be recognized totaled $37.9 million. The weighted-average period over which this remaining compensation cost is expected be recognized is 1.7 years.</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related to fiscal year 2025 (included in “Accrued compensation expenses” on the Condensed Consolidated Balance Sheets), by issuing a variable number of fully-vested restricted stock units to its employees in 2025. As of June 30, 2025, the Company accrued $1.5 million for its 2025 annual bonus, which is expected to be settled in the first quarter of 2026 through the issuance of approximately 234,131 shares based on the Company's closing stock price as of June 30, 2025. However, the actual number of shares will be based on the share price at the date of settlement.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61"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For the three and six months ended June 30, 2025, employees who elected to participate in the ESPP purchased 400,431 shares of common stock under the 2022 ESPP, resulting in cash proceeds to the Company of $0.8 million. The purchase price was $2.07, which was 15% of the fair market value in March 2025. As of June 30, 2025, the Company had 1,540,141 remaining authorized shares available for purchase. For the three and six months ended June 30, 2024, employees who elected to participate in the ESPP purchased 393,139 shares of common stock under the 2022 ESPP, resulting in cash proceeds to the Company of $1.8 million. The purchase price was $4.55, which was 15% of the fair market value in March 2024. During the three and six months ended June 30, 2025, the Company recognized $0.2 million and $0.5 million of stock-based compensation expense for the 2022 ESPP, respectively. During the three and six months ended June 30, 2024, the Company recognized $0.3 million and $1.1 million of stock-based compensation expense for the 2022 ESPP,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3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During the three and six months ended June 30, 2025, the Company recorded $0.2 million to stock-based compensation expense related to 150,622 shares that vested upon employee separation. No additional compensation cost will be recognized beyond the second quarter of 2025. The Company recognized $0.2 million and $0.3 million of stock-based compensation expense related to the vesting of these shares during three and six months ended June 30,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The Company recognized $0.1 million of stock-based compensation expense related to forfeitures during three and six months ended June 30, 2025 and none during the six months ended June 30, 2024. The Company recognized $0.1 million and $0.1 million of stock-based compensation expense related to the vesting of these shares during three and six months ended June 30, 2024, respectively. As of June 30, 2025, there was no remaining compensation cost related to unvested earnout shares, except for forfeitures. Refer to Note 10 - “Earnout Liability”.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LIABILITY</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an aggregate of 10,000,000 “earnout shares” of the Company’s Class A common stock if earnout milestones are met. The earnout milestones represent three independent criteria, each of which entitles the eligible stockholders to 3,333,333 aggregate earn-out shares if the milestone is met.</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earnout liability is remeasured at the end of each reporting period. The change in fair value of the earnout liability is recorded as part of other income (expense), net in the condensed consolidated statements of operations.</w:t>
      </w:r>
    </w:p>
    <w:p>
      <w:pPr>
        <w:spacing w:after="0" w:line="6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As of June 30, 2025 and December 31, 2024, the earnout liability had a fair value of $30.1 million and $10.2 million, respectively, which resulted in a loss in the fair value of the earnout liability of $(28.0) million and $(19.9) million for the three and six months ended June 30, 2025. As of June 30, 2024, the earnout liability had a fair value of $13.1 million, which resulted in a gain in the fair value of the earnout liability of $7.6 million and $33.7 million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 AND CREDIT CONCENTRATIONS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60"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and six months ended June 30, 2025 and 2024:</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20" w:type="dxa"/>
            <w:vAlign w:val="bottom"/>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for the three and six months ended June 30, 2025 and 2024 were attributable to the following regions:</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344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380" w:type="dxa"/>
            <w:vAlign w:val="bottom"/>
            <w:gridSpan w:val="3"/>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16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380" w:firstLine="486"/>
        <w:spacing w:after="0" w:line="415" w:lineRule="auto"/>
        <w:rPr>
          <w:sz w:val="20"/>
          <w:szCs w:val="20"/>
          <w:color w:val="auto"/>
        </w:rPr>
      </w:pPr>
      <w:r>
        <w:rPr>
          <w:rFonts w:ascii="Times New Roman" w:cs="Times New Roman" w:eastAsia="Times New Roman" w:hAnsi="Times New Roman"/>
          <w:sz w:val="18"/>
          <w:szCs w:val="18"/>
          <w:i w:val="1"/>
          <w:iCs w:val="1"/>
          <w:color w:val="auto"/>
        </w:rPr>
        <w:t>*Impractical to disclose the revenue percentages by individual countries within Europe and therefore Europe is presented in total. Concentration of Credit Risk</w:t>
      </w:r>
    </w:p>
    <w:p>
      <w:pPr>
        <w:spacing w:after="0" w:line="2"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1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accounts receivable represented less than 10% of total accounts receivable.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84"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July 1, 2025, the Company announced that its sole supplier of GaN wafers, Taiwan Semiconductor Manufacturing Company Limited (“TSMC”), plans to cease GaN production in July 2027. To mitigate this risk, the Company is expanding its collaboration with Powerchip Semiconductor Manufacturing Corporation (“Powerchip”), with initial device qualification expected in the fourth quarter of 2025 and mass production targeted for the first half of 2026. The Company is also evaluating additional suppliers to enhance supply chain resilience.</w:t>
      </w:r>
    </w:p>
    <w:p>
      <w:pPr>
        <w:spacing w:after="0" w:line="8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previously entered into an agreement to purchase raw materials from a supplier from September 29, 2022, through December 31, 2025, and made a $2.0 million deposit to be received as invoice credits toward future purchases. Although the Company was not obligated to purchase from this supplier, failure to meet the minimum purchase requirements could result in forfeiture of all or a portion of the deposit. As of December 31, 2024, the Company determined that it would not meet the minimum purchase requirements and, accordingly, wrote off the $2.0 million deposit as a research and development expense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3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using the two-class method because the Company’s sponsor earnout shares are a participating security since these shares contain a non-forfeitable right to receive dividends. Under the two-class method, earnings are allocated to each class of common stock and participating security as if all of the earnings for the period had been distributed. As the Company incurred net losses during three and six months ended June 30, 2025 and 2024 and these securities are not contractually required to fund the Company’s losses, there is no allocation to the participating securities in the years presented.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and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The Company has no plans to declare dividends.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29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20" w:type="dxa"/>
            <w:vAlign w:val="bottom"/>
            <w:gridSpan w:val="3"/>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55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181,493</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excluded from diluted weighted-average shares: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excluded ¹</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r>
    </w:tbl>
    <w:p>
      <w:pPr>
        <w:spacing w:after="0" w:line="99" w:lineRule="exact"/>
        <w:rPr>
          <w:sz w:val="20"/>
          <w:szCs w:val="20"/>
          <w:color w:val="auto"/>
        </w:rPr>
      </w:pPr>
    </w:p>
    <w:p>
      <w:pPr>
        <w:ind w:left="340" w:hanging="8"/>
        <w:spacing w:after="0" w:line="302" w:lineRule="auto"/>
        <w:tabs>
          <w:tab w:leader="none" w:pos="42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potentially dilutive securities, which include unexercised stock options, unvested restricted stock units, ESPP shares have been excluded from the computation of diluted net loss per share as the effect would be to reduce the net loss per share for the three and six months ended June 30, 2025 and 2024.</w:t>
      </w:r>
    </w:p>
    <w:p>
      <w:pPr>
        <w:spacing w:after="0" w:line="31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As of June 30, 2025 and 2024, the Company excluded an immaterial amount of restricted stock awards from the diluted weighted average share count as their performance conditions have not been achieved. As of June 30, 2025 and 2024, the Company excluded 10.0 million Earnout shares from the diluted weighted average share count as their performance and/or market conditions have not been achieved. As of June 30, 2025 and 2024, 3.3 million and 8.8 million LTIP options have been excluded from the diluted weighted average share count, respectively, as their performance and/or market conditions have not been achieved.</w:t>
      </w:r>
    </w:p>
    <w:p>
      <w:pPr>
        <w:spacing w:after="0" w:line="69"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As of June 30, 2025, the Company excluded 1.3 million of outstanding Class A common stock from basic and diluted weighted average share count as shares are subject to forfeiture based on market conditions that have not been achieved. These shares relate to certain shares of Class A common stock held by the Company’s SPAC sponsor that as part of the business combination were placed under market conditions requirements that if not met, would result in forfeiture. These requirements are consistent with the Earnout Milestones noted in Note 10 - “Earnout Liability” with each milestone tied to 421,000 shares.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 trading day period, respectively. These shares are participating securities with the same voting and dividend rights as the Company’s other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PROVISION FOR INCOME TAXES</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 for the three and six months ended June 30, 2025 was (0.1)% and (0.2)%, respectively. The Company’s effective tax rate for the three and six months ended June 30, 2024 was (0.3)% and (0.5)%, respectively. The effective tax rate for 2025 differs from the prior year primarily as a result of tax expenses in foreign jurisdictions, which were not impacted by the valuation allowance.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spacing w:after="0" w:line="84"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and six months ended June 30, 2025 and 2024. The Company recognizes interest and penalties related to unrecognized tax benefits in operating expenses. No such interest and penalties were recognized during the three and six months ended June 30, 2025 and 2024.</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operates as a single operating segment under ASC 280 - Segment Reporting, which establishes requirements for public entities to disclose financial information about operating segments. Under ASC 280, an operating segment is defined as a component of a company that generates revenue and expenses, has discrete financial data available, and is regularly reviewed by the Chief Operating Decision Maker (CODM) to assess performance and allocate resources. The Company's CEO, Gene Sheridan, serves as the CODM, overseeing financial performance and making resource allocation decisions at a consolidated level.</w:t>
      </w:r>
    </w:p>
    <w:p>
      <w:pPr>
        <w:spacing w:after="0" w:line="8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CODM primarily evaluates consolidated net income (loss) as the measure of segment profit or loss. While product-level data is available internally, it is not used for performance evaluation or resource allocation. Additionally, the CODM reviews detailed breakdowns of significant expenses, such as selling, general, and administrative (SG&amp;A) expenses and research and development (R&amp;D) costs, which are already disclosed in the income statement. The CODM also utilizes the Company’s consolidated budget, consolidated forecast models as a key input to resource allocation and assess performance of the business, and monitors budget versus actual results on a consolidated basis. The CODM does not review any measures of financial results beyond what is presented in the accompanying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At June 30, 2025, the Company had non-cancellable contractual agreements that were due beyond one year related to the Company’s lease obligations, see Note 8 - “Leases”.</w:t>
      </w:r>
    </w:p>
    <w:p>
      <w:pPr>
        <w:spacing w:after="0" w:line="4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a vendor for the purchase of equipment wherein the Company will make quarterly installment payments of $0.8 million during 2026. The $1.4 million present value of these payments is included within 'Noncurrent liabilities' in the Condensed Consolidated Balance Sheets, while the first two payments of $1.6 million, due within one year, are recorded within accounts payable and other accrued expenses as of June 30, 2025. The $2.8 million present value of payments is reflected within noncurrent liabilities at December 31, 2024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June 30, 2025.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from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 The total amount of accrued royalty was $2.0 million included in “Accounts payable and other accrued expenses” and $1.8 million and is included in “Accounts payable and other accrued expenses” and “Noncurrent liabilities” as of June 30, 2025 and December 31, 2024,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 xml:space="preserve">During the third quarter of 2022, Navitas made a $1.5 million investment in preferred interests of an entity under common control with the Company’s partner in a joint venture. During the first quarter of 2023 the Company made an additional investment of $1.0 million in the entity. The investment was accounted for as an equity investment under </w:t>
      </w:r>
      <w:r>
        <w:rPr>
          <w:rFonts w:ascii="Times New Roman" w:cs="Times New Roman" w:eastAsia="Times New Roman" w:hAnsi="Times New Roman"/>
          <w:sz w:val="18"/>
          <w:szCs w:val="18"/>
          <w:i w:val="1"/>
          <w:iCs w:val="1"/>
          <w:color w:val="auto"/>
        </w:rPr>
        <w:t>ASC 321 Investments - Equity Securities</w:t>
      </w:r>
      <w:r>
        <w:rPr>
          <w:rFonts w:ascii="Times New Roman" w:cs="Times New Roman" w:eastAsia="Times New Roman" w:hAnsi="Times New Roman"/>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In October 2024, the Company began accounting for this investment under the equity method in accordance with ASC 323. The Company revalued its investment to its fair value of $5.55 per share during the fourth quarter of 2024. The Company recorded its share of losses for the three and six months ended June 30, 2025, resulting in a net loss of $0.2 million and $0.5 million, respectively, which was recorded in “Equity method investment loss” on the Statements of Operations. The investment was $8.4 million and $8.9 million as of June 30, 2025 and December 31, 2024, respectively, and is included in Other Assets in the Condensed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expired in March 2024, and was a month-to-month lease through December 2024, and then was terminated. During the three and six months ended June 30, 2024, the Company paid an immaterial amount in rental payments. These payments were made at standard market rates in the ordinary course of business. There was no rent obligation as of June 30, 2025.</w:t>
      </w:r>
    </w:p>
    <w:p>
      <w:pPr>
        <w:spacing w:after="0" w:line="82"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leases certain property from an entity that is owned by an executive of the Company, which expired in September 2023, and was on a month-to-month lease through May 2024, and then was terminated. During the three and six months ended June 30, 2024, the Company paid an immaterial amount in rental payments in relation to this lease. These payments were made at standard market rates in the ordinary course of business. There was no rent obligation as of June 30,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October 15, 2024, the Company announced a cost-reduction plan (“2024 Restructuring Plan”) to streamline the organization with increased focus on artificial intelligence data centers, new energy sectors, which include EV, renewables, and energy storage and mobile applications, accelerating the Company’s path to profitability. The 2024 Restructuring Plan includes a reduction in headcount with the majority of the costs consisting of employee severance and benefits. The Company incurred $1.2 million in the fourth quarter of 2024 related to this plan. An immaterial amount of restructuring-related liabilities under the 2024 Restructuring Plan remain and is reported under Accounts payable and other accrued expenses on the Company’s Condensed Consolidated Balance Sheets.</w:t>
      </w:r>
    </w:p>
    <w:p>
      <w:pPr>
        <w:spacing w:after="0" w:line="8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January 20, 2025, the Company announced an additional cost-reduction plan (“2025 Restructuring Plan”) aimed at further streamlining operations and enhancing its focus on artificial intelligence data centers, EV, and mobile applications. The plan included a 19% reduction in workforce, with most associated costs related to severance and stock-based compensation. The Company incurred no restructuring costs related to this plan for the three months ended June 30, 2025 and $1.5 million for the six months ended June, 30, 2025. As of June 30, 2025, restructuring-related liabilities under the 2025 Restructuring Plan remain immaterial and are reported under Accounts payable and other accrued expenses on the Company’s Condensed Consolidated Balance Sheets.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balance sheet activity related to the combined 2024 and 2025 Restructuring Plans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200" w:type="dxa"/>
            <w:vAlign w:val="bottom"/>
          </w:tcPr>
          <w:p>
            <w:pPr>
              <w:spacing w:after="0"/>
              <w:rPr>
                <w:sz w:val="13"/>
                <w:szCs w:val="13"/>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0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28"/>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condensed consolidated balance sheet date of June 30, 2025, through August 4, 2025, the date the condensed consolidated financial statements were issued. There were no material subsequent events as of August 4, 2025, except as discussed below.</w:t>
      </w:r>
    </w:p>
    <w:p>
      <w:pPr>
        <w:spacing w:after="0" w:line="6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July 1, 2025, the Company announced that its sole supplier of gallium nitride (“GaN”) wafers, Taiwan Semiconductor Manufacturing Company Limited (“TSMC”), will cease GaN production in July 2027. To mitigate this risk, the Company has expanded its collaboration with Powerchip Semiconductor Manufacturing Corporation (“Powerchip”), with qualification of initial devices expected in the fourth quarter of 2025 and mass production beginning in the first half of 2026. The Company is evaluating additional suppliers to diversify its supply chain and the impact to the Company’s financial statements, as an estimate cannot be made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486"/>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64" w:lineRule="exact"/>
        <w:rPr>
          <w:sz w:val="20"/>
          <w:szCs w:val="20"/>
          <w:color w:val="auto"/>
        </w:rPr>
      </w:pPr>
    </w:p>
    <w:p>
      <w:pPr>
        <w:jc w:val="both"/>
        <w:ind w:firstLine="486"/>
        <w:spacing w:after="0" w:line="29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Navitas Semiconductor Corporation, a Delaware holding company, operates through its wholly owned subsidiaries, including Navitas Semiconductor Limited and GeneSiC Semiconductor LLC (“GeneSiC”). Originally founded in 2014 as the Legacy Navitas Semiconductor business (“Legacy Navitas”), we were previously an SEC registrant named Live Oak Acquisition Corp. II (“Live Oak”). On October 19, 2021, we completed a business combination (which we refer to as the “Business Combination”) in which, among other transactions, Live Oak acquired Navitas Semiconductor Limited and its subsidiaries, and changed our name to Navitas Semiconductor Corporation. We acquired GeneSiC Semiconductor in August 2022. Further details about the Business Combination and the acquisition of GeneSiC Semiconductor can be found in our SEC filings.</w:t>
      </w:r>
    </w:p>
    <w:p>
      <w:pPr>
        <w:spacing w:after="0" w:line="8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Founded in 2014, Navitas is a U.S.-based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South Korea, and the Philippines, with principal executive offices in Torrance, California.</w:t>
      </w:r>
    </w:p>
    <w:p>
      <w:pPr>
        <w:spacing w:after="0" w:line="7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69"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data centers, and new energy sectors, which include EV, renewables and energy storage. We evaluate various complementary technologies and look to improve our PDK, in order to keep introducing newer generations of GaN technology. In the three and six months ended June 30, 2025, we spent approximately 79% and 85%, respectively, of our revenue on research and development. Navitas’ research and development activities are located primarily in the US and China. In the three and six months ended June 30, 2024, we spent approximately 93% and 90%, respectively, of our revenue on research and development.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46" w:lineRule="exact"/>
        <w:rPr>
          <w:sz w:val="20"/>
          <w:szCs w:val="20"/>
          <w:color w:val="auto"/>
        </w:rPr>
      </w:pPr>
    </w:p>
    <w:p>
      <w:pPr>
        <w:jc w:val="both"/>
        <w:ind w:firstLine="486"/>
        <w:spacing w:after="0" w:line="278" w:lineRule="auto"/>
        <w:rPr>
          <w:sz w:val="20"/>
          <w:szCs w:val="20"/>
          <w:color w:val="auto"/>
        </w:rPr>
      </w:pPr>
      <w:r>
        <w:rPr>
          <w:rFonts w:ascii="Times New Roman" w:cs="Times New Roman" w:eastAsia="Times New Roman" w:hAnsi="Times New Roman"/>
          <w:sz w:val="18"/>
          <w:szCs w:val="18"/>
          <w:color w:val="auto"/>
        </w:rPr>
        <w:t>On March 19,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We subsequently completed two ATM offerings referred to as ATM One and ATM Two, respectively. Pursuant to each agreement, we may offer and sell, from time to time, shares of its Class A common stock, par value $0.0001 per share, having an aggregate offering price of up to $50.0 million through Jefferies as sales agent. As of June 30, 2025, we completed the sale of shares under both ATM One and ATM Two resulting in approximately 11.1 million shares under ATM One and 8.7 million shares under ATM Two, with gross proceeds of approximately $100.0 million and offering-related costs of $3.3 million in total.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44"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average selling prices due to product advances and market competition;</w:t>
      </w:r>
    </w:p>
    <w:p>
      <w:pPr>
        <w:spacing w:after="0" w:line="144" w:lineRule="exact"/>
        <w:rPr>
          <w:rFonts w:ascii="Times New Roman" w:cs="Times New Roman" w:eastAsia="Times New Roman" w:hAnsi="Times New Roman"/>
          <w:sz w:val="18"/>
          <w:szCs w:val="18"/>
          <w:color w:val="auto"/>
        </w:rPr>
      </w:pPr>
    </w:p>
    <w:p>
      <w:pPr>
        <w:ind w:left="500" w:right="20" w:hanging="330"/>
        <w:spacing w:after="0" w:line="329"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and distributor relationships including the impact of the Q4 2024 disengagement with a significant distributor and the ability to replace the associated volumes with a combination of existing and new distributors;</w:t>
      </w:r>
    </w:p>
    <w:p>
      <w:pPr>
        <w:spacing w:after="0" w:line="4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patterns particularly in mobile and consumer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diversified across the United States, Europe, and Asia. We consider the domicile of our end customers, rather than the distributors we sell to directly to be the basis of attributing revenues from external customers to individual countries. Revenue for the three and six months ended June 30, 2025 and 2024, excluding channel inventories, were attributable to end customers in the following countries: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2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40" w:firstLine="648"/>
        <w:spacing w:after="0" w:line="400" w:lineRule="auto"/>
        <w:rPr>
          <w:sz w:val="20"/>
          <w:szCs w:val="20"/>
          <w:color w:val="auto"/>
        </w:rPr>
      </w:pPr>
      <w:r>
        <w:rPr>
          <w:rFonts w:ascii="Times New Roman" w:cs="Times New Roman" w:eastAsia="Times New Roman" w:hAnsi="Times New Roman"/>
          <w:sz w:val="18"/>
          <w:szCs w:val="18"/>
          <w:i w:val="1"/>
          <w:iCs w:val="1"/>
          <w:color w:val="auto"/>
        </w:rPr>
        <w:t xml:space="preserve">*Impractical to disclose revenue percentages by individual countries within Europe and therefore is presented in total. </w:t>
      </w:r>
      <w:r>
        <w:rPr>
          <w:rFonts w:ascii="Times New Roman" w:cs="Times New Roman" w:eastAsia="Times New Roman" w:hAnsi="Times New Roman"/>
          <w:sz w:val="18"/>
          <w:szCs w:val="18"/>
          <w:b w:val="1"/>
          <w:bCs w:val="1"/>
          <w:i w:val="1"/>
          <w:iCs w:val="1"/>
          <w:u w:val="single" w:color="auto"/>
          <w:color w:val="auto"/>
        </w:rPr>
        <w:t>Cost of Revenues</w:t>
      </w:r>
    </w:p>
    <w:p>
      <w:pPr>
        <w:spacing w:after="0" w:line="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 including costs related to cash and stock-based employee compensation.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stock-based employee compensation, benefits and related costs of sustaining our engineering teams, project material costs, third-party fees paid to consultants, prototype development expenses, write-offs of material to be utilized in research and development, and other costs incurred in the product design and development process.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stock-based compensation and benefits for executive, finance, business operations, sales, field application engineers and other administrative personnel. In addition, it includes marketing and advertising, IT, outside legal professional fees and legal settlements, tax and accounting services, insurance, and occupancy costs and related overhead based on headcount. Selling, general and administrative costs are expensed as incurred.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 (Expense), net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(expense), net primarily consists of interest associated with our royalty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 Income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 income consists of income earned on money market treasury funds that are recorded as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13 - “Provision for Income Taxes”, in our accompanying condensed consolidated financial statements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Equity method investment loss consists of our proportionate share of our joint venture’s loss, which we began recognizing in October 2024 when we started accounting for the investment under the equity method.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three months ended June 30, 2025 and 2024 (in thousands):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(35,514)</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7"/>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 income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(39,391)</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(39,895)</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40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Three Months Ended June 30, 2025 Compared to the Three Months Ended June 30, 2024 </w:t>
      </w:r>
      <w:r>
        <w:rPr>
          <w:rFonts w:ascii="Times New Roman" w:cs="Times New Roman" w:eastAsia="Times New Roman" w:hAnsi="Times New Roman"/>
          <w:sz w:val="18"/>
          <w:szCs w:val="18"/>
          <w:b w:val="1"/>
          <w:bCs w:val="1"/>
          <w:i w:val="1"/>
          <w:iCs w:val="1"/>
          <w:u w:val="single" w:color="auto"/>
          <w:color w:val="auto"/>
        </w:rPr>
        <w:t>Revenue</w:t>
      </w:r>
    </w:p>
    <w:p>
      <w:pPr>
        <w:spacing w:after="0" w:line="1"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Revenue for the three months ended June 30, 2025 was $14.5 million compared to $20.5 million for the three months ended June 30, 2024, a decrease of $6.0 million, or 29%. The decline in sales was due to the decline in industrial China markets.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Cost of revenues for the three months ended June 30, 2025 was $12.2 million compared to $12.5 million for the three months ended June 30, 2024, a decrease of $0.3 million or 3%. The change was primarily driven by a decline in sales offset by a $3.2 million inventory reserve due to demand softness in the China region.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June 30, 2025 of $11.5 million decreased by $7.5 million, or 39%, when compared to the three months ended June 30, 2024. This is primarily driven by a decrease in stock-based compensation of approximately $6.8 million, of which $4.2 million resulted from the reversal of expense following the resignation of a senior management member who participated in the our 2021 LTIP, coupled with a decrease in headcount and employee costs of $2.7 million as a result of the Company’s reduction in forces, which was partially offset by an expense of $2.2 million due to a NRE impairment.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June 30, 2025 of $7.8 million decreased by $7.6 million, or 50%, when compared to the three months ended June 30, 2024. This was primarily driven by a decrease in</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stock-based compensation of approximately $7.0 million largely resulting from the $4.2 million reversal of expense following the resignation of a senior management member who held 2021 LTIP Options, coupled with a decrease in headcount and employee costs of $1.1 million as a result of the Company’s reduction in forces, which was partially offset by approximately $1.6 million related to governance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unchanged as we did not acquire new intangible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Decrease of $0.7 million is primarily due to decreases in our investment balances in June 30, 2025 compared to June 30, 2024.</w:t>
      </w:r>
    </w:p>
    <w:p>
      <w:pPr>
        <w:spacing w:after="0" w:line="4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three months ended June 30, 2025, we recognized a $28.0 million loss from the change in fair value of our earn-out liabilities. The change of $35.5 million was primarily a result of the increase of the closing price of our Class A common stock listed on the Nasdaq, resulting in the increase in the estimated fair value of the earnout shares from $1.53 as of June 30, 2024 to $3.31 as of June 30,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Income tax provision for the three months ended June 30, 2025 remained relatively flat when compared to the income tax provision of $0.1 million for the three months ended June 30, 2024. We expect our tax rate to remain close to zero in the near term due to full valuation allowances against deferred tax assets.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In October 2024, we began applying the equity method to account for our joint venture investment. We recognized our proportionate share of the joint venture’s loss from the quarter, resulting in a net loss of $0.2 million for the quarter ended June 30, 2025.</w:t>
      </w:r>
    </w:p>
    <w:p>
      <w:pPr>
        <w:spacing w:after="0" w:line="374" w:lineRule="exact"/>
        <w:rPr>
          <w:sz w:val="20"/>
          <w:szCs w:val="20"/>
          <w:color w:val="auto"/>
        </w:rPr>
      </w:pPr>
    </w:p>
    <w:p>
      <w:pPr>
        <w:ind w:right="482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Six Months Ended June 30, 2025 Compared to the Six Months Ended June 30, 2024 </w:t>
      </w:r>
      <w:r>
        <w:rPr>
          <w:rFonts w:ascii="Times New Roman" w:cs="Times New Roman" w:eastAsia="Times New Roman" w:hAnsi="Times New Roman"/>
          <w:sz w:val="18"/>
          <w:szCs w:val="18"/>
          <w:b w:val="1"/>
          <w:bCs w:val="1"/>
          <w:i w:val="1"/>
          <w:iCs w:val="1"/>
          <w:u w:val="single" w:color="auto"/>
          <w:color w:val="auto"/>
        </w:rPr>
        <w:t>Revenue</w:t>
      </w:r>
    </w:p>
    <w:p>
      <w:pPr>
        <w:spacing w:after="0" w:line="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Revenue for the six months ended June 30, 2025 was $28.5 million compared to $43.6 million for the six months ended June 30, 2024, a decrease of $15.1 million, or 35%. The decline in sales was due to the decline in mobile and industrial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Cost of revenues for the six months ended June 30, 2025 was $20.9 million compared to $26.1 million for the six months ended June 30, 2024, a decrease of $5.3 million or 20%. The decrease was primarily driven by a decline in sales coupled with product mix.</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2025 of $24.2 million decreased by $15.0 million, or 38%, when compared to the six months ended June 30, 2024. This is primarily driven by a decrease in stock-based compensation of approximately $10.3 million largely resulting from the reversal of expense following the resignation of a senior management member who held 2021 LTIP Options, coupled with a decrease in headcount and employee costs of $4.5 million as a result of the Company’s reduction in forces, and a decline of approximately $2.7 million related to decreases in R&amp;D product development costs, which was partially offset by a $2.2 million NRE impairment.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expense for the six months ended June 30, 2025 of $19.5 million decreased by $12.0 million, or 38%, when compared to the six months ended June 30, 2024. This is primarily driven by a decrease in stock-based compensation of approximately $10.1 million largely resulting from the reversal of expense following the resignation of a senior management member who held 2021 LTIP Options, coupled with a decrease in headcount and employee costs of $2.1 million as a result of the Company’s reduction in forces, which was partially offset by approximately $1.6 million related to governance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the same as we did not acquire new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 Expenses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We announced cost-reduction plans that include a reduction in headcount with the majority of the costs consisting of employee severance and benefits. We incurred $1.5 million related to this plan for the six months ended June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Decrease of $1.7 million is primarily due to decreases in our investment balances in June 30, 2025 compared to June 30, 2024.</w:t>
      </w:r>
    </w:p>
    <w:p>
      <w:pPr>
        <w:spacing w:after="0" w:line="4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During the six months ended June 30, 2024, we recognized a $19.9 million loss from the change in fair value of our earn-out liabilities. The change of $53.6 million was primarily a result of the increase of the closing price of our Class A common stock listed on the Nasdaq, resulting in the decrease in the estimated fair value of the earnout shares from $1.53 as of June 30, 2024 to $3.31 as of June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Income tax provision for the six months ended June 30, 2025 remained relatively flat when compared to the income tax provision of $0.1 million for the six months ended June 30, 2024. We expect our tax rate to remain close to zero in the near term due to full valuation allowances against deferred tax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In October 2024, we began applying the equity method to account for our joint venture investment. We recognized our proportionate share of the joint venture’s loss from the quarter, resulting in a net loss of $0.5 million for the six months ended June 30,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40" w:lineRule="exact"/>
        <w:rPr>
          <w:sz w:val="20"/>
          <w:szCs w:val="20"/>
          <w:color w:val="auto"/>
        </w:rPr>
      </w:pPr>
    </w:p>
    <w:p>
      <w:pPr>
        <w:jc w:val="both"/>
        <w:ind w:firstLine="486"/>
        <w:spacing w:after="0" w:line="278" w:lineRule="auto"/>
        <w:rPr>
          <w:sz w:val="20"/>
          <w:szCs w:val="20"/>
          <w:color w:val="auto"/>
        </w:rPr>
      </w:pPr>
      <w:r>
        <w:rPr>
          <w:rFonts w:ascii="Times New Roman" w:cs="Times New Roman" w:eastAsia="Times New Roman" w:hAnsi="Times New Roman"/>
          <w:sz w:val="18"/>
          <w:szCs w:val="18"/>
          <w:color w:val="auto"/>
        </w:rPr>
        <w:t>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on March 19, 2025. We subsequently completed ATM One and ATM Two. Each agreement permits us to sell, from time to time, shares of its Class A common stock, par value $0.0001 per share, with an aggregate offering capacity of up to $50.0 million, through Jefferies acting as sales agent. As of June 30, 2025, we had sold approximately 11.1 million shares under ATM One and 8.7 million shares under ATM Two, resulting in gross proceeds of approximately $100.0 million and offering-related costs of $3.3 million in total.</w:t>
      </w:r>
    </w:p>
    <w:p>
      <w:pPr>
        <w:spacing w:after="0" w:line="9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of June 30, 2025, we had cash and cash equivalents of $161.2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spacing w:after="0" w:line="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and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six months ended June 30, 2025 and 2024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40" w:type="dxa"/>
            <w:vAlign w:val="bottom"/>
          </w:tcPr>
          <w:p>
            <w:pPr>
              <w:spacing w:after="0"/>
              <w:rPr>
                <w:sz w:val="19"/>
                <w:szCs w:val="19"/>
                <w:color w:val="auto"/>
              </w:rPr>
            </w:pPr>
          </w:p>
        </w:tc>
        <w:tc>
          <w:tcPr>
            <w:tcW w:w="204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 Data:</w:t>
            </w:r>
          </w:p>
        </w:tc>
        <w:tc>
          <w:tcPr>
            <w:tcW w:w="4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bl>
    <w:p>
      <w:pPr>
        <w:spacing w:after="0" w:line="198" w:lineRule="exact"/>
        <w:rPr>
          <w:sz w:val="20"/>
          <w:szCs w:val="20"/>
          <w:color w:val="auto"/>
        </w:rPr>
      </w:pPr>
    </w:p>
    <w:p>
      <w:pPr>
        <w:ind w:right="180" w:firstLine="486"/>
        <w:spacing w:after="0" w:line="329" w:lineRule="auto"/>
        <w:rPr>
          <w:sz w:val="20"/>
          <w:szCs w:val="20"/>
          <w:color w:val="auto"/>
        </w:rPr>
      </w:pPr>
      <w:r>
        <w:rPr>
          <w:rFonts w:ascii="Times New Roman" w:cs="Times New Roman" w:eastAsia="Times New Roman" w:hAnsi="Times New Roman"/>
          <w:sz w:val="18"/>
          <w:szCs w:val="18"/>
          <w:color w:val="auto"/>
        </w:rPr>
        <w:t>We derive liquidity primarily from cash on hand and equity financing activities. As of June 30, 2025, our balance of cash and cash equivalents was $161.2 million, which is a increase of $74.5 million or 86% compared to December 31,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firstLine="486"/>
        <w:spacing w:after="0" w:line="308" w:lineRule="auto"/>
        <w:rPr>
          <w:sz w:val="20"/>
          <w:szCs w:val="20"/>
          <w:color w:val="auto"/>
        </w:rPr>
      </w:pPr>
      <w:r>
        <w:rPr>
          <w:rFonts w:ascii="Times New Roman" w:cs="Times New Roman" w:eastAsia="Times New Roman" w:hAnsi="Times New Roman"/>
          <w:sz w:val="17"/>
          <w:szCs w:val="17"/>
          <w:color w:val="auto"/>
        </w:rPr>
        <w:t>For the six months ended June 30, 2025, net cash used in operating activities was $24.8 million, which primarily reflects a net loss of $65.9 million, adjusted for a non-cash loss of $19.9 million related to changes in the fair value of our earnout liability, amortization of intangible assets of $9.5 million, non-cash stock-based compensation of $6.1 million, depreciation and amortization of $1.7 million offset by aggregate cash inflows from changes in operating assets and liabilities of $2.0 million. Specifically, operating cash flow was mainly impacted by decreases in other assets of $1.0 million, decreases</w:t>
      </w:r>
    </w:p>
    <w:p>
      <w:pPr>
        <w:spacing w:after="0" w:line="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in accounts receivable of $0.8 million, increases in accounts payable of $0.7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decreases in inventories of $0.4 million, partially offset with decreases in lease liabilities related to lease payments of $0.8 million.</w:t>
      </w:r>
    </w:p>
    <w:p>
      <w:pPr>
        <w:spacing w:after="0" w:line="4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For the six months ended June 30, 2024, net cash used in operating activities was $34.9 million, which primarily reflects a net loss of $26.0 million. This decrease to operating cash flows is partially offset by adjustments for non-cash share-based compensation of $26.6 million, depreciation of $1.4 million, non-cash gains of $33.7 million in earnout liabilities, amortization of intangible assets of $9.5 million, and an aggregate cash used in operating assets and liabilities of $14.0 million. Specifically, increases in inventories of $3.0 million due to sales increases coupled with decreases in accounts payable, accrued compensation and other expenses of $10.4 million and customer deposits and deferred revenue of $4.7 million, partially offset by decreases in accounts receivable of $3.2 million and prepaid expenses and other current assets of $1.4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primarily attributable to fixed asset purchases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of $8.1 million was primarily due to $2.5 million cash funding of a joint venture and $5.6 million for purchases of fixed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of $98.5 million was primarily due to proceeds from stock option exercises related to our ATM offering of $100.0 million, proceeds from stock option exercises of $1.0 million, and proceeds from our employee stock purchase plan of $0.8 million. This was partially offset by the cost of our ATM offerings of $3.3 million.</w:t>
      </w:r>
    </w:p>
    <w:p>
      <w:pPr>
        <w:spacing w:after="0" w:line="6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of $2.2 million was primarily due to proceeds from stock option exercises of $0.4 million and proceeds from our employee stock purchase plan of $1.8 million.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June 30, 2025, our non-cancellable contractual arrangements consisted of lease obligations and an agreement for the purchase of equipment. Refer to Note 8 - “Leases” for further information on our minimum future payments related to lease obligations. In December 2024, we entered into an agreement with a vendor for the purchase of equipment, requiring quarterly installment payments. Refer to Note 15 - “Commitments and Contingencies” for additional details on purchase obligations.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we did not have any off-balance sheet arrangements as defined in Item 303(a)(4)(ii) of Regulation 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6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2024 annual report on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Adverse changes in the global economic landscape have impacted, and may continue to affect, the demand for our products. This impact includes alterations in customer order behaviors, such as cancellations, and shifts in vendor inventory levels.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face exposure to market price fluctuations of specific commodity raw materials, notably gold, which are integrated into our end products or utilized by our suppliers in production. Rising commodity prices result in increased costs passed on to us by suppliers, either through general price hikes or commodity surcharges. While our interactions with suppliers typically occur through purchase orders rather than long-term contracts, we strive to secure firm pricing aligned with planned production volumes.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Principal Executive Officer and Principal Financial Officer, has evaluated the effectiveness of the design and operation of our disclosure controls and procedures (as defined in Rules 13a-15(e) and 15d-15(e) under the Exchange Act) as of the end of the period covered by this report, pursuant to Exchange Act Rule 13a-15. Based upon this evaluation, our chief executive officer and chief financial officer have concluded that, as of June 30, 2025, as a result of the material weaknesses in our internal control over financial reporting discussed below and filed in our Form 10-K for the year ended December 31, 2024 on March 19, 2025 with the SEC, our disclosure controls and procedures were not effective.</w:t>
      </w:r>
    </w:p>
    <w:p>
      <w:pPr>
        <w:spacing w:after="0" w:line="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w:t>
      </w:r>
    </w:p>
    <w:p>
      <w:pPr>
        <w:spacing w:after="0" w:line="6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fully maintain components of the COSO framework, including elements of the control environment, risk assessment,</w:t>
      </w:r>
    </w:p>
    <w:p>
      <w:pPr>
        <w:spacing w:after="0" w:line="49"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and monitoring activities components, relating to: (i) sufficiency of processes related to identifying and analyzing risks to the achievement of objectives across the entity, (ii) sufficiency of competent personnel with appropriate levels of knowledge, experience, and training</w:t>
      </w:r>
    </w:p>
    <w:p>
      <w:pPr>
        <w:spacing w:after="0" w:line="1"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accounting for complex and non-routine transactions, and internal control matters to perform assigned responsibilities and have appropriate accountability for the design and operation of internal control over financial reporting; and (iii) ensuring control activities identified were</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in accordance with established policies, and (iv) performing ongoing evaluation to ascertain whether the components of internal controls are present and functioning.</w:t>
      </w:r>
    </w:p>
    <w:p>
      <w:pPr>
        <w:spacing w:after="0" w:line="6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entity level material weaknesses contributed to other material weaknesses within the Company’s system of internal control over financial reporting as follows:</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sufficient controls to accurately identify and present activity within its statements of operations and cash flows. Specifically,</w:t>
      </w:r>
    </w:p>
    <w:p>
      <w:pPr>
        <w:spacing w:after="0" w:line="49" w:lineRule="exact"/>
        <w:rPr>
          <w:rFonts w:ascii="Times New Roman" w:cs="Times New Roman" w:eastAsia="Times New Roman" w:hAnsi="Times New Roman"/>
          <w:sz w:val="18"/>
          <w:szCs w:val="18"/>
          <w:color w:val="auto"/>
        </w:rPr>
      </w:pPr>
    </w:p>
    <w:p>
      <w:pPr>
        <w:ind w:left="66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controls in order to (1) accurately identify and present cash flows as either operating, investing or financing activities and (2) classify expenses within total operating expenses, and correctly classify activity associated with its equity method investment; and,</w:t>
      </w:r>
    </w:p>
    <w:p>
      <w:pPr>
        <w:spacing w:after="0" w:line="1"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external reporting process is not appropriately designed to accurately identify, record, present and disclose transactions, including research and development assets, property and equipment and equity transactions.</w:t>
      </w:r>
    </w:p>
    <w:p>
      <w:pPr>
        <w:spacing w:after="0" w:line="203"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These material weaknesses could result in misstatements of our consolidated financial statements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Remediation Plan</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Management is actively implementing measures to remediate identified material weaknesses, ensuring controls are properly designed, implemented, and operating effectively. To address these weaknesses, the Company has engaged an external advisor and assessed training needs for internal controls.</w:t>
      </w:r>
    </w:p>
    <w:p>
      <w:pPr>
        <w:spacing w:after="0" w:line="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the financial close and reporting process, management has implemented control activities to ensure proper presentation within the statements of operations and cash flows. To address deficiencies in research and development assets, property and equipment, and equity transactions, the Company has strengthened controls for transaction identification, recording, presentation, and disclosure, including enhanced review policies and documented accounting considerations.</w:t>
      </w:r>
    </w:p>
    <w:p>
      <w:pPr>
        <w:spacing w:after="0" w:line="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remediation efforts continue, management may implement additional measures or adjust plans as needed. Material weaknesses will be considered remediated once controls have been effectively designed, implemented, and tested over a sustained period. While management expects these actions to be effective, the exact timing of completion remains uncertain. We expect our remediation will be complete by the end of the fourth quarter of fiscal 2025 or sooner.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than the material weaknesses and the remediation plan described above, there have been no significant changes in our internal control over financial reporting (as defined in Rule 13a-15(e) and 15d-15(e) under the Securities Exchange Act of 1934, as amended), except as discussed above,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 See Note 15 – “Commitments and Contingencies” – to our Consolidated Financial Statements included in Part I, Item 1 of this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are adding the following risk factors to those previously disclosed under the category headings “Product and Technology Development Risks” and “Supplier Risks” in the Risk Factors section of our most recent annual report on Form 10-K for the year ended December 31, 2024, filed with the SEC on March 19, 2025, as augmented by the additional risk factors set forth in the Risk Factors section of our quarterly report on Form 10-Q for the quarter ended March 31, 2025, filed with the SEC on May 9, 2025. All of these risk factors should be carefully considered in conjunction with the other information included in this quarterly report on Form 10-Q. The risk factors we disclose, as well as other risks not currently known to us or that we currently view as immaterial, could materially and adversely affect our business, financial condition, results of operations, or the value of our securities. We update these disclosures as required to reflect significant developments and evolving business conditions facing our company and businesses.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3051F2"/>
        </w:rPr>
        <w:t>Risks Related to Product or Technology Announcements</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affected by announcements regarding the selection of our products or technologies by key customers or industry participants, even though the events and corresponding business opportunities may not reflect binding commitments or future revenues. Investors should not place undue reliance on such announcements when evaluating our business prospects or the value of our common stock.</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From time to time, key customers or other industry participants, with whom we have established relationships in connection with our product and technology development, may publicly announce that they have selected, qualified or approved our products or technologies for potential use in connection with their offerings or their own development programs, or that they are collaborating with us in connection with such programs. Such announcements may generate significant investor interest and may lead to temporary fluctuations in our stock price as the market reacts to perceived business opportunities. However, the events and corresponding business opportunities which are referred to in, or implied by, such announcements may not constitute binding commitments, and there can be no assurance that the underlying business relationships will endure, or that any such business opportunities will be realized. Our success ultimately depends on customers placing orders for, and purchasing, our products, and there is no guarantee, based on such announcements, that any customer will ultimately place orders for our products or that any such orders will be material in amount.</w:t>
      </w:r>
    </w:p>
    <w:p>
      <w:pPr>
        <w:spacing w:after="0" w:line="21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example, on May 20, 2025, Nvidia Corporation announced that our company had been selected, among several “key industry partners across the data center electrical ecosystem,” as part of an Nvidia initiative to advance innovations in high-efficiency, scalable power delivery for next-generation AI data centers. We also announced this technology collaboration with Nvidia on May 21, 2025. Although our collaboration with Nvidia does not involve any binding commitments by Nvidia or any customer, and there is no guarantee that we will achieve any revenues as a result, our stock price and the trading volume of our common stock nevertheless experienced significant increases in the days following our announcement.</w:t>
      </w:r>
    </w:p>
    <w:p>
      <w:pPr>
        <w:spacing w:after="0" w:line="21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a result, our stock price may experience volatility based on news of potential activities by customers or other industry participants that may not ultimately translate into actual sales or revenue. Investors should not place undue reliance on such announcements when evaluating our business prospects or the value of our common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accurately predict future revenues and profits is inherently subject to significant uncertainties, particularly as our products are designed to disrupt existing markets and create new or emerging markets. For example, the success of our strategic focus on products intended for use in AI data centers depends on our assumptions about end-customer acceptance of both our products in those applications, and our assumptions about customers’ acceptance of advanced system architectures for servers used in AI data centers, either of which may turn out to be inaccurate.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Unlike established markets, such as those for legacy silicon solutions, where historical trends offer some predictive value, new and emerging markets present unique challenges:</w:t>
      </w:r>
    </w:p>
    <w:p>
      <w:pPr>
        <w:spacing w:after="0" w:line="79" w:lineRule="exact"/>
        <w:rPr>
          <w:sz w:val="20"/>
          <w:szCs w:val="20"/>
          <w:color w:val="auto"/>
        </w:rPr>
      </w:pPr>
    </w:p>
    <w:p>
      <w:pPr>
        <w:ind w:left="500" w:right="40" w:hanging="330"/>
        <w:spacing w:after="0" w:line="261"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and Addressable Market Uncertainty</w:t>
      </w:r>
      <w:r>
        <w:rPr>
          <w:rFonts w:ascii="Times New Roman" w:cs="Times New Roman" w:eastAsia="Times New Roman" w:hAnsi="Times New Roman"/>
          <w:sz w:val="18"/>
          <w:szCs w:val="18"/>
          <w:color w:val="auto"/>
        </w:rPr>
        <w:t>: The demand for our products, and our customers’ products, in new or emerging markets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to forecast, as customer preferences may not be fully known and can evolve rapidly. Further, demand for our products depends on the acceptance of underlying new and developing system architectures. For example, our predictions for the use of GaN- and SiC-based products in 800 V AI data center power applications depend on assumptions regarding the acceptance and growth of 800 V systems themselves.</w:t>
      </w:r>
    </w:p>
    <w:p>
      <w:pPr>
        <w:spacing w:after="0" w:line="112" w:lineRule="exact"/>
        <w:rPr>
          <w:rFonts w:ascii="Times New Roman" w:cs="Times New Roman" w:eastAsia="Times New Roman" w:hAnsi="Times New Roman"/>
          <w:sz w:val="18"/>
          <w:szCs w:val="18"/>
          <w:color w:val="auto"/>
        </w:rPr>
      </w:pPr>
    </w:p>
    <w:p>
      <w:pPr>
        <w:ind w:left="500" w:right="220" w:hanging="330"/>
        <w:spacing w:after="0" w:line="284"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Historical Data</w:t>
      </w:r>
      <w:r>
        <w:rPr>
          <w:rFonts w:ascii="Times New Roman" w:cs="Times New Roman" w:eastAsia="Times New Roman" w:hAnsi="Times New Roman"/>
          <w:sz w:val="18"/>
          <w:szCs w:val="18"/>
          <w:color w:val="auto"/>
        </w:rPr>
        <w:t>: In established markets, revenue projections can be supported by trends from prior periods. In contrast, there is little or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precedent for products aimed at new use cases, rendering traditional forecasting methods less reliable.</w:t>
      </w:r>
    </w:p>
    <w:p>
      <w:pPr>
        <w:spacing w:after="0" w:line="90" w:lineRule="exact"/>
        <w:rPr>
          <w:rFonts w:ascii="Times New Roman" w:cs="Times New Roman" w:eastAsia="Times New Roman" w:hAnsi="Times New Roman"/>
          <w:sz w:val="18"/>
          <w:szCs w:val="18"/>
          <w:color w:val="auto"/>
        </w:rPr>
      </w:pPr>
    </w:p>
    <w:p>
      <w:pPr>
        <w:jc w:val="both"/>
        <w:ind w:left="500" w:right="40" w:hanging="330"/>
        <w:spacing w:after="0" w:line="267"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Unpredictable Competitive Dynamics</w:t>
      </w:r>
      <w:r>
        <w:rPr>
          <w:rFonts w:ascii="Times New Roman" w:cs="Times New Roman" w:eastAsia="Times New Roman" w:hAnsi="Times New Roman"/>
          <w:sz w:val="18"/>
          <w:szCs w:val="18"/>
          <w:color w:val="auto"/>
        </w:rPr>
        <w:t>: To the extent our products reshape or create new market landscapes, the competitive environment may evolve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unexpected ways. For example, new competitors may emerge, or traditional competitors with established R&amp;D and manufacturing resources, and long-standing customer relationships, may choose to offer competitive GaN or SiC solutions.</w:t>
      </w:r>
    </w:p>
    <w:p>
      <w:pPr>
        <w:spacing w:after="0" w:line="94" w:lineRule="exact"/>
        <w:rPr>
          <w:rFonts w:ascii="Times New Roman" w:cs="Times New Roman" w:eastAsia="Times New Roman" w:hAnsi="Times New Roman"/>
          <w:sz w:val="18"/>
          <w:szCs w:val="18"/>
          <w:color w:val="auto"/>
        </w:rPr>
      </w:pPr>
    </w:p>
    <w:p>
      <w:pPr>
        <w:ind w:left="500" w:right="60" w:hanging="330"/>
        <w:spacing w:after="0" w:line="266"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Cyclical and Volatile Industry Conditions</w:t>
      </w:r>
      <w:r>
        <w:rPr>
          <w:rFonts w:ascii="Times New Roman" w:cs="Times New Roman" w:eastAsia="Times New Roman" w:hAnsi="Times New Roman"/>
          <w:sz w:val="18"/>
          <w:szCs w:val="18"/>
          <w:color w:val="auto"/>
        </w:rPr>
        <w:t>: The semiconductor sector is known for cyclical volatility. This inherent unpredictability is amplified in new and emerging markets, where demand can swing sharply due to macroeconomic events, supply chain shocks, regulatory changes, or technology cycles.</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Because our growth strategy depends on the successful creation and expansion of markets that did not previously exist—or were substantially different prior to our entry—we may experience periods of inconsistent or lower-than-expected revenue growth and profitability. These factors may materially impact our operating results and financial condition. Investors should not rely on past performance or management projections as an indication of future results in these dynamic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3051F2"/>
        </w:rPr>
        <w:t>Risks Related to Our Supply Chain and Manufacturing</w:t>
      </w:r>
    </w:p>
    <w:p>
      <w:pPr>
        <w:spacing w:after="0" w:line="23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sole supplier for our GaN wafers, and the announced discontinuation of GaN production by this supplier may adversely affect our operations, financial results, and growth prospects.</w:t>
      </w:r>
    </w:p>
    <w:p>
      <w:pPr>
        <w:spacing w:after="0" w:line="1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relied on Taiwan Semiconductor Manufacturing Company Limited (“TSMC”) as our sole supplier of gallium nitride (“GaN”) wafers, a key component in our product offerings. On July 1, 2025, TSMC announced its intention to cease GaN production in July 2027. While we have taken proactive steps to mitigate this risk, including expanding our collaboration with Powerchip Semiconductor Manufacturing Corporation (“Powerchip”), with qualification of initial devices expected in the fourth quarter of 2025 and mass production anticipated in the first half of 2026, there is no assurance that Powerchip or any other supplier will meet our quality, volume, cost, or timeline requirements.</w:t>
      </w:r>
    </w:p>
    <w:p>
      <w:pPr>
        <w:spacing w:after="0" w:line="21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Any delays or disruptions in qualifying or ramping production with Powerchip or other alternative suppliers could negatively impact our ability to fulfill customer orders, lead to increased costs, or cause a loss of revenue and market share. In addition, the transition may require us to modify our designs or manufacturing processes, which could result in increased engineering costs and potential delays in product availability. We are continuing to evaluate the impact of this transition on our financial statements, and there can be no assurance that our mitigation efforts will fully address the risks associated with TSMC’s exit from GaN production. Our failure to secure a stable and diversified supply of GaN wafers could materially adversely affect our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0" w:type="dxa"/>
            <w:vAlign w:val="bottom"/>
            <w:gridSpan w:val="10"/>
          </w:tcPr>
          <w:p>
            <w:pPr>
              <w:ind w:left="1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6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0" w:type="dxa"/>
            <w:vAlign w:val="bottom"/>
            <w:gridSpan w:val="10"/>
          </w:tcPr>
          <w:p>
            <w:pPr>
              <w:ind w:left="18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0"/>
        </w:trPr>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880" w:type="dxa"/>
            <w:vAlign w:val="bottom"/>
            <w:tcBorders>
              <w:top w:val="single" w:sz="8" w:color="auto"/>
            </w:tcBorders>
            <w:gridSpan w:val="11"/>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Agreement, dated April 23, 2025, among Navitas Semiconductor Corporation, Ranbir Singh and SiCPower,</w:t>
              </w:r>
            </w:hyperlink>
          </w:p>
        </w:tc>
      </w:tr>
      <w:tr>
        <w:trPr>
          <w:trHeight w:val="156"/>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LLC (incorporated by reference from Exhibit 10.1 of our current report on Form 8-K, filed with the</w:t>
              </w:r>
            </w:hyperlink>
          </w:p>
        </w:tc>
        <w:tc>
          <w:tcPr>
            <w:tcW w:w="2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Securities and Exchange Commission on April 29, 2025)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of resignation from Daniel M. Kinzer, dated April 23, 2025</w:t>
            </w:r>
          </w:p>
        </w:tc>
        <w:tc>
          <w:tcPr>
            <w:tcW w:w="3120" w:type="dxa"/>
            <w:vAlign w:val="bottom"/>
            <w:gridSpan w:val="8"/>
          </w:tcPr>
          <w:p>
            <w:pPr>
              <w:spacing w:after="0"/>
              <w:rPr>
                <w:sz w:val="22"/>
                <w:szCs w:val="22"/>
                <w:color w:val="auto"/>
              </w:rPr>
            </w:pPr>
          </w:p>
        </w:tc>
      </w:tr>
      <w:tr>
        <w:trPr>
          <w:trHeight w:val="31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Separation and Release of Claims Agreement, dated May 1, 2025, among Navitas Semiconductor</w:t>
            </w:r>
          </w:p>
        </w:tc>
      </w:tr>
      <w:tr>
        <w:trPr>
          <w:trHeight w:val="156"/>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Corporation, Navitas Semiconductor Limited, Navitas Semiconductor USA, Inc. and Daniel M.</w:t>
            </w:r>
          </w:p>
        </w:tc>
        <w:tc>
          <w:tcPr>
            <w:tcW w:w="40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77"/>
              </w:rPr>
              <w:t>Kinzer</w:t>
            </w:r>
          </w:p>
        </w:tc>
        <w:tc>
          <w:tcPr>
            <w:tcW w:w="460" w:type="dxa"/>
            <w:vAlign w:val="bottom"/>
            <w:gridSpan w:val="4"/>
          </w:tcPr>
          <w:p>
            <w:pPr>
              <w:spacing w:after="0"/>
              <w:rPr>
                <w:sz w:val="13"/>
                <w:szCs w:val="13"/>
                <w:color w:val="auto"/>
              </w:rPr>
            </w:pPr>
          </w:p>
        </w:tc>
      </w:tr>
      <w:tr>
        <w:trPr>
          <w:trHeight w:val="263"/>
        </w:trPr>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 Act</w:t>
            </w:r>
          </w:p>
        </w:tc>
        <w:tc>
          <w:tcPr>
            <w:tcW w:w="1900" w:type="dxa"/>
            <w:vAlign w:val="bottom"/>
            <w:gridSpan w:val="6"/>
          </w:tcPr>
          <w:p>
            <w:pPr>
              <w:spacing w:after="0"/>
              <w:rPr>
                <w:sz w:val="22"/>
                <w:szCs w:val="22"/>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 Act</w:t>
            </w:r>
          </w:p>
        </w:tc>
        <w:tc>
          <w:tcPr>
            <w:tcW w:w="1940" w:type="dxa"/>
            <w:vAlign w:val="bottom"/>
            <w:gridSpan w:val="7"/>
          </w:tcPr>
          <w:p>
            <w:pPr>
              <w:spacing w:after="0"/>
              <w:rPr>
                <w:sz w:val="21"/>
                <w:szCs w:val="2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 Rule 13a-14(b) of the Exchange</w:t>
            </w:r>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Act and 18 U.S.C. § 1350</w:t>
            </w:r>
          </w:p>
        </w:tc>
        <w:tc>
          <w:tcPr>
            <w:tcW w:w="616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3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23"/>
                <w:szCs w:val="23"/>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23"/>
                <w:szCs w:val="23"/>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23"/>
                <w:szCs w:val="23"/>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Gene Sheridan</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0" w:lineRule="exact"/>
        <w:rPr>
          <w:sz w:val="20"/>
          <w:szCs w:val="20"/>
          <w:color w:val="auto"/>
        </w:rPr>
      </w:pPr>
    </w:p>
    <w:p>
      <w:pPr>
        <w:jc w:val="center"/>
        <w:ind w:right="160"/>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4, 2025</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Todd Glickman</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Sr. V.P., Chief Financial Officer and</w:t>
      </w:r>
    </w:p>
    <w:p>
      <w:pPr>
        <w:ind w:left="4960"/>
        <w:spacing w:after="0"/>
        <w:rPr>
          <w:sz w:val="20"/>
          <w:szCs w:val="20"/>
          <w:color w:val="auto"/>
        </w:rPr>
      </w:pPr>
      <w:r>
        <w:rPr>
          <w:rFonts w:ascii="Times New Roman" w:cs="Times New Roman" w:eastAsia="Times New Roman" w:hAnsi="Times New Roman"/>
          <w:sz w:val="18"/>
          <w:szCs w:val="18"/>
          <w:color w:val="auto"/>
        </w:rPr>
        <w:t>Treasurer</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6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jc w:val="center"/>
        <w:ind w:right="300"/>
        <w:spacing w:after="0"/>
        <w:tabs>
          <w:tab w:leader="none" w:pos="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60"/>
          </w:cols>
          <w:pgMar w:left="320" w:top="454" w:right="8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23,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3520 Challenger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Torrance, CA 90503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Resignation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 refer to the Agreement, substantially in the form approved by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on April 21, 2025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is expected to be entered into between Navitas Semiconductor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on the one hand,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Ranbir Singh and SiCPower, LLC, on the other hand. Capitalized terms used and not otherwise defined in this letter have the meanings given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Agreement.</w:t>
      </w:r>
    </w:p>
    <w:p>
      <w:pPr>
        <w:spacing w:after="0" w:line="115" w:lineRule="exact"/>
        <w:rPr>
          <w:sz w:val="20"/>
          <w:szCs w:val="20"/>
          <w:color w:val="auto"/>
        </w:rPr>
      </w:pPr>
    </w:p>
    <w:p>
      <w:pPr>
        <w:jc w:val="both"/>
        <w:ind w:right="20" w:firstLine="656"/>
        <w:spacing w:after="0" w:line="275" w:lineRule="auto"/>
        <w:tabs>
          <w:tab w:leader="none" w:pos="1296"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Resignation; Conditions</w:t>
      </w:r>
      <w:r>
        <w:rPr>
          <w:rFonts w:ascii="Times New Roman" w:cs="Times New Roman" w:eastAsia="Times New Roman" w:hAnsi="Times New Roman"/>
          <w:sz w:val="19"/>
          <w:szCs w:val="19"/>
          <w:color w:val="auto"/>
        </w:rPr>
        <w:t>. Subject to the other terms and conditions in this letter, I hereby irrevocably resign from the Board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from my employment with the Company (including as Chief Technology Officer and Chief Operating Officer). My resignation from the Board is subject to, and will be effective upon, the Board’s appointment of the New Director pursuant to the Agreement. My resignation from the Board is not the result of any disagreement with the Company on any matter relating to the Company’s operations, policies or practices.</w:t>
      </w:r>
    </w:p>
    <w:p>
      <w:pPr>
        <w:spacing w:after="0" w:line="3" w:lineRule="exact"/>
        <w:rPr>
          <w:rFonts w:ascii="Times New Roman" w:cs="Times New Roman" w:eastAsia="Times New Roman" w:hAnsi="Times New Roman"/>
          <w:sz w:val="19"/>
          <w:szCs w:val="19"/>
          <w:color w:val="auto"/>
        </w:rPr>
      </w:pPr>
    </w:p>
    <w:p>
      <w:pPr>
        <w:ind w:right="40"/>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Rather, it reflects one of several negotiated terms of the Agreement. My resignation from employment is subject to the Company’s agreement to the terms of this letter prior to entering into the Agreement, and will be effective immediately upon the later of the Effective Date of the Agreement or May 1, 2025.</w:t>
      </w:r>
    </w:p>
    <w:p>
      <w:pPr>
        <w:spacing w:after="0" w:line="63" w:lineRule="exact"/>
        <w:rPr>
          <w:rFonts w:ascii="Times New Roman" w:cs="Times New Roman" w:eastAsia="Times New Roman" w:hAnsi="Times New Roman"/>
          <w:sz w:val="19"/>
          <w:szCs w:val="19"/>
          <w:color w:val="auto"/>
        </w:rPr>
      </w:pPr>
    </w:p>
    <w:p>
      <w:pPr>
        <w:ind w:firstLine="656"/>
        <w:spacing w:after="0" w:line="261"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 Benefits</w:t>
      </w:r>
      <w:r>
        <w:rPr>
          <w:rFonts w:ascii="Times New Roman" w:cs="Times New Roman" w:eastAsia="Times New Roman" w:hAnsi="Times New Roman"/>
          <w:sz w:val="20"/>
          <w:szCs w:val="20"/>
          <w:color w:val="auto"/>
        </w:rPr>
        <w:t>. My resignation from employment will for all purposes constitute a resignation for “Good Reason” as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is defined in my Employment Agreement dated May 6, 2021 (my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and the Navitas Semiconductor Executive Severance Plan (the “</w:t>
      </w:r>
      <w:r>
        <w:rPr>
          <w:rFonts w:ascii="Times New Roman" w:cs="Times New Roman" w:eastAsia="Times New Roman" w:hAnsi="Times New Roman"/>
          <w:sz w:val="20"/>
          <w:szCs w:val="20"/>
          <w:b w:val="1"/>
          <w:bCs w:val="1"/>
          <w:color w:val="auto"/>
        </w:rPr>
        <w:t>Severance Plan</w:t>
      </w:r>
      <w:r>
        <w:rPr>
          <w:rFonts w:ascii="Times New Roman" w:cs="Times New Roman" w:eastAsia="Times New Roman" w:hAnsi="Times New Roman"/>
          <w:sz w:val="20"/>
          <w:szCs w:val="20"/>
          <w:color w:val="auto"/>
        </w:rPr>
        <w:t>”). For the avoidance of doubt the Company hereby irrevocably waives any rights to cure such Good Reason event. Accordingly, subject to my execution of a customary release of claims in favor of the Company, the Company shall provide the payments and benefits to which I am entitled in the event of my resignation for Good Reason under my Employment Agreement and the Severance Plan, including without limitation (a) a lump-sum payment equal to 12 months of my base salary (as in effect on February 28, 2025); (b) continued COBRA and, if applicable, Cal-COBRA health care coverage (including medical, dental and vision coverage) for 12 months for me and my eligible dependents and (c) a pro rata bonus under the Company’s annual bonus plan, provided such pro rata bonus will be payable in cash in a lump sum at the same time the annual bonus is paid (if at all) to other executive participants, and in any case no later than March 15, 2026, and provided, further, that the individual MBO component of such pro rata bonus will be scored at 100% achievement. All such payments and benefits will be governed by the Employment Agreement, Severance Plan or bonus plan, as applicable, to the extent not inconsistent with the terms of this letter.</w:t>
      </w:r>
    </w:p>
    <w:p>
      <w:pPr>
        <w:spacing w:after="0" w:line="76" w:lineRule="exact"/>
        <w:rPr>
          <w:rFonts w:ascii="Times New Roman" w:cs="Times New Roman" w:eastAsia="Times New Roman" w:hAnsi="Times New Roman"/>
          <w:sz w:val="20"/>
          <w:szCs w:val="20"/>
          <w:color w:val="auto"/>
        </w:rPr>
      </w:pPr>
    </w:p>
    <w:p>
      <w:pPr>
        <w:ind w:right="80" w:firstLine="656"/>
        <w:spacing w:after="0" w:line="263"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Consulting Agreement</w:t>
      </w:r>
      <w:r>
        <w:rPr>
          <w:rFonts w:ascii="Times New Roman" w:cs="Times New Roman" w:eastAsia="Times New Roman" w:hAnsi="Times New Roman"/>
          <w:sz w:val="20"/>
          <w:szCs w:val="20"/>
          <w:color w:val="auto"/>
        </w:rPr>
        <w:t>. As contemplated by the Agreement, the Company and I shall use our good-faith reasonable efforts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negotiate and enter into an agreement pursuant to which I will serve as a consultant to the Company on gallium nitride technology following my resignation. Provided we have used such good-faith reasonable efforts, if we fail to conclude such an agreement by May 31, 2025, then either the Company or I will have the right to terminate this section 3 upon written notice to the other, in either case without liability to the other resulting from such failure. Regardless of the date it is entered into, such agreement will be effective retroactively so as to provide compensation (based on the</w:t>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23,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terms of such agreement) for any services rendered after the effective date of my resignation from employment. The Company shall provide me with continued email, IT and facility access rights and privileges until such agreement has been entered into or this section 3 is terminated as provided above.</w:t>
      </w:r>
    </w:p>
    <w:p>
      <w:pPr>
        <w:spacing w:after="0" w:line="56" w:lineRule="exact"/>
        <w:rPr>
          <w:sz w:val="20"/>
          <w:szCs w:val="20"/>
          <w:color w:val="auto"/>
        </w:rPr>
      </w:pPr>
    </w:p>
    <w:p>
      <w:pPr>
        <w:jc w:val="both"/>
        <w:ind w:right="140" w:firstLine="656"/>
        <w:spacing w:after="0" w:line="269"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This resignation letter is limited to its terms and does not set forth all applicable terms and conditions relating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termination of my employment, or the effects of such termination upon any rights or benefits to which I am otherwise entitled in connection with such termination, including without limitation any such rights or benefits that accrue in connection with the involuntary termination of my employment, all of which rights are expressly reserved.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220"/>
          </w:cols>
          <w:pgMar w:left="320" w:top="13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23,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Please indicate the Company’s agreement to the foregoing terms and conditions by signing and returning a copy of this letter to me.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Yours very truly,</w:t>
      </w:r>
    </w:p>
    <w:p>
      <w:pPr>
        <w:spacing w:after="0" w:line="1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Daniel M. Kinzer</w:t>
      </w:r>
    </w:p>
    <w:p>
      <w:pPr>
        <w:spacing w:after="0" w:line="1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Daniel M. Kinzer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44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Gene Sheridan</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President and CEO</w:t>
      </w:r>
    </w:p>
    <w:p>
      <w:pPr>
        <w:sectPr>
          <w:pgSz w:w="11900" w:h="16838" w:orient="portrait"/>
          <w:cols w:equalWidth="0" w:num="1">
            <w:col w:w="11080"/>
          </w:cols>
          <w:pgMar w:left="320" w:top="130" w:right="499" w:bottom="1440" w:gutter="0" w:footer="0" w:header="0"/>
        </w:sectPr>
      </w:pPr>
    </w:p>
    <w:bookmarkStart w:id="43" w:name="page44"/>
    <w:bookmarkEnd w:id="43"/>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AND RELEASE OF CLAIMS AGREEMENT</w:t>
      </w:r>
    </w:p>
    <w:p>
      <w:pPr>
        <w:spacing w:after="0" w:line="22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This Separation and Release of Claims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the Effective Date (defined in Section 2(d) below) by and among:</w:t>
      </w:r>
    </w:p>
    <w:p>
      <w:pPr>
        <w:spacing w:after="0" w:line="57" w:lineRule="exact"/>
        <w:rPr>
          <w:sz w:val="20"/>
          <w:szCs w:val="20"/>
          <w:color w:val="auto"/>
        </w:rPr>
      </w:pPr>
    </w:p>
    <w:p>
      <w:pPr>
        <w:jc w:val="both"/>
        <w:ind w:left="340" w:hanging="332"/>
        <w:spacing w:after="0" w:line="254" w:lineRule="auto"/>
        <w:tabs>
          <w:tab w:leader="none" w:pos="63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Navitas Semiconductor USA,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solely for purposes of Section 5(d),</w:t>
      </w:r>
      <w:r>
        <w:rPr>
          <w:rFonts w:ascii="Times New Roman" w:cs="Times New Roman" w:eastAsia="Times New Roman" w:hAnsi="Times New Roman"/>
          <w:sz w:val="20"/>
          <w:szCs w:val="20"/>
          <w:b w:val="1"/>
          <w:bCs w:val="1"/>
          <w:color w:val="auto"/>
        </w:rPr>
        <w:t xml:space="preserve"> Navitas Semiconductor Corporation</w:t>
      </w:r>
      <w:r>
        <w:rPr>
          <w:rFonts w:ascii="Times New Roman" w:cs="Times New Roman" w:eastAsia="Times New Roman" w:hAnsi="Times New Roman"/>
          <w:sz w:val="20"/>
          <w:szCs w:val="20"/>
          <w:color w:val="auto"/>
        </w:rPr>
        <w:t>, a Delaware corporation; and, solely for purposes of Section 5(d),</w:t>
      </w:r>
      <w:r>
        <w:rPr>
          <w:rFonts w:ascii="Times New Roman" w:cs="Times New Roman" w:eastAsia="Times New Roman" w:hAnsi="Times New Roman"/>
          <w:sz w:val="20"/>
          <w:szCs w:val="20"/>
          <w:b w:val="1"/>
          <w:bCs w:val="1"/>
          <w:color w:val="auto"/>
        </w:rPr>
        <w:t xml:space="preserve"> Navitas Semiconductor Limited</w:t>
      </w:r>
      <w:r>
        <w:rPr>
          <w:rFonts w:ascii="Times New Roman" w:cs="Times New Roman" w:eastAsia="Times New Roman" w:hAnsi="Times New Roman"/>
          <w:sz w:val="20"/>
          <w:szCs w:val="20"/>
          <w:color w:val="auto"/>
        </w:rPr>
        <w:t>,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Irish private company domesticated in Delaware as Navitas Semiconductor Ireland, LLC, a Delaware limited liability company; each on behalf of itself and its corporate affiliates and each of their respective present and former employees, officers, directors, owners, stockholders and agents, individually and in their official capacities (collectively referred to as the “</w:t>
      </w:r>
      <w:r>
        <w:rPr>
          <w:rFonts w:ascii="Times New Roman" w:cs="Times New Roman" w:eastAsia="Times New Roman" w:hAnsi="Times New Roman"/>
          <w:sz w:val="20"/>
          <w:szCs w:val="20"/>
          <w:b w:val="1"/>
          <w:bCs w:val="1"/>
          <w:color w:val="auto"/>
        </w:rPr>
        <w:t>Employer Group</w:t>
      </w:r>
      <w:r>
        <w:rPr>
          <w:rFonts w:ascii="Times New Roman" w:cs="Times New Roman" w:eastAsia="Times New Roman" w:hAnsi="Times New Roman"/>
          <w:sz w:val="20"/>
          <w:szCs w:val="20"/>
          <w:color w:val="auto"/>
        </w:rPr>
        <w:t>”); and</w:t>
      </w:r>
    </w:p>
    <w:p>
      <w:pPr>
        <w:spacing w:after="0" w:line="7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DANIEL M. KINZER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and, together with the Employer,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Employer and the Employee agree as follows:</w:t>
      </w:r>
    </w:p>
    <w:p>
      <w:pPr>
        <w:spacing w:after="0" w:line="212" w:lineRule="exact"/>
        <w:rPr>
          <w:sz w:val="20"/>
          <w:szCs w:val="20"/>
          <w:color w:val="auto"/>
        </w:rPr>
      </w:pPr>
    </w:p>
    <w:p>
      <w:pPr>
        <w:jc w:val="both"/>
        <w:ind w:firstLine="656"/>
        <w:spacing w:after="0" w:line="258"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 xml:space="preserve">. The Employee’s last day of employment with the Employer is </w:t>
      </w:r>
      <w:r>
        <w:rPr>
          <w:rFonts w:ascii="Times New Roman" w:cs="Times New Roman" w:eastAsia="Times New Roman" w:hAnsi="Times New Roman"/>
          <w:sz w:val="20"/>
          <w:szCs w:val="20"/>
          <w:b w:val="1"/>
          <w:bCs w:val="1"/>
          <w:color w:val="auto"/>
        </w:rPr>
        <w:t>May 1, 2025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After the Separation Date, the Employee will not represent that the Employee is an employee, officer, attorney, agent, or representative of the Employer Group for any purpose. Except as otherwise set forth in this Agreement, the Separation Date is the employment termination date for the Employee for all purposes, meaning the Employee is not entitled to any further compensation, monies, or other benefits from the Employer Group, including coverage under any benefit plans or programs sponsored by the Employer Group, as of the Separation Date.</w:t>
      </w:r>
    </w:p>
    <w:p>
      <w:pPr>
        <w:spacing w:after="0" w:line="17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 Execution and Effectiveness of this Agreement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3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Separation Date, the Employer provided a copy of this Agreement, signed by the Employer, to the Employee for the Employee’s review and consideration.</w:t>
      </w:r>
    </w:p>
    <w:p>
      <w:pPr>
        <w:spacing w:after="0" w:line="168"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Employee is advised to consult with an attorney before signing this Agreement. The Employee has at least</w:t>
      </w:r>
    </w:p>
    <w:p>
      <w:pPr>
        <w:spacing w:after="0" w:line="32" w:lineRule="exact"/>
        <w:rPr>
          <w:rFonts w:ascii="Times New Roman" w:cs="Times New Roman" w:eastAsia="Times New Roman" w:hAnsi="Times New Roman"/>
          <w:sz w:val="20"/>
          <w:szCs w:val="20"/>
          <w:color w:val="auto"/>
        </w:rPr>
      </w:pPr>
    </w:p>
    <w:p>
      <w:pPr>
        <w:jc w:val="both"/>
        <w:ind w:left="660" w:hanging="4"/>
        <w:spacing w:after="0" w:line="249" w:lineRule="auto"/>
        <w:tabs>
          <w:tab w:leader="none" w:pos="908"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calendar days to review and consider signing this Agreement, although the Employee may sign it sooner if desired. The 45-day review period does not restart if immaterial or material changes are made to this Agreement after it is first provided to the Employee. If the Employee signs this Agreement, the Employee has the right, within seven days after signing this Agreement, to revoke the release of Claims under the Age Discrimination in Employment Act (ADEA), as explained in Section 6(c)(v) below.</w:t>
      </w:r>
    </w:p>
    <w:p>
      <w:pPr>
        <w:spacing w:after="0" w:line="195" w:lineRule="exact"/>
        <w:rPr>
          <w:rFonts w:ascii="Times New Roman" w:cs="Times New Roman" w:eastAsia="Times New Roman" w:hAnsi="Times New Roman"/>
          <w:sz w:val="20"/>
          <w:szCs w:val="20"/>
          <w:b w:val="1"/>
          <w:bCs w:val="1"/>
          <w:color w:val="auto"/>
        </w:rPr>
      </w:pPr>
    </w:p>
    <w:p>
      <w:pPr>
        <w:ind w:left="660" w:firstLine="644"/>
        <w:spacing w:after="0" w:line="269" w:lineRule="auto"/>
        <w:tabs>
          <w:tab w:leader="none" w:pos="180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accept the terms and conditions in this Agreement, including the Separation Benefits described in Section 5, the Employee </w:t>
      </w:r>
      <w:r>
        <w:rPr>
          <w:rFonts w:ascii="Times New Roman" w:cs="Times New Roman" w:eastAsia="Times New Roman" w:hAnsi="Times New Roman"/>
          <w:sz w:val="20"/>
          <w:szCs w:val="20"/>
          <w:b w:val="1"/>
          <w:bCs w:val="1"/>
          <w:color w:val="auto"/>
        </w:rPr>
        <w:t>must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Initial Section 13 on Page 12 (arbitration provision);</w:t>
      </w:r>
    </w:p>
    <w:p>
      <w:pPr>
        <w:spacing w:after="0" w:line="10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 and date where indicated on Page 15; and</w:t>
      </w:r>
    </w:p>
    <w:p>
      <w:pPr>
        <w:spacing w:after="0" w:line="117" w:lineRule="exact"/>
        <w:rPr>
          <w:sz w:val="20"/>
          <w:szCs w:val="20"/>
          <w:color w:val="auto"/>
        </w:rPr>
      </w:pPr>
    </w:p>
    <w:p>
      <w:pPr>
        <w:jc w:val="both"/>
        <w:ind w:left="2600" w:hanging="276"/>
        <w:spacing w:after="0" w:line="263" w:lineRule="auto"/>
        <w:rPr>
          <w:sz w:val="20"/>
          <w:szCs w:val="20"/>
          <w:color w:val="auto"/>
        </w:rPr>
      </w:pPr>
      <w:r>
        <w:rPr>
          <w:rFonts w:ascii="Times New Roman" w:cs="Times New Roman" w:eastAsia="Times New Roman" w:hAnsi="Times New Roman"/>
          <w:sz w:val="20"/>
          <w:szCs w:val="20"/>
          <w:color w:val="auto"/>
        </w:rPr>
        <w:t xml:space="preserve">Return a signed and dated copy of this Agreement to the Employer </w:t>
      </w:r>
      <w:r>
        <w:rPr>
          <w:rFonts w:ascii="Times New Roman" w:cs="Times New Roman" w:eastAsia="Times New Roman" w:hAnsi="Times New Roman"/>
          <w:sz w:val="20"/>
          <w:szCs w:val="20"/>
          <w:b w:val="1"/>
          <w:bCs w:val="1"/>
          <w:color w:val="auto"/>
        </w:rPr>
        <w:t>before 5:00 p.m., Pacific Time,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July 31, 2025</w:t>
      </w:r>
      <w:r>
        <w:rPr>
          <w:rFonts w:ascii="Times New Roman" w:cs="Times New Roman" w:eastAsia="Times New Roman" w:hAnsi="Times New Roman"/>
          <w:sz w:val="20"/>
          <w:szCs w:val="20"/>
          <w:color w:val="auto"/>
        </w:rPr>
        <w:t>. If the Employee requests (and provides a personal email address), the Employer will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for the Employee’s signature by DocuSign or similar electronic method.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line="275" w:lineRule="auto"/>
        <w:rPr>
          <w:sz w:val="20"/>
          <w:szCs w:val="20"/>
          <w:color w:val="auto"/>
        </w:rPr>
      </w:pPr>
      <w:r>
        <w:rPr>
          <w:rFonts w:ascii="Times New Roman" w:cs="Times New Roman" w:eastAsia="Times New Roman" w:hAnsi="Times New Roman"/>
          <w:sz w:val="22"/>
          <w:szCs w:val="22"/>
          <w:b w:val="1"/>
          <w:bCs w:val="1"/>
          <w:color w:val="auto"/>
        </w:rPr>
        <w:t>The Employer’s offer of Separation Benefits as reflected in Section 5 of this Agreement will terminate if not accepted by the Employee in accordance with the above instructions.</w:t>
      </w:r>
    </w:p>
    <w:p>
      <w:pPr>
        <w:sectPr>
          <w:pgSz w:w="11900" w:h="16838" w:orient="portrait"/>
          <w:cols w:equalWidth="0" w:num="1">
            <w:col w:w="11240"/>
          </w:cols>
          <w:pgMar w:left="320" w:top="135" w:right="339" w:bottom="1440" w:gutter="0" w:footer="0" w:header="0"/>
        </w:sectPr>
      </w:pPr>
    </w:p>
    <w:bookmarkStart w:id="44" w:name="page45"/>
    <w:bookmarkEnd w:id="44"/>
    <w:p>
      <w:pPr>
        <w:ind w:left="1500"/>
        <w:spacing w:after="0"/>
        <w:rPr>
          <w:sz w:val="20"/>
          <w:szCs w:val="20"/>
          <w:color w:val="auto"/>
        </w:rPr>
      </w:pPr>
      <w:r>
        <w:rPr>
          <w:rFonts w:ascii="Times New Roman" w:cs="Times New Roman" w:eastAsia="Times New Roman" w:hAnsi="Times New Roman"/>
          <w:sz w:val="20"/>
          <w:szCs w:val="20"/>
          <w:color w:val="auto"/>
        </w:rPr>
        <w:t>The Employee should keep a copy of this Agreement for the Employee’s records.</w:t>
      </w:r>
    </w:p>
    <w:p>
      <w:pPr>
        <w:spacing w:after="0" w:line="108" w:lineRule="exact"/>
        <w:rPr>
          <w:sz w:val="20"/>
          <w:szCs w:val="20"/>
          <w:color w:val="auto"/>
        </w:rPr>
      </w:pPr>
    </w:p>
    <w:p>
      <w:pPr>
        <w:ind w:left="1060" w:firstLine="649"/>
        <w:spacing w:after="0"/>
        <w:tabs>
          <w:tab w:leader="none" w:pos="2241"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become effective on, and not before, the eighth (8th) day after the Employee signs this Agreement and returns it to the Employer as instructed in subparagraph (c) above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060" w:firstLine="649"/>
        <w:spacing w:after="0" w:line="253" w:lineRule="auto"/>
        <w:tabs>
          <w:tab w:leader="none" w:pos="21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Employee signs this Agreement, all wages and other compensation to which the Employee is entitled up to and including the Separation Date will be paid to the Employee on or before the Separation Date. However, no Separation Benefits under Section 5 will be made or begin before the Effective Date. If the Separation Date occurs during a scheduled trading blackout period under the Employer’s Insider Trading Policy, any amounts paid under this subsection (e) in the form of common stock or equity awards will constitute fully vested property rights of the Employee on the Separation Date; however the delivery of shares of common stock underlying any such awards will be delayed until after the blackout period ends, in accordance with such policy and other applicable Employer policies.</w:t>
      </w:r>
    </w:p>
    <w:p>
      <w:pPr>
        <w:spacing w:after="0" w:line="179"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At the conclusion of the negotiation for an advisory role with the Company, if not agreed, the Employee shall return all Employer Group property, including identification cards or badges, access codes or devices, keys, laptops, computers, telephones, mobile phones, hand-held electronic devices, credit cards, electronically stored documents or files and storage devices, physical files, and any other Employer Group property in the Employee’s possession. The Employee acknowledges and agrees that, after the conclusion of negotiations for an advisory role, if not agreed, the Employee will no longer have access to and will not claim ownership of any of the Employer Group’s cloud storage or social media accounts. Negotiations may extend beyond May 30, 2025 by mutual agreement. If and for as long as the Employee continues in an advisory role with the Company, the Employee may retain possession of such property for use in the role, including access devices, office, computer, monitors, desk and other furniture, credit card, email account, and will retain access to company systems and such as Gmail, Cadence, VPN, and other such systems as necessary for the performance of the tasks. The Employee shall return all such property to the Company within five business days after the conclusion of the advisory engagement.</w:t>
      </w:r>
    </w:p>
    <w:p>
      <w:pPr>
        <w:spacing w:after="0" w:line="17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Representations</w:t>
      </w:r>
      <w:r>
        <w:rPr>
          <w:rFonts w:ascii="Times New Roman" w:cs="Times New Roman" w:eastAsia="Times New Roman" w:hAnsi="Times New Roman"/>
          <w:sz w:val="20"/>
          <w:szCs w:val="20"/>
          <w:color w:val="auto"/>
        </w:rPr>
        <w:t>. The Employee specifically represents, warrants, and confirms that the Employee:</w:t>
      </w:r>
    </w:p>
    <w:p>
      <w:pPr>
        <w:spacing w:after="0" w:line="229" w:lineRule="exact"/>
        <w:rPr>
          <w:rFonts w:ascii="Times New Roman" w:cs="Times New Roman" w:eastAsia="Times New Roman" w:hAnsi="Times New Roman"/>
          <w:sz w:val="20"/>
          <w:szCs w:val="20"/>
          <w:color w:val="auto"/>
        </w:rPr>
      </w:pPr>
    </w:p>
    <w:p>
      <w:pPr>
        <w:jc w:val="both"/>
        <w:ind w:left="1060" w:firstLine="649"/>
        <w:spacing w:after="0" w:line="253" w:lineRule="auto"/>
        <w:tabs>
          <w:tab w:leader="none" w:pos="2157"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filed any complaints or lawsuits against the Employer Group with any state or federal court or arbitration forum before signing and returning this Agreement. For the avoidance of doubt, this representation does not include, and the Employee is not required to disclose to the Employer, any claims, complaints or communications to the Securities and Exchange Commission (SEC), the National Labor Relations Board (NLRB), the Equal Employment Opportunity Commission (EEOC), the Occupational Safety and Health Administration (OSHA), the California Civil Rights Department (CRD) or any other federal, state or local governmental regulatory or law enforcement agency (“</w:t>
      </w:r>
      <w:r>
        <w:rPr>
          <w:rFonts w:ascii="Times New Roman" w:cs="Times New Roman" w:eastAsia="Times New Roman" w:hAnsi="Times New Roman"/>
          <w:sz w:val="20"/>
          <w:szCs w:val="20"/>
          <w:b w:val="1"/>
          <w:bCs w:val="1"/>
          <w:color w:val="auto"/>
        </w:rPr>
        <w:t>Government Agencies</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1060" w:firstLine="649"/>
        <w:spacing w:after="0" w:line="283" w:lineRule="auto"/>
        <w:tabs>
          <w:tab w:leader="none" w:pos="219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made any claims or allegations to the Employer Group related to sexual harassment or sexual assault or abuse, and that none of the payments set forth in this Agreement are related to any such claims or allegations;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45" w:name="page46"/>
    <w:bookmarkEnd w:id="45"/>
    <w:p>
      <w:pPr>
        <w:ind w:left="2120" w:hanging="411"/>
        <w:spacing w:after="0"/>
        <w:tabs>
          <w:tab w:leader="none" w:pos="21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properly paid for all hours worked for the Employer Group; and</w:t>
      </w:r>
    </w:p>
    <w:p>
      <w:pPr>
        <w:spacing w:after="0" w:line="229" w:lineRule="exact"/>
        <w:rPr>
          <w:rFonts w:ascii="Times New Roman" w:cs="Times New Roman" w:eastAsia="Times New Roman" w:hAnsi="Times New Roman"/>
          <w:sz w:val="20"/>
          <w:szCs w:val="20"/>
          <w:color w:val="auto"/>
        </w:rPr>
      </w:pPr>
    </w:p>
    <w:p>
      <w:pPr>
        <w:jc w:val="both"/>
        <w:ind w:left="1060" w:firstLine="649"/>
        <w:spacing w:after="0" w:line="261" w:lineRule="auto"/>
        <w:tabs>
          <w:tab w:leader="none" w:pos="219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received all wages, bonuses and other compensation due to the Employee on or before the Separation Date, except for (if applicable) any shares of common stock which the Employer will deliver after the Separation Date in accordance with applicable legal requirements and Employer policies.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If any of these statements is not true, the Employee cannot sign this Agreement and must notify the Employer immediately in writing of the statements that are not true. This notice will not automatically disqualify the Employee from receiving the benefits offered in this Agreement, but will require the Employer’s further review and consideration.</w:t>
      </w:r>
    </w:p>
    <w:p>
      <w:pPr>
        <w:spacing w:after="0" w:line="168" w:lineRule="exact"/>
        <w:rPr>
          <w:sz w:val="20"/>
          <w:szCs w:val="20"/>
          <w:color w:val="auto"/>
        </w:rPr>
      </w:pPr>
    </w:p>
    <w:p>
      <w:pPr>
        <w:jc w:val="both"/>
        <w:ind w:firstLine="656"/>
        <w:spacing w:after="0" w:line="268" w:lineRule="auto"/>
        <w:tabs>
          <w:tab w:leader="none" w:pos="12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Benefits</w:t>
      </w:r>
      <w:r>
        <w:rPr>
          <w:rFonts w:ascii="Times New Roman" w:cs="Times New Roman" w:eastAsia="Times New Roman" w:hAnsi="Times New Roman"/>
          <w:sz w:val="20"/>
          <w:szCs w:val="20"/>
          <w:color w:val="auto"/>
        </w:rPr>
        <w:t>. As consideration for, and conditioned upon, the Employee’s execution of and compliance with this Agreement, including the Employee’s waivers and releases of claims in Section 6 and other post-termination obligations, the Employer Group shall provide the following benefits to which the Employee is not otherwise entitled (“</w:t>
      </w:r>
      <w:r>
        <w:rPr>
          <w:rFonts w:ascii="Times New Roman" w:cs="Times New Roman" w:eastAsia="Times New Roman" w:hAnsi="Times New Roman"/>
          <w:sz w:val="20"/>
          <w:szCs w:val="20"/>
          <w:b w:val="1"/>
          <w:bCs w:val="1"/>
          <w:color w:val="auto"/>
        </w:rPr>
        <w:t>Separation Benefits</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jc w:val="both"/>
        <w:ind w:left="1060" w:firstLine="649"/>
        <w:spacing w:after="0" w:line="263" w:lineRule="auto"/>
        <w:tabs>
          <w:tab w:leader="none" w:pos="213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Payments. </w:t>
      </w:r>
      <w:r>
        <w:rPr>
          <w:rFonts w:ascii="Times New Roman" w:cs="Times New Roman" w:eastAsia="Times New Roman" w:hAnsi="Times New Roman"/>
          <w:sz w:val="20"/>
          <w:szCs w:val="20"/>
          <w:color w:val="auto"/>
        </w:rPr>
        <w:t>Subject to Section 6(c)(v), (i) a cash payment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color w:val="auto"/>
        </w:rPr>
        <w:t>$265,000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within five business days after the Effective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Date and (ii) a cash payment of </w:t>
      </w:r>
      <w:r>
        <w:rPr>
          <w:rFonts w:ascii="Times New Roman" w:cs="Times New Roman" w:eastAsia="Times New Roman" w:hAnsi="Times New Roman"/>
          <w:sz w:val="20"/>
          <w:szCs w:val="20"/>
          <w:b w:val="1"/>
          <w:bCs w:val="1"/>
          <w:color w:val="auto"/>
        </w:rPr>
        <w:t>$189,000</w:t>
      </w:r>
      <w:r>
        <w:rPr>
          <w:rFonts w:ascii="Times New Roman" w:cs="Times New Roman" w:eastAsia="Times New Roman" w:hAnsi="Times New Roman"/>
          <w:sz w:val="20"/>
          <w:szCs w:val="20"/>
          <w:color w:val="auto"/>
        </w:rPr>
        <w:t xml:space="preserve"> payable not earlier than January 1, 2026 and not later than January 15, 2026, in each case less all applicable taxes and other withholdings.</w:t>
      </w:r>
    </w:p>
    <w:p>
      <w:pPr>
        <w:spacing w:after="0" w:line="175" w:lineRule="exact"/>
        <w:rPr>
          <w:rFonts w:ascii="Times New Roman" w:cs="Times New Roman" w:eastAsia="Times New Roman" w:hAnsi="Times New Roman"/>
          <w:sz w:val="20"/>
          <w:szCs w:val="20"/>
          <w:color w:val="auto"/>
        </w:rPr>
      </w:pPr>
    </w:p>
    <w:p>
      <w:pPr>
        <w:jc w:val="both"/>
        <w:ind w:left="1060" w:firstLine="649"/>
        <w:spacing w:after="0" w:line="254" w:lineRule="auto"/>
        <w:tabs>
          <w:tab w:leader="none" w:pos="221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Twelve Months of Health Benefits Continuation (subject to timely COBRA election). </w:t>
      </w:r>
      <w:r>
        <w:rPr>
          <w:rFonts w:ascii="Times New Roman" w:cs="Times New Roman" w:eastAsia="Times New Roman" w:hAnsi="Times New Roman"/>
          <w:sz w:val="20"/>
          <w:szCs w:val="20"/>
          <w:color w:val="auto"/>
        </w:rPr>
        <w:t>The Employee’s medical,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dental and vision benefits in effect on the Separation Date will remain active up to and including the last calendar day of the month in which the Separation Date occurs (the “</w:t>
      </w:r>
      <w:r>
        <w:rPr>
          <w:rFonts w:ascii="Times New Roman" w:cs="Times New Roman" w:eastAsia="Times New Roman" w:hAnsi="Times New Roman"/>
          <w:sz w:val="20"/>
          <w:szCs w:val="20"/>
          <w:b w:val="1"/>
          <w:bCs w:val="1"/>
          <w:color w:val="auto"/>
        </w:rPr>
        <w:t>Coverage End Date</w:t>
      </w:r>
      <w:r>
        <w:rPr>
          <w:rFonts w:ascii="Times New Roman" w:cs="Times New Roman" w:eastAsia="Times New Roman" w:hAnsi="Times New Roman"/>
          <w:sz w:val="20"/>
          <w:szCs w:val="20"/>
          <w:color w:val="auto"/>
        </w:rPr>
        <w:t>”). The Employer shall provide (or cause to be provided) an election notice and other necessary paperwork for the Employee and the Employee’s eligible dependents to elect continued health care coverage as required by the Consolidated Omnibus Budget Reconciliation Act (COBRA) (the “</w:t>
      </w:r>
      <w:r>
        <w:rPr>
          <w:rFonts w:ascii="Times New Roman" w:cs="Times New Roman" w:eastAsia="Times New Roman" w:hAnsi="Times New Roman"/>
          <w:sz w:val="20"/>
          <w:szCs w:val="20"/>
          <w:b w:val="1"/>
          <w:bCs w:val="1"/>
          <w:color w:val="auto"/>
        </w:rPr>
        <w:t>COBRA Election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10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To receive continued coverage under this Agreement or otherwise, the Employee </w:t>
      </w:r>
      <w:r>
        <w:rPr>
          <w:rFonts w:ascii="Times New Roman" w:cs="Times New Roman" w:eastAsia="Times New Roman" w:hAnsi="Times New Roman"/>
          <w:sz w:val="20"/>
          <w:szCs w:val="20"/>
          <w:b w:val="1"/>
          <w:bCs w:val="1"/>
          <w:u w:val="single" w:color="auto"/>
          <w:color w:val="auto"/>
        </w:rPr>
        <w:t>must</w:t>
      </w:r>
      <w:r>
        <w:rPr>
          <w:rFonts w:ascii="Times New Roman" w:cs="Times New Roman" w:eastAsia="Times New Roman" w:hAnsi="Times New Roman"/>
          <w:sz w:val="20"/>
          <w:szCs w:val="20"/>
          <w:b w:val="1"/>
          <w:bCs w:val="1"/>
          <w:color w:val="auto"/>
        </w:rPr>
        <w:t xml:space="preserve"> elect to receive COBRA coverage before the deadline stated in the COBRA Election Notice.</w:t>
      </w:r>
    </w:p>
    <w:p>
      <w:pPr>
        <w:spacing w:after="0" w:line="169" w:lineRule="exact"/>
        <w:rPr>
          <w:sz w:val="20"/>
          <w:szCs w:val="20"/>
          <w:color w:val="auto"/>
        </w:rPr>
      </w:pPr>
    </w:p>
    <w:p>
      <w:pPr>
        <w:jc w:val="both"/>
        <w:ind w:left="1060"/>
        <w:spacing w:after="0" w:line="251" w:lineRule="auto"/>
        <w:rPr>
          <w:sz w:val="20"/>
          <w:szCs w:val="20"/>
          <w:color w:val="auto"/>
        </w:rPr>
      </w:pPr>
      <w:r>
        <w:rPr>
          <w:rFonts w:ascii="Times New Roman" w:cs="Times New Roman" w:eastAsia="Times New Roman" w:hAnsi="Times New Roman"/>
          <w:sz w:val="20"/>
          <w:szCs w:val="20"/>
          <w:color w:val="auto"/>
        </w:rPr>
        <w:t>Subject to the Employee timely electing COBRA coverage in accordance with the COBRA Election Notice, (i) COBRA coverage will apply for the Employee and/or the Employee’s eligible dependents (based on their elections) retroactively beginning on and including the calendar day immediately following the Coverage End Date; (ii) the Employer shall continue to pay the employer portion of premiums for the shorter of (A) the twelve-month period after the Coverage End Date or (B) the period before the Employee becomes eligible for health insurance benefits under a subsequent employer’s health plan; and</w:t>
      </w:r>
    </w:p>
    <w:p>
      <w:pPr>
        <w:spacing w:after="0" w:line="1" w:lineRule="exact"/>
        <w:rPr>
          <w:sz w:val="20"/>
          <w:szCs w:val="20"/>
          <w:color w:val="auto"/>
        </w:rPr>
      </w:pPr>
    </w:p>
    <w:p>
      <w:pPr>
        <w:jc w:val="both"/>
        <w:ind w:left="1060" w:firstLine="1"/>
        <w:spacing w:after="0" w:line="249" w:lineRule="auto"/>
        <w:tabs>
          <w:tab w:leader="none" w:pos="140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shall be responsible for the employee portion of such premiums during the same period. After this period, the Employee and the Employee’s eligible dependents will be eligible to continue COBRA coverage and, if the Employee or any of the Employee’s eligible dependents elect to continue coverage, the Employee will be responsible for the entire premium for the remainder of the applicable continuation period. If necessary to initiate COBRA coverage under applicable enrollment systems, the Employee agrees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6" w:lineRule="exact"/>
        <w:rPr>
          <w:rFonts w:ascii="Times New Roman" w:cs="Times New Roman" w:eastAsia="Times New Roman" w:hAnsi="Times New Roman"/>
          <w:sz w:val="20"/>
          <w:szCs w:val="20"/>
          <w:color w:val="auto"/>
        </w:rPr>
      </w:pPr>
    </w:p>
    <w:p>
      <w:pPr>
        <w:ind w:left="5580" w:hanging="136"/>
        <w:spacing w:after="0"/>
        <w:tabs>
          <w:tab w:leader="none" w:pos="55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46" w:name="page47"/>
    <w:bookmarkEnd w:id="46"/>
    <w:p>
      <w:pPr>
        <w:jc w:val="both"/>
        <w:ind w:left="1060"/>
        <w:spacing w:after="0" w:line="253" w:lineRule="auto"/>
        <w:rPr>
          <w:sz w:val="20"/>
          <w:szCs w:val="20"/>
          <w:color w:val="auto"/>
        </w:rPr>
      </w:pPr>
      <w:r>
        <w:rPr>
          <w:rFonts w:ascii="Times New Roman" w:cs="Times New Roman" w:eastAsia="Times New Roman" w:hAnsi="Times New Roman"/>
          <w:sz w:val="20"/>
          <w:szCs w:val="20"/>
          <w:color w:val="auto"/>
        </w:rPr>
        <w:t xml:space="preserve">make an initial COBRA payment for the full amount of the monthly premium (including the employer and employee portions),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upon written request and receipt of supporting documentation from the Employee, the Employer shall promptly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reimburse the Employee for the employer portion of any such payment. The Employee acknowledges and agrees that, during the period between the Coverage End Date and the date COBRA coverage is confirmed by the plan administrator following the Employee’s timely election, as described above, the Employee may need to pay out-of-pocket in order to receive covered services, and then seek reimbursement of such payments from the applicable plan after COBRA coverage has been confirmed by the plan administrator.</w:t>
      </w:r>
    </w:p>
    <w:p>
      <w:pPr>
        <w:spacing w:after="0" w:line="179" w:lineRule="exact"/>
        <w:rPr>
          <w:sz w:val="20"/>
          <w:szCs w:val="20"/>
          <w:color w:val="auto"/>
        </w:rPr>
      </w:pPr>
    </w:p>
    <w:p>
      <w:pPr>
        <w:jc w:val="both"/>
        <w:ind w:left="1060" w:firstLine="729"/>
        <w:spacing w:after="0" w:line="253" w:lineRule="auto"/>
        <w:rPr>
          <w:sz w:val="20"/>
          <w:szCs w:val="20"/>
          <w:color w:val="auto"/>
        </w:rPr>
      </w:pPr>
      <w:r>
        <w:rPr>
          <w:rFonts w:ascii="Times New Roman" w:cs="Times New Roman" w:eastAsia="Times New Roman" w:hAnsi="Times New Roman"/>
          <w:sz w:val="20"/>
          <w:szCs w:val="20"/>
          <w:color w:val="auto"/>
        </w:rPr>
        <w:t>For the avoidance of doubt, only the Employer’s payment of employer premiums as set forth above will constitute Separation Benefits which are conditioned upon the Employee signing and returning this Agreement in accordance with Section 2(c). Health care benefits will continue until the Coverage End Date whether or not the Employee signs and returns this Agreement. If the Employee does not sign and return this Agreement, but nevertheless wishes to continue COBRA coverage after the Coverage End Date at the Employee’s sole expense, the Employee must timely elect COBRA coverage in accordance with the COBRA Election Notice. In such case the Employee will be responsible for the entire monthly premium, including the employer and employee portions, for the entire applicable continuation period.</w:t>
      </w:r>
    </w:p>
    <w:p>
      <w:pPr>
        <w:spacing w:after="0" w:line="189" w:lineRule="exact"/>
        <w:rPr>
          <w:sz w:val="20"/>
          <w:szCs w:val="20"/>
          <w:color w:val="auto"/>
        </w:rPr>
      </w:pPr>
    </w:p>
    <w:p>
      <w:pPr>
        <w:jc w:val="both"/>
        <w:ind w:left="1060" w:firstLine="649"/>
        <w:spacing w:after="0" w:line="254" w:lineRule="auto"/>
        <w:tabs>
          <w:tab w:leader="none" w:pos="219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Prorated Annual Bonus. </w:t>
      </w:r>
      <w:r>
        <w:rPr>
          <w:rFonts w:ascii="Times New Roman" w:cs="Times New Roman" w:eastAsia="Times New Roman" w:hAnsi="Times New Roman"/>
          <w:sz w:val="20"/>
          <w:szCs w:val="20"/>
          <w:color w:val="auto"/>
        </w:rPr>
        <w:t>A prorated annual bonus equal to (i) the annual bonus for which the Employee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been eligible for 2025 multiplied by (ii) 33%, reflecting the number of days of 2025 prior to and including the Separation Date (a “</w:t>
      </w:r>
      <w:r>
        <w:rPr>
          <w:rFonts w:ascii="Times New Roman" w:cs="Times New Roman" w:eastAsia="Times New Roman" w:hAnsi="Times New Roman"/>
          <w:sz w:val="20"/>
          <w:szCs w:val="20"/>
          <w:b w:val="1"/>
          <w:bCs w:val="1"/>
          <w:color w:val="auto"/>
        </w:rPr>
        <w:t>Pro-Rata Bonus</w:t>
      </w:r>
      <w:r>
        <w:rPr>
          <w:rFonts w:ascii="Times New Roman" w:cs="Times New Roman" w:eastAsia="Times New Roman" w:hAnsi="Times New Roman"/>
          <w:sz w:val="20"/>
          <w:szCs w:val="20"/>
          <w:color w:val="auto"/>
        </w:rPr>
        <w:t xml:space="preserve">”). The Pro-Rata Bonus will be determined based on actual performance,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for purposes of such determination the management-by-objective (MBO) portion of the Employee’s performance goals will be scored at 100%. The Company shall pay the Pro-Rata Bonus (if any) at the same time as the annual bonus is paid to other executive participants in the plan, and in any case no later than March 15, 2026.</w:t>
      </w:r>
    </w:p>
    <w:p>
      <w:pPr>
        <w:spacing w:after="0" w:line="173" w:lineRule="exact"/>
        <w:rPr>
          <w:rFonts w:ascii="Times New Roman" w:cs="Times New Roman" w:eastAsia="Times New Roman" w:hAnsi="Times New Roman"/>
          <w:sz w:val="20"/>
          <w:szCs w:val="20"/>
          <w:color w:val="auto"/>
        </w:rPr>
      </w:pPr>
    </w:p>
    <w:p>
      <w:pPr>
        <w:jc w:val="both"/>
        <w:ind w:left="1060" w:firstLine="649"/>
        <w:spacing w:after="0" w:line="251" w:lineRule="auto"/>
        <w:tabs>
          <w:tab w:leader="none" w:pos="213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Retention of Earnout Rights</w:t>
      </w:r>
      <w:r>
        <w:rPr>
          <w:rFonts w:ascii="Times New Roman" w:cs="Times New Roman" w:eastAsia="Times New Roman" w:hAnsi="Times New Roman"/>
          <w:sz w:val="20"/>
          <w:szCs w:val="20"/>
          <w:color w:val="auto"/>
        </w:rPr>
        <w:t>. Notwithstanding Section 4.03(d) or any other provision of the Business Combination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dated as of May 6, 2021, among Navitas Semiconductor Limited, Live Oak Acquisition Corp. II and the other parties thereto (the “</w:t>
      </w:r>
      <w:r>
        <w:rPr>
          <w:rFonts w:ascii="Times New Roman" w:cs="Times New Roman" w:eastAsia="Times New Roman" w:hAnsi="Times New Roman"/>
          <w:sz w:val="20"/>
          <w:szCs w:val="20"/>
          <w:b w:val="1"/>
          <w:bCs w:val="1"/>
          <w:color w:val="auto"/>
        </w:rPr>
        <w:t>BCA</w:t>
      </w:r>
      <w:r>
        <w:rPr>
          <w:rFonts w:ascii="Times New Roman" w:cs="Times New Roman" w:eastAsia="Times New Roman" w:hAnsi="Times New Roman"/>
          <w:sz w:val="20"/>
          <w:szCs w:val="20"/>
          <w:color w:val="auto"/>
        </w:rPr>
        <w:t>”) (capitalized terms used in this paragraph and not otherwise defined elsewhere in this Agreement have the meanings given in the BCA), the Employee shall be entitled to receive up to 511,347 Earnout Shares, in accordance with and subject to the terms of the BCA but without regard to Section 4.03(d) thereof, i.e., the maximum number of Earnout Shares to which the Employee is entitled under the BCA, as such amount may be adjusted thereunder and without regard to Section 4.03(d) except to the extent Section 4.03(d) provides rights to receive a greater (but not lesser) number of Earnout Shares on account of Forfeited Employee Earnout Shares held by Eligible Company Employees other than the Employee. Each of Navitas Semiconductor Corporation and Navitas Semiconductor Limited agrees to amend the BCA and the BCA is hereby amended as necessary to give effect to this paragraph.</w:t>
      </w:r>
    </w:p>
    <w:p>
      <w:pPr>
        <w:spacing w:after="0" w:line="186" w:lineRule="exact"/>
        <w:rPr>
          <w:rFonts w:ascii="Times New Roman" w:cs="Times New Roman" w:eastAsia="Times New Roman" w:hAnsi="Times New Roman"/>
          <w:sz w:val="20"/>
          <w:szCs w:val="20"/>
          <w:color w:val="auto"/>
        </w:rPr>
      </w:pPr>
    </w:p>
    <w:p>
      <w:pPr>
        <w:jc w:val="both"/>
        <w:ind w:left="1060" w:firstLine="649"/>
        <w:spacing w:after="0" w:line="263" w:lineRule="auto"/>
        <w:tabs>
          <w:tab w:leader="none" w:pos="227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References. </w:t>
      </w:r>
      <w:r>
        <w:rPr>
          <w:rFonts w:ascii="Times New Roman" w:cs="Times New Roman" w:eastAsia="Times New Roman" w:hAnsi="Times New Roman"/>
          <w:sz w:val="20"/>
          <w:szCs w:val="20"/>
          <w:color w:val="auto"/>
        </w:rPr>
        <w:t>The Employee agrees to direct all requests for references to the Employer’s Human Resources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Department. In response to a request for a reference, the Employer Group shall provide only the Employee’s dates of employment and job title.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90" w:lineRule="exact"/>
        <w:rPr>
          <w:rFonts w:ascii="Times New Roman" w:cs="Times New Roman" w:eastAsia="Times New Roman" w:hAnsi="Times New Roman"/>
          <w:sz w:val="20"/>
          <w:szCs w:val="20"/>
          <w:color w:val="auto"/>
        </w:rPr>
      </w:pPr>
    </w:p>
    <w:p>
      <w:pPr>
        <w:ind w:left="5580" w:hanging="136"/>
        <w:spacing w:after="0"/>
        <w:tabs>
          <w:tab w:leader="none" w:pos="5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47" w:name="page48"/>
    <w:bookmarkEnd w:id="47"/>
    <w:p>
      <w:pPr>
        <w:jc w:val="both"/>
        <w:ind w:left="1060" w:firstLine="649"/>
        <w:spacing w:after="0" w:line="254" w:lineRule="auto"/>
        <w:tabs>
          <w:tab w:leader="none" w:pos="218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Acknowledgement. </w:t>
      </w:r>
      <w:r>
        <w:rPr>
          <w:rFonts w:ascii="Times New Roman" w:cs="Times New Roman" w:eastAsia="Times New Roman" w:hAnsi="Times New Roman"/>
          <w:sz w:val="20"/>
          <w:szCs w:val="20"/>
          <w:color w:val="auto"/>
        </w:rPr>
        <w:t>The Employee understands, acknowledges and agrees that these benefits include at least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those benefits which Employee is otherwise entitled to receive on separation from employment, and that these benefits are being given as consideration in exchange for executing this Agreement, including the waivers, releases and restrictive covenants contained in it. The Employee further acknowledges that the Employee is not entitled to any additional payment or consideration not specifically referenced in this Agreement. Nothing in this Agreement shall be deemed or construed as an express or implied policy or practice of the Employer Group to provide these or other benefits to any individuals other than the Employee.</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120" w:hanging="411"/>
        <w:spacing w:after="0"/>
        <w:tabs>
          <w:tab w:leader="none" w:pos="212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and Waiver of Claims</w:t>
      </w:r>
    </w:p>
    <w:p>
      <w:pPr>
        <w:spacing w:after="0" w:line="22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20"/>
          <w:szCs w:val="20"/>
          <w:color w:val="auto"/>
        </w:rPr>
        <w:t>In exchange for the consideration provided in this Agreement, the Employee and the Employee’s heirs, executors, representatives, administrators, agents, insurers, and assigns (collectively, the “</w:t>
      </w:r>
      <w:r>
        <w:rPr>
          <w:rFonts w:ascii="Times New Roman" w:cs="Times New Roman" w:eastAsia="Times New Roman" w:hAnsi="Times New Roman"/>
          <w:sz w:val="20"/>
          <w:szCs w:val="20"/>
          <w:b w:val="1"/>
          <w:bCs w:val="1"/>
          <w:color w:val="auto"/>
        </w:rPr>
        <w:t>Releasors</w:t>
      </w:r>
      <w:r>
        <w:rPr>
          <w:rFonts w:ascii="Times New Roman" w:cs="Times New Roman" w:eastAsia="Times New Roman" w:hAnsi="Times New Roman"/>
          <w:sz w:val="20"/>
          <w:szCs w:val="20"/>
          <w:color w:val="auto"/>
        </w:rPr>
        <w:t>”) hereby irrevocably and unconditionally fully and forever waive, release, and discharge the Employer Group, including each member of the Employer Group’s parents, subsidiaries, affiliates, predecessors, successors, and assigns, and each of its and their respective officers, directors and employees, in their corporate and individual capacities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demands, actions, causes of actions, judgments, rights, fees, damages, debts, obligations, liabilities, and expenses (inclusive of attorneys’ fees) of any kind whatsoever, whether known or unknown (collectively,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that the Releasors may have or have ever had against the Released Parties, or any of them, arising out of, or in any way related to the Employee’s hire, benefits, employment, termination or separation from employment with the Employer Group by reason of any actual or alleged act, omission, transaction, practice, conduct, occurrence or other matter from the beginning of time up to and including the date the Employee signs and returns this Agreement to the Employer in accordance with Section 2(c), including but not limited to:</w:t>
      </w:r>
    </w:p>
    <w:p>
      <w:pPr>
        <w:spacing w:after="0" w:line="186" w:lineRule="exact"/>
        <w:rPr>
          <w:sz w:val="20"/>
          <w:szCs w:val="20"/>
          <w:color w:val="auto"/>
        </w:rPr>
      </w:pPr>
    </w:p>
    <w:p>
      <w:pPr>
        <w:jc w:val="both"/>
        <w:ind w:left="1300" w:firstLine="652"/>
        <w:spacing w:after="0" w:line="265" w:lineRule="auto"/>
        <w:tabs>
          <w:tab w:leader="none" w:pos="2375"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Uniform Services Employment and Reemployment Rights Act (USERRA), the Genetic Information Nondiscrimination Act (GINA), the Immigration Reform and Control Act (IRCA), the California Constitution, the California Fair Employment and Housing Act (FEHA), the California Labor Code, the California Family Rights Act (CFRA), and the California Consumer Privacy Act (CCPA), all including any amendments and their respective implementing regulations, and any other federal, state, local or foreign law (statutory, regulatory or otherwise) that may be legally waived and released; however, the identification of the specific statutes listed is for purposes of example only, and the omission of any specific statute or law shall not limit the scope of this general release in any manner;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92" w:lineRule="exact"/>
        <w:rPr>
          <w:rFonts w:ascii="Times New Roman" w:cs="Times New Roman" w:eastAsia="Times New Roman" w:hAnsi="Times New Roman"/>
          <w:sz w:val="19"/>
          <w:szCs w:val="19"/>
          <w:color w:val="auto"/>
        </w:rPr>
      </w:pPr>
    </w:p>
    <w:p>
      <w:pPr>
        <w:ind w:left="5580" w:hanging="136"/>
        <w:spacing w:after="0"/>
        <w:tabs>
          <w:tab w:leader="none" w:pos="558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5" w:right="339" w:bottom="1440" w:gutter="0" w:footer="0" w:header="0"/>
        </w:sectPr>
      </w:pPr>
    </w:p>
    <w:bookmarkStart w:id="48" w:name="page49"/>
    <w:bookmarkEnd w:id="48"/>
    <w:p>
      <w:pPr>
        <w:jc w:val="both"/>
        <w:ind w:left="1300" w:firstLine="652"/>
        <w:spacing w:after="0" w:line="257" w:lineRule="auto"/>
        <w:tabs>
          <w:tab w:leader="none" w:pos="245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under tort, contract and quasi-contract law, including but not limited to claims of breach of an express or implied contract, wrongful or retaliatory discharge, fraud, negligent or intentional misrepresentation, defamation, negligent or intentional infliction of emotional distress, tortious interference with contract or prospective business advantage, breach of the implied covenant of good faith and fair dealing, promissory estoppel, detrimental reliance, invasion of privacy, nonphysical injury, personal injury or sickness, or any other harm;</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9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compensation of any type whatsoever, including but not limited to Claims for wages, salary, bonuses, commissions, incentive compensation, vacation, sick pay, and severance that may be legally waived and released;</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3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monetary or equitable relief, including but not limited to attorneys’ fees, back pay, front pay, reinstatement, experts’ fees, medical fees or expenses, costs and disbursements, punitive damages, liquidated damages, and penalties; and</w:t>
      </w:r>
    </w:p>
    <w:p>
      <w:pPr>
        <w:spacing w:after="0" w:line="181"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indemnification rights the Employee has against the Employer Group.</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However, this general release and waiver of claims excludes, and the Employee does not waive, release or discharge:</w:t>
      </w:r>
    </w:p>
    <w:p>
      <w:pPr>
        <w:spacing w:after="0" w:line="40" w:lineRule="exact"/>
        <w:rPr>
          <w:sz w:val="20"/>
          <w:szCs w:val="20"/>
          <w:color w:val="auto"/>
        </w:rPr>
      </w:pPr>
    </w:p>
    <w:p>
      <w:pPr>
        <w:jc w:val="both"/>
        <w:ind w:left="660" w:hanging="4"/>
        <w:spacing w:after="0" w:line="253" w:lineRule="auto"/>
        <w:tabs>
          <w:tab w:leader="none" w:pos="99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that cannot be waived by law, such as Claims for unemployment benefit rights and workers’ compensation; and (B) any right to file an unfair labor practice (ULP) charge under the National Labor Relations Act or participate or assist in proceedings before the National Labor Relations Board (NLRB).</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This general release and waiver of claims also excludes, and the Employee does not waive, release or discharge:</w:t>
      </w:r>
    </w:p>
    <w:p>
      <w:pPr>
        <w:spacing w:after="0" w:line="22" w:lineRule="exact"/>
        <w:rPr>
          <w:sz w:val="20"/>
          <w:szCs w:val="20"/>
          <w:color w:val="auto"/>
        </w:rPr>
      </w:pPr>
    </w:p>
    <w:p>
      <w:pPr>
        <w:jc w:val="both"/>
        <w:ind w:left="660" w:hanging="4"/>
        <w:spacing w:after="0" w:line="249" w:lineRule="auto"/>
        <w:tabs>
          <w:tab w:leader="none" w:pos="115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file an administrative charge or complaint with, or testify, assist or participate in an investigation, hearing or proceeding conducted by or before, or provide information to, any Government Agencies (defined in Section 4(a)) about a condition or violation of law; and (BB) the right to seek or receive a monetary award from a government-administered whistleblower award program, except that the Employee waives any right to monetary relief related to an administrative charge or complaint with the Equal Employment Opportunity Commission (EEOC), the California Civil Rights Department (CRD) or any state or local fair employment practices agency.</w:t>
      </w:r>
    </w:p>
    <w:p>
      <w:pPr>
        <w:spacing w:after="0" w:line="193"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20"/>
          <w:szCs w:val="20"/>
          <w:color w:val="auto"/>
        </w:rPr>
        <w:t>If the Employee applies for unemployment benefits, the Employer Group shall not actively contest it. However, the Employer Group will respond truthfully, completely, and timely to any inquiries by the Employment Development Department concerning the termination of the Employee’s employment.</w:t>
      </w:r>
    </w:p>
    <w:p>
      <w:pPr>
        <w:spacing w:after="0" w:line="181" w:lineRule="exact"/>
        <w:rPr>
          <w:sz w:val="20"/>
          <w:szCs w:val="20"/>
          <w:color w:val="auto"/>
        </w:rPr>
      </w:pPr>
    </w:p>
    <w:p>
      <w:pPr>
        <w:ind w:left="2140" w:hanging="431"/>
        <w:spacing w:after="0"/>
        <w:tabs>
          <w:tab w:leader="none" w:pos="21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California Civil Code Section 1542</w:t>
      </w:r>
    </w:p>
    <w:p>
      <w:pPr>
        <w:spacing w:after="0" w:line="216"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20"/>
          <w:szCs w:val="20"/>
          <w:color w:val="auto"/>
        </w:rPr>
        <w:t>This Agreement is intended to be effective as a general release of and bar to all claims as stated in this Section 6. Accordingly, the Releasors specifically waive all rights under California Civil Code Section 1542, which states,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49" w:name="page50"/>
    <w:bookmarkEnd w:id="49"/>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The Employee acknowledges that the Employee may later discover claims or facts in addition to or different from those which the Employee now knows or believes to exist regarding the subject matter of this Agreement, and which, if known or suspected at the time of executing this Agreement, may have materially affected its terms. Nevertheless, the Releasors waive any and all Claims that might arise as a result of such different or additional claims or facts.</w:t>
      </w:r>
    </w:p>
    <w:p>
      <w:pPr>
        <w:spacing w:after="0" w:line="186" w:lineRule="exact"/>
        <w:rPr>
          <w:sz w:val="20"/>
          <w:szCs w:val="20"/>
          <w:color w:val="auto"/>
        </w:rPr>
      </w:pPr>
    </w:p>
    <w:p>
      <w:pPr>
        <w:ind w:left="2120" w:hanging="411"/>
        <w:spacing w:after="0"/>
        <w:tabs>
          <w:tab w:leader="none" w:pos="21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Age Discrimination in Employment Act (ADEA) Claims</w:t>
      </w:r>
    </w:p>
    <w:p>
      <w:pPr>
        <w:spacing w:after="0" w:line="216"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20"/>
          <w:szCs w:val="20"/>
          <w:color w:val="auto"/>
        </w:rPr>
        <w:t>In further consideration of the payments and benefits provided to the Employee in this Agreement, the Releasors hereby irrevocably and unconditionally fully and forever waive, release, and discharge the Released Parties from any and all Claims, whether known or unknown, from the beginning of time through the date the Employee signs this Agreement, arising under the Age Discrimination in Employment Act (ADEA), Title 29, Chapter 14, U.S. Code, as amended, and its implementing regulations. By signing this Agreement, the Employee hereby acknowledges and confirms that:</w:t>
      </w:r>
    </w:p>
    <w:p>
      <w:pPr>
        <w:spacing w:after="0" w:line="173" w:lineRule="exact"/>
        <w:rPr>
          <w:sz w:val="20"/>
          <w:szCs w:val="20"/>
          <w:color w:val="auto"/>
        </w:rPr>
      </w:pPr>
    </w:p>
    <w:p>
      <w:pPr>
        <w:ind w:left="2340" w:hanging="388"/>
        <w:spacing w:after="0"/>
        <w:tabs>
          <w:tab w:leader="none" w:pos="23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has read this Section 6(c) in its entirety and understands all of its terms;</w:t>
      </w:r>
    </w:p>
    <w:p>
      <w:pPr>
        <w:spacing w:after="0" w:line="229" w:lineRule="exact"/>
        <w:rPr>
          <w:rFonts w:ascii="Times New Roman" w:cs="Times New Roman" w:eastAsia="Times New Roman" w:hAnsi="Times New Roman"/>
          <w:sz w:val="20"/>
          <w:szCs w:val="20"/>
          <w:color w:val="auto"/>
        </w:rPr>
      </w:pPr>
    </w:p>
    <w:p>
      <w:pPr>
        <w:ind w:left="1300" w:firstLine="652"/>
        <w:spacing w:after="0" w:line="269" w:lineRule="auto"/>
        <w:tabs>
          <w:tab w:leader="none" w:pos="244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this Agreement, the Employee has been advised in writing to consult with an attorney of the Employee’s choosing before signing this Agreement;</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knowingly, freely, and voluntarily agrees to all of the terms and conditions set out in this Agreement including, without limitation, the specific waiver and release of ADEA Claims set forth in this Section 6(c) in addition to the general waiver and release set forth in Section 6(a);</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6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signing this Agreement, including the specific waiver and release of ADEA Claims set forth in this Section 6(c) in addition to the general waiver and release set forth in Section 6(a), in exchange for good and valuable consideration in addition to anything of value to which the Employee is otherwise entitled;</w:t>
      </w:r>
    </w:p>
    <w:p>
      <w:pPr>
        <w:spacing w:after="0" w:line="177"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49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Employee has seven days after signing and returning this Agreement to revoke the waiver and release given in this Section 6(c) by following the instructions in the next sentence, but such revocation will be effective only as to Claims under the Age Discrimination in Employment Act (ADEA). </w:t>
      </w:r>
      <w:r>
        <w:rPr>
          <w:rFonts w:ascii="Times New Roman" w:cs="Times New Roman" w:eastAsia="Times New Roman" w:hAnsi="Times New Roman"/>
          <w:sz w:val="20"/>
          <w:szCs w:val="20"/>
          <w:color w:val="auto"/>
        </w:rPr>
        <w:t>For such revocation of ADEA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Claims to be effective, the Employee must deliver a written notice of revocation, before the end of the seven-day period, to the Employer by email to legalnotices@navitassemi.com or by overnight delivery to Navitas Semiconductor, 3520 Challenger Street, Torrance, CA 90503-1640, Attention: General Counsel. If the Employee timely revokes the waiver and release of ADEA Claims as provided above, then (A) the Employee will receive only those Separation Benefits provided under Sections 5(b) and 5(d), which are provided in consideration for the waiver and release of non-ADEA Claims; (B) the remaining Separation Benefits, which are provided to the Employee in consideration for the waiver and release of ADEA Claims, shall not be provided to the Employee; and (C) all other provisions of this Agreement, including but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5580" w:hanging="136"/>
        <w:spacing w:after="0"/>
        <w:tabs>
          <w:tab w:leader="none" w:pos="55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50" w:name="page51"/>
    <w:bookmarkEnd w:id="50"/>
    <w:p>
      <w:pPr>
        <w:ind w:left="1300"/>
        <w:spacing w:after="0" w:line="283" w:lineRule="auto"/>
        <w:rPr>
          <w:sz w:val="20"/>
          <w:szCs w:val="20"/>
          <w:color w:val="auto"/>
        </w:rPr>
      </w:pPr>
      <w:r>
        <w:rPr>
          <w:rFonts w:ascii="Times New Roman" w:cs="Times New Roman" w:eastAsia="Times New Roman" w:hAnsi="Times New Roman"/>
          <w:sz w:val="20"/>
          <w:szCs w:val="20"/>
          <w:color w:val="auto"/>
        </w:rPr>
        <w:t>not limited to the general waiver and release in Section 6(a) (except insofar as it may relate to ADEA Claims), shall remain in full force and effect; and</w:t>
      </w:r>
    </w:p>
    <w:p>
      <w:pPr>
        <w:spacing w:after="0" w:line="146" w:lineRule="exact"/>
        <w:rPr>
          <w:sz w:val="20"/>
          <w:szCs w:val="20"/>
          <w:color w:val="auto"/>
        </w:rPr>
      </w:pPr>
    </w:p>
    <w:p>
      <w:pPr>
        <w:jc w:val="both"/>
        <w:ind w:left="1300" w:firstLine="652"/>
        <w:spacing w:after="0" w:line="268" w:lineRule="auto"/>
        <w:tabs>
          <w:tab w:leader="none" w:pos="251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understands that the releases contained in this Agreement, including the specific waiver and release of ADEA Claims set forth in this Section 6(c) in addition to the general waiver and release set forth in Section 6(a), do not apply to rights and Claims that may arise after the Employee signs this Agreement.</w:t>
      </w:r>
    </w:p>
    <w:p>
      <w:pPr>
        <w:spacing w:after="0" w:line="16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The foregoing notwithstanding, the waiver and release of ADEA Claims provided in this Section 6(c) include the waiver and release of any rights of the Employee to receive monetary or other benefits from any proceeding before the Equal Employment Opportunity Commission (EEOC), but do not prohibit or restrict the Employee (or the Employee’s attorney) from filing a charge with or participating in a proceeding before the EEOC.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 Acknowledgment</w:t>
      </w:r>
      <w:r>
        <w:rPr>
          <w:rFonts w:ascii="Times New Roman" w:cs="Times New Roman" w:eastAsia="Times New Roman" w:hAnsi="Times New Roman"/>
          <w:sz w:val="20"/>
          <w:szCs w:val="20"/>
          <w:color w:val="auto"/>
        </w:rPr>
        <w:t>. The Employee specifically agrees and acknowledges that:</w:t>
      </w:r>
    </w:p>
    <w:p>
      <w:pPr>
        <w:spacing w:after="0" w:line="215" w:lineRule="exact"/>
        <w:rPr>
          <w:rFonts w:ascii="Times New Roman" w:cs="Times New Roman" w:eastAsia="Times New Roman" w:hAnsi="Times New Roman"/>
          <w:sz w:val="20"/>
          <w:szCs w:val="20"/>
          <w:color w:val="auto"/>
        </w:rPr>
      </w:pPr>
    </w:p>
    <w:p>
      <w:pPr>
        <w:ind w:left="2120" w:hanging="411"/>
        <w:spacing w:after="0"/>
        <w:tabs>
          <w:tab w:leader="none" w:pos="21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has read this Agreement in its entirety and understands all of its terms;</w:t>
      </w:r>
    </w:p>
    <w:p>
      <w:pPr>
        <w:spacing w:after="0" w:line="229" w:lineRule="exact"/>
        <w:rPr>
          <w:rFonts w:ascii="Times New Roman" w:cs="Times New Roman" w:eastAsia="Times New Roman" w:hAnsi="Times New Roman"/>
          <w:sz w:val="20"/>
          <w:szCs w:val="20"/>
          <w:color w:val="auto"/>
        </w:rPr>
      </w:pPr>
    </w:p>
    <w:p>
      <w:pPr>
        <w:ind w:left="1060" w:firstLine="649"/>
        <w:spacing w:after="0" w:line="269" w:lineRule="auto"/>
        <w:tabs>
          <w:tab w:leader="none" w:pos="218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this Agreement, the Employee has been advised to consult with an attorney of the Employee’s choosing, and has consulted with such attorney as the Employee believed was necessary before signing this Agreement;</w:t>
      </w:r>
    </w:p>
    <w:p>
      <w:pPr>
        <w:spacing w:after="0" w:line="172" w:lineRule="exact"/>
        <w:rPr>
          <w:rFonts w:ascii="Times New Roman" w:cs="Times New Roman" w:eastAsia="Times New Roman" w:hAnsi="Times New Roman"/>
          <w:sz w:val="20"/>
          <w:szCs w:val="20"/>
          <w:color w:val="auto"/>
        </w:rPr>
      </w:pPr>
    </w:p>
    <w:p>
      <w:pPr>
        <w:ind w:left="1060" w:firstLine="649"/>
        <w:spacing w:after="0" w:line="283" w:lineRule="auto"/>
        <w:tabs>
          <w:tab w:leader="none" w:pos="212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has been given at least 45 days to consider signing this Agreement, although the Employee may sign it sooner if desired;</w:t>
      </w:r>
    </w:p>
    <w:p>
      <w:pPr>
        <w:spacing w:after="0" w:line="146" w:lineRule="exact"/>
        <w:rPr>
          <w:rFonts w:ascii="Times New Roman" w:cs="Times New Roman" w:eastAsia="Times New Roman" w:hAnsi="Times New Roman"/>
          <w:sz w:val="20"/>
          <w:szCs w:val="20"/>
          <w:color w:val="auto"/>
        </w:rPr>
      </w:pPr>
    </w:p>
    <w:p>
      <w:pPr>
        <w:ind w:left="1060" w:firstLine="649"/>
        <w:spacing w:after="0" w:line="283" w:lineRule="auto"/>
        <w:tabs>
          <w:tab w:leader="none" w:pos="21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knowingly, freely, and voluntarily assents to all of this Agreement’s terms and conditions including, without limitation, the waivers, releases, and covenants contained in it;</w:t>
      </w:r>
    </w:p>
    <w:p>
      <w:pPr>
        <w:spacing w:after="0" w:line="146" w:lineRule="exact"/>
        <w:rPr>
          <w:rFonts w:ascii="Times New Roman" w:cs="Times New Roman" w:eastAsia="Times New Roman" w:hAnsi="Times New Roman"/>
          <w:sz w:val="20"/>
          <w:szCs w:val="20"/>
          <w:color w:val="auto"/>
        </w:rPr>
      </w:pPr>
    </w:p>
    <w:p>
      <w:pPr>
        <w:ind w:left="1060" w:firstLine="649"/>
        <w:spacing w:after="0" w:line="283" w:lineRule="auto"/>
        <w:tabs>
          <w:tab w:leader="none" w:pos="218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signing this Agreement, including the waivers and releases, in exchange for good and valuable consideration which is in addition to anything of value to which the Employee is otherwise entitled;</w:t>
      </w:r>
    </w:p>
    <w:p>
      <w:pPr>
        <w:spacing w:after="0" w:line="159" w:lineRule="exact"/>
        <w:rPr>
          <w:rFonts w:ascii="Times New Roman" w:cs="Times New Roman" w:eastAsia="Times New Roman" w:hAnsi="Times New Roman"/>
          <w:sz w:val="20"/>
          <w:szCs w:val="20"/>
          <w:color w:val="auto"/>
        </w:rPr>
      </w:pPr>
    </w:p>
    <w:p>
      <w:pPr>
        <w:ind w:left="2120" w:hanging="411"/>
        <w:spacing w:after="0"/>
        <w:tabs>
          <w:tab w:leader="none" w:pos="21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not waiving or releasing rights or claims that may arise after the Employee signs this Agreement;</w:t>
      </w:r>
    </w:p>
    <w:p>
      <w:pPr>
        <w:spacing w:after="0" w:line="21"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07" w:lineRule="exact"/>
        <w:rPr>
          <w:rFonts w:ascii="Times New Roman" w:cs="Times New Roman" w:eastAsia="Times New Roman" w:hAnsi="Times New Roman"/>
          <w:sz w:val="20"/>
          <w:szCs w:val="20"/>
          <w:color w:val="auto"/>
        </w:rPr>
      </w:pPr>
    </w:p>
    <w:p>
      <w:pPr>
        <w:ind w:left="1060" w:firstLine="649"/>
        <w:spacing w:after="0" w:line="269" w:lineRule="auto"/>
        <w:tabs>
          <w:tab w:leader="none" w:pos="215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understands that the waiver and release in this Agreement is being requested in connection with the Employee’s termination of employment from the Employer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51" w:name="page52"/>
    <w:bookmarkEnd w:id="51"/>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Post-Termination Obligations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120" w:hanging="411"/>
        <w:spacing w:after="0"/>
        <w:tabs>
          <w:tab w:leader="none" w:pos="21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p>
    <w:p>
      <w:pPr>
        <w:spacing w:after="0" w:line="22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20"/>
          <w:szCs w:val="20"/>
          <w:color w:val="auto"/>
        </w:rPr>
        <w:t>The Employee understands and acknowledges that by virtue of the Employee’s employment with the Employer Group, the Employee had access to and knowledge of Confidential Information, was in a position of trust and confidence with the Employer Group, and benefitted from the Employer Group’s goodwill. The Employee understands and acknowledges that the Employer Group invested significant time and expense in developing the Confidential Information and goodwill.</w:t>
      </w:r>
    </w:p>
    <w:p>
      <w:pPr>
        <w:spacing w:after="0" w:line="172"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20"/>
          <w:szCs w:val="20"/>
          <w:color w:val="auto"/>
        </w:rPr>
        <w:t>The Employee further understands and acknowledges that the restrictive covenants below are necessary to protect the Employer Group’s legitimate business interests in its Confidential Information (as further described below) and goodwill. The Employee further understands and acknowledges that the Employer Group’s ability to reserve these for the exclusive knowledge and use of the Employer Group is of great competitive importance and commercial value to the Employer Group and that the Employer Group would be irreparably harmed if the Employee violates the restrictive covenants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40" w:hanging="431"/>
        <w:spacing w:after="0"/>
        <w:tabs>
          <w:tab w:leader="none" w:pos="21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p>
    <w:p>
      <w:pPr>
        <w:spacing w:after="0" w:line="229" w:lineRule="exact"/>
        <w:rPr>
          <w:sz w:val="20"/>
          <w:szCs w:val="20"/>
          <w:color w:val="auto"/>
        </w:rPr>
      </w:pPr>
    </w:p>
    <w:p>
      <w:pPr>
        <w:jc w:val="both"/>
        <w:ind w:left="660" w:firstLine="1296"/>
        <w:spacing w:after="0" w:line="251" w:lineRule="auto"/>
        <w:rPr>
          <w:sz w:val="20"/>
          <w:szCs w:val="20"/>
          <w:color w:val="auto"/>
        </w:rPr>
      </w:pPr>
      <w:r>
        <w:rPr>
          <w:rFonts w:ascii="Times New Roman" w:cs="Times New Roman" w:eastAsia="Times New Roman" w:hAnsi="Times New Roman"/>
          <w:sz w:val="20"/>
          <w:szCs w:val="20"/>
          <w:color w:val="auto"/>
        </w:rPr>
        <w:t>During the course of employment with the Employer, the Employee has had access to and learned about confidential, secret, and proprietary documents, materials, and other information, in tangible and intangible form, of and relating to the Employer Group and its businesses and existing and prospective products, technologies, customers, suppliers, investors, and other associated third parties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The Employee further understands and acknowledges that this Confidential Information and the Employer’s ability to reserve it for the exclusive knowledge and use of the Employer Group is of great competitive importance and commercial value to the Employer, and that improper use or disclosure of the Confidential Information by the Employee may cause the Employer to incur financial costs, loss of business advantage, liability under confidentiality agreements with third parties, civil damages, and criminal penalties.</w:t>
      </w:r>
    </w:p>
    <w:p>
      <w:pPr>
        <w:spacing w:after="0" w:line="182" w:lineRule="exact"/>
        <w:rPr>
          <w:sz w:val="20"/>
          <w:szCs w:val="20"/>
          <w:color w:val="auto"/>
        </w:rPr>
      </w:pPr>
    </w:p>
    <w:p>
      <w:pPr>
        <w:jc w:val="both"/>
        <w:ind w:left="660" w:firstLine="1296"/>
        <w:spacing w:after="0" w:line="268" w:lineRule="auto"/>
        <w:rPr>
          <w:sz w:val="20"/>
          <w:szCs w:val="20"/>
          <w:color w:val="auto"/>
        </w:rPr>
      </w:pPr>
      <w:r>
        <w:rPr>
          <w:rFonts w:ascii="Times New Roman" w:cs="Times New Roman" w:eastAsia="Times New Roman" w:hAnsi="Times New Roman"/>
          <w:sz w:val="20"/>
          <w:szCs w:val="20"/>
          <w:color w:val="auto"/>
        </w:rPr>
        <w:t>The Employee understands that Confidential Information also includes other information that is marked or otherwise identified or treated as confidential or proprietary, or that would otherwise appear to a reasonable person to be confidential or proprietary in the context and circumstances in which the information is known or used.</w:t>
      </w:r>
    </w:p>
    <w:p>
      <w:pPr>
        <w:spacing w:after="0" w:line="161"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20"/>
          <w:szCs w:val="20"/>
          <w:color w:val="auto"/>
        </w:rPr>
        <w:t>Confidential Information shall not include information that is generally available to and known by the public at the time of disclosure to the Employee, provided that the disclosure is through no direct or indirect fault of the Employee or person(s) acting on the Employee’s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440" w:right="339" w:bottom="1440" w:gutter="0" w:footer="0" w:header="0"/>
        </w:sectPr>
      </w:pPr>
    </w:p>
    <w:bookmarkStart w:id="52" w:name="page53"/>
    <w:bookmarkEnd w:id="52"/>
    <w:p>
      <w:pPr>
        <w:ind w:left="2120" w:hanging="411"/>
        <w:spacing w:after="0"/>
        <w:tabs>
          <w:tab w:leader="none" w:pos="21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and Use Restrictions</w:t>
      </w:r>
    </w:p>
    <w:p>
      <w:pPr>
        <w:spacing w:after="0" w:line="229"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Covenants</w:t>
      </w:r>
      <w:r>
        <w:rPr>
          <w:rFonts w:ascii="Times New Roman" w:cs="Times New Roman" w:eastAsia="Times New Roman" w:hAnsi="Times New Roman"/>
          <w:sz w:val="20"/>
          <w:szCs w:val="20"/>
          <w:color w:val="auto"/>
        </w:rPr>
        <w:t>. The Employee shall:</w:t>
      </w:r>
    </w:p>
    <w:p>
      <w:pPr>
        <w:spacing w:after="0" w:line="215"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 all Confidential Information as strictly confidential;</w:t>
      </w:r>
    </w:p>
    <w:p>
      <w:pPr>
        <w:spacing w:after="0" w:line="229" w:lineRule="exact"/>
        <w:rPr>
          <w:rFonts w:ascii="Times New Roman" w:cs="Times New Roman" w:eastAsia="Times New Roman" w:hAnsi="Times New Roman"/>
          <w:sz w:val="20"/>
          <w:szCs w:val="20"/>
          <w:color w:val="auto"/>
        </w:rPr>
      </w:pPr>
    </w:p>
    <w:p>
      <w:pPr>
        <w:jc w:val="both"/>
        <w:ind w:left="1960" w:firstLine="640"/>
        <w:spacing w:after="0" w:line="253" w:lineRule="auto"/>
        <w:tabs>
          <w:tab w:leader="none" w:pos="3102"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directly or indirectly disclose, publish, communicate, or make available Confidential Information, or allow it to be disclosed, published, communicated or made available, in whole or part, to any entity or person whatsoever (including other employees of the Employer Group) not having a need to know and authority to know and use the Confidential Information in connection with the business of the Employer Group and, in any event, not to anyone outside of the direct employ of the Employer Group, except as otherwise permitted by this Agreement (see </w:t>
      </w:r>
      <w:r>
        <w:rPr>
          <w:rFonts w:ascii="Times New Roman" w:cs="Times New Roman" w:eastAsia="Times New Roman" w:hAnsi="Times New Roman"/>
          <w:sz w:val="20"/>
          <w:szCs w:val="20"/>
          <w:b w:val="1"/>
          <w:bCs w:val="1"/>
          <w:color w:val="auto"/>
        </w:rPr>
        <w:t xml:space="preserve">Permitted Disclosures </w:t>
      </w:r>
      <w:r>
        <w:rPr>
          <w:rFonts w:ascii="Times New Roman" w:cs="Times New Roman" w:eastAsia="Times New Roman" w:hAnsi="Times New Roman"/>
          <w:sz w:val="20"/>
          <w:szCs w:val="20"/>
          <w:color w:val="auto"/>
        </w:rPr>
        <w:t>below); and</w:t>
      </w:r>
    </w:p>
    <w:p>
      <w:pPr>
        <w:spacing w:after="0" w:line="192" w:lineRule="exact"/>
        <w:rPr>
          <w:rFonts w:ascii="Times New Roman" w:cs="Times New Roman" w:eastAsia="Times New Roman" w:hAnsi="Times New Roman"/>
          <w:sz w:val="20"/>
          <w:szCs w:val="20"/>
          <w:color w:val="auto"/>
        </w:rPr>
      </w:pPr>
    </w:p>
    <w:p>
      <w:pPr>
        <w:jc w:val="both"/>
        <w:ind w:left="1960" w:firstLine="640"/>
        <w:spacing w:after="0" w:line="253" w:lineRule="auto"/>
        <w:tabs>
          <w:tab w:leader="none" w:pos="307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to access or use any Confidential Information, and not to copy any documents, records, files, media or other resources containing any Confidential Information, or remove any such documents, records, files, media or other resources from the premises or control of the Employer Group, except as otherwise permitted by this Agreement (see </w:t>
      </w:r>
      <w:r>
        <w:rPr>
          <w:rFonts w:ascii="Times New Roman" w:cs="Times New Roman" w:eastAsia="Times New Roman" w:hAnsi="Times New Roman"/>
          <w:sz w:val="20"/>
          <w:szCs w:val="20"/>
          <w:b w:val="1"/>
          <w:bCs w:val="1"/>
          <w:color w:val="auto"/>
        </w:rPr>
        <w:t>Permitted Disclosures</w:t>
      </w:r>
      <w:r>
        <w:rPr>
          <w:rFonts w:ascii="Times New Roman" w:cs="Times New Roman" w:eastAsia="Times New Roman" w:hAnsi="Times New Roman"/>
          <w:sz w:val="20"/>
          <w:szCs w:val="20"/>
          <w:color w:val="auto"/>
        </w:rPr>
        <w:t xml:space="preserve"> below), by applicable law or with the prior written consent of an authorized officer acting on behalf of the Employer Group (and then, such disclosure shall be made only within the limits and to the extent of such law).</w:t>
      </w:r>
    </w:p>
    <w:p>
      <w:pPr>
        <w:spacing w:after="0" w:line="179"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20"/>
          <w:szCs w:val="20"/>
          <w:color w:val="auto"/>
        </w:rPr>
        <w:t>The Employee understands and acknowledges that the Employee’s obligations under this Agreement regarding any particular Confidential Information begin immediately and shall continue after the Employee’s employment by the Employer until the Confidential Information has become public knowledge other than as a result of the Employee’s breach of this Agreement or a breach by those acting in concert with the Employee or on the Employee’s behalf.</w:t>
      </w:r>
    </w:p>
    <w:p>
      <w:pPr>
        <w:spacing w:after="0" w:line="186" w:lineRule="exact"/>
        <w:rPr>
          <w:sz w:val="20"/>
          <w:szCs w:val="20"/>
          <w:color w:val="auto"/>
        </w:rPr>
      </w:pPr>
    </w:p>
    <w:p>
      <w:pPr>
        <w:jc w:val="both"/>
        <w:ind w:left="1300" w:firstLine="652"/>
        <w:spacing w:after="0" w:line="254" w:lineRule="auto"/>
        <w:tabs>
          <w:tab w:leader="none" w:pos="249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Permitted Disclosures</w:t>
      </w:r>
      <w:r>
        <w:rPr>
          <w:rFonts w:ascii="Times New Roman" w:cs="Times New Roman" w:eastAsia="Times New Roman" w:hAnsi="Times New Roman"/>
          <w:sz w:val="20"/>
          <w:szCs w:val="20"/>
          <w:color w:val="auto"/>
        </w:rPr>
        <w:t>. Nothing in this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w:t>
      </w:r>
    </w:p>
    <w:p>
      <w:pPr>
        <w:spacing w:after="0" w:line="187"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20"/>
          <w:szCs w:val="20"/>
          <w:color w:val="auto"/>
        </w:rPr>
        <w:t>Nothing in this Agreement prevents the Employee from discussing or disclosing information about unlawful acts in the workplace, such as harassment or discrimination or any other conduct that the Employee has reason to believe is unlawful.</w:t>
      </w:r>
    </w:p>
    <w:p>
      <w:pPr>
        <w:spacing w:after="0" w:line="181" w:lineRule="exact"/>
        <w:rPr>
          <w:sz w:val="20"/>
          <w:szCs w:val="20"/>
          <w:color w:val="auto"/>
        </w:rPr>
      </w:pPr>
    </w:p>
    <w:p>
      <w:pPr>
        <w:jc w:val="both"/>
        <w:ind w:left="1300" w:firstLine="1296"/>
        <w:spacing w:after="0" w:line="254" w:lineRule="auto"/>
        <w:rPr>
          <w:sz w:val="20"/>
          <w:szCs w:val="20"/>
          <w:color w:val="auto"/>
        </w:rPr>
      </w:pPr>
      <w:r>
        <w:rPr>
          <w:rFonts w:ascii="Times New Roman" w:cs="Times New Roman" w:eastAsia="Times New Roman" w:hAnsi="Times New Roman"/>
          <w:sz w:val="20"/>
          <w:szCs w:val="20"/>
          <w:color w:val="auto"/>
        </w:rPr>
        <w:t>Nothing in this Agreement prohibits or restricts the Employee (or the Employee’s attorney) from initiating communications with, responding to an inquiry from, providing testimony before, filing a charge or complaint with, or otherwise participating in any investigation or proceeding conducted by any Government Agency (as defined in Section 4(a)).</w:t>
      </w:r>
    </w:p>
    <w:p>
      <w:pPr>
        <w:spacing w:after="0" w:line="187" w:lineRule="exact"/>
        <w:rPr>
          <w:sz w:val="20"/>
          <w:szCs w:val="20"/>
          <w:color w:val="auto"/>
        </w:rPr>
      </w:pPr>
    </w:p>
    <w:p>
      <w:pPr>
        <w:jc w:val="both"/>
        <w:ind w:left="1300" w:firstLine="1296"/>
        <w:spacing w:after="0" w:line="283" w:lineRule="auto"/>
        <w:rPr>
          <w:sz w:val="20"/>
          <w:szCs w:val="20"/>
          <w:color w:val="auto"/>
        </w:rPr>
      </w:pPr>
      <w:r>
        <w:rPr>
          <w:rFonts w:ascii="Times New Roman" w:cs="Times New Roman" w:eastAsia="Times New Roman" w:hAnsi="Times New Roman"/>
          <w:sz w:val="20"/>
          <w:szCs w:val="20"/>
          <w:color w:val="auto"/>
        </w:rPr>
        <w:t>Nothing in this Agreement in any way prohibits or is intended to restrict or impede the Employee from discussing the terms and conditions of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53" w:name="page54"/>
    <w:bookmarkEnd w:id="53"/>
    <w:p>
      <w:pPr>
        <w:ind w:left="1300"/>
        <w:spacing w:after="0" w:line="283" w:lineRule="auto"/>
        <w:rPr>
          <w:sz w:val="20"/>
          <w:szCs w:val="20"/>
          <w:color w:val="auto"/>
        </w:rPr>
      </w:pPr>
      <w:r>
        <w:rPr>
          <w:rFonts w:ascii="Times New Roman" w:cs="Times New Roman" w:eastAsia="Times New Roman" w:hAnsi="Times New Roman"/>
          <w:sz w:val="20"/>
          <w:szCs w:val="20"/>
          <w:color w:val="auto"/>
        </w:rPr>
        <w:t>employment with co-workers, exercising protected rights under Section 7 of the National Labor Relations Act (NLRA), or otherwise disclosing information as permitted by law.</w:t>
      </w:r>
    </w:p>
    <w:p>
      <w:pPr>
        <w:spacing w:after="0" w:line="146" w:lineRule="exact"/>
        <w:rPr>
          <w:sz w:val="20"/>
          <w:szCs w:val="20"/>
          <w:color w:val="auto"/>
        </w:rPr>
      </w:pPr>
    </w:p>
    <w:p>
      <w:pPr>
        <w:ind w:left="2460" w:hanging="508"/>
        <w:spacing w:after="0"/>
        <w:tabs>
          <w:tab w:leader="none" w:pos="2460"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Immunity Under the Defend Trade Secrets Act of 2016</w:t>
      </w:r>
      <w:r>
        <w:rPr>
          <w:rFonts w:ascii="Times New Roman" w:cs="Times New Roman" w:eastAsia="Times New Roman" w:hAnsi="Times New Roman"/>
          <w:sz w:val="19"/>
          <w:szCs w:val="19"/>
          <w:color w:val="auto"/>
        </w:rPr>
        <w:t>. Notwithstanding any other provision of this</w:t>
      </w:r>
    </w:p>
    <w:p>
      <w:pPr>
        <w:spacing w:after="0" w:line="39"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w:t>
      </w:r>
    </w:p>
    <w:p>
      <w:pPr>
        <w:spacing w:after="0" w:line="213" w:lineRule="exact"/>
        <w:rPr>
          <w:rFonts w:ascii="Times New Roman" w:cs="Times New Roman" w:eastAsia="Times New Roman" w:hAnsi="Times New Roman"/>
          <w:sz w:val="19"/>
          <w:szCs w:val="19"/>
          <w:color w:val="auto"/>
        </w:rPr>
      </w:pPr>
    </w:p>
    <w:p>
      <w:pPr>
        <w:jc w:val="both"/>
        <w:ind w:left="1960" w:firstLine="640"/>
        <w:spacing w:after="0" w:line="254" w:lineRule="auto"/>
        <w:tabs>
          <w:tab w:leader="none" w:pos="3123"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w:t>
      </w:r>
    </w:p>
    <w:p>
      <w:pPr>
        <w:spacing w:after="0" w:line="187" w:lineRule="exact"/>
        <w:rPr>
          <w:rFonts w:ascii="Times New Roman" w:cs="Times New Roman" w:eastAsia="Times New Roman" w:hAnsi="Times New Roman"/>
          <w:sz w:val="20"/>
          <w:szCs w:val="20"/>
          <w:color w:val="auto"/>
        </w:rPr>
      </w:pPr>
    </w:p>
    <w:p>
      <w:pPr>
        <w:jc w:val="both"/>
        <w:ind w:left="1960" w:firstLine="640"/>
        <w:spacing w:after="0" w:line="258" w:lineRule="auto"/>
        <w:tabs>
          <w:tab w:leader="none" w:pos="3124"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Employee files a lawsuit for retaliation by the Employer for reporting a suspected violation of law, the Employee may disclose the Employer’s trade secrets to the Employee’s attorney and use the trade secret information in the court proceeding if the Employee: (1) files any document containing the trade secret under seal; and (2) does not disclose the trade secret, except pursuant to court order.</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False or Defamatory Statements</w:t>
      </w:r>
      <w:r>
        <w:rPr>
          <w:rFonts w:ascii="Times New Roman" w:cs="Times New Roman" w:eastAsia="Times New Roman" w:hAnsi="Times New Roman"/>
          <w:sz w:val="20"/>
          <w:szCs w:val="20"/>
          <w:color w:val="auto"/>
        </w:rPr>
        <w:t xml:space="preserve"> . The Employee shall not make, publish or communicate to any person or entity or in any public forum any maliciously false or defamatory remarks, comments or statements concerning the Employer Group or its businesses, or any of its employees, officers or directors, and their existing and prospective customers, suppliers, investors, and other associated third parties. Similarly, no member of the Employer Group shall make, publish or communicate to any person or entity or in any public forum any maliciously false or defamatory remarks, comments or statements concerning the Employee. Neither party shall by this agreement be prevented from truthful explanation of the facts and circumstances related to the Employee’s separation from the Employer Group.</w:t>
      </w:r>
    </w:p>
    <w:p>
      <w:pPr>
        <w:spacing w:after="0" w:line="19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Nothing in this Agreement prevents the Employee from discussing or disclosing information about unlawful acts in the workplace, such as harassment or discrimination or any other conduct that the Employee has reason to believe is unlawful.</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This section does not, in any way, restrict or impede the Employee from exercising protected rights to the extent that such rights cannot be waived by agreement, including the right to report possible securities law violations to the SEC, without notice to the Employer Group, rights under the National Labor Relations Act (NLRA), including the right to file unlawful labor practice (ULP) charges or participate, assist or cooperate in ULP investigations, and rights under California law. This section also does not prevent the Employee from complying with any applicable law or regulation or a valid order of a court of competent jurisdiction or an authorized government agency, provided that such compliance does not exceed that required by the law, regulation or order.</w:t>
      </w:r>
    </w:p>
    <w:p>
      <w:pPr>
        <w:spacing w:after="0" w:line="192" w:lineRule="exact"/>
        <w:rPr>
          <w:sz w:val="20"/>
          <w:szCs w:val="20"/>
          <w:color w:val="auto"/>
        </w:rPr>
      </w:pPr>
    </w:p>
    <w:p>
      <w:pPr>
        <w:jc w:val="both"/>
        <w:ind w:firstLine="656"/>
        <w:spacing w:after="0" w:line="261" w:lineRule="auto"/>
        <w:tabs>
          <w:tab w:leader="none" w:pos="128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of Agreement</w:t>
      </w:r>
      <w:r>
        <w:rPr>
          <w:rFonts w:ascii="Times New Roman" w:cs="Times New Roman" w:eastAsia="Times New Roman" w:hAnsi="Times New Roman"/>
          <w:sz w:val="20"/>
          <w:szCs w:val="20"/>
          <w:color w:val="auto"/>
        </w:rPr>
        <w:t>. The Employee agrees and covenants that the Employee shall not disclose any of the terms and conditions of, or the amount paid under this Agreement to any individual or entity; except that the Employee is not be prohibited from making disclosures to the Employee’s spouse, domestic partner, attorney, tax advisors, or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359" w:right="339" w:bottom="1440" w:gutter="0" w:footer="0" w:header="0"/>
        </w:sectPr>
      </w:pPr>
    </w:p>
    <w:bookmarkStart w:id="54" w:name="page55"/>
    <w:bookmarkEnd w:id="54"/>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Nothing in this Agreement prevents the Employee from discussing or disclosing information about unlawful acts in the workplace, such as harassment or discrimination or any other conduct that the Employee has reason to believe is unlawful, from disclosing information about possible securities law violations to the SEC, or from exercising protected rights under the National Labor Relations Act (NLRA) or other federal, state or local laws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79" w:lineRule="exact"/>
        <w:rPr>
          <w:sz w:val="20"/>
          <w:szCs w:val="20"/>
          <w:color w:val="auto"/>
        </w:rPr>
      </w:pPr>
    </w:p>
    <w:p>
      <w:pPr>
        <w:jc w:val="both"/>
        <w:ind w:firstLine="656"/>
        <w:spacing w:after="0" w:line="257" w:lineRule="auto"/>
        <w:tabs>
          <w:tab w:leader="none" w:pos="127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 breach or threatened breach by the Employee of Sections 8, 9 or 10 of this Agreement, the Employee hereby consents and agrees that money damages would not afford an adequate remedy and that the Employer shall be entitled to seek a temporary or permanent injunction or other equitable relief against such breach or threatened breach from any court of competent jurisdiction, without the necessity of showing any actual damages, and without the necessity of posting any bond or other security. Any equitable relief shall be in addition to, not instead of, legal remedies, including monetary damages, or other available relief.</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If the Employee fails to comply with any of the terms of this Agreement or post-employment obligations contained in it, the Employer may, in addition to any other available remedies, reclaim any amounts paid to the Employee under the provisions of this Agreement and terminate any benefits or payments that are later due under this Agreement, without waiving the releases provided in it.</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The Parties mutually agree that this Agreement can be specifically enforced in court and can be cited as evidence in legal proceedings alleging breach of the Agreement.</w:t>
      </w:r>
    </w:p>
    <w:p>
      <w:pPr>
        <w:spacing w:after="0" w:line="146"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120" w:hanging="411"/>
        <w:spacing w:after="0"/>
        <w:tabs>
          <w:tab w:leader="none" w:pos="21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by the Employer Group</w:t>
      </w:r>
    </w:p>
    <w:p>
      <w:pPr>
        <w:spacing w:after="0" w:line="216" w:lineRule="exact"/>
        <w:rPr>
          <w:sz w:val="20"/>
          <w:szCs w:val="20"/>
          <w:color w:val="auto"/>
        </w:rPr>
      </w:pPr>
    </w:p>
    <w:p>
      <w:pPr>
        <w:ind w:left="660" w:firstLine="1296"/>
        <w:spacing w:after="0" w:line="283" w:lineRule="auto"/>
        <w:rPr>
          <w:sz w:val="20"/>
          <w:szCs w:val="20"/>
          <w:color w:val="auto"/>
        </w:rPr>
      </w:pPr>
      <w:r>
        <w:rPr>
          <w:rFonts w:ascii="Times New Roman" w:cs="Times New Roman" w:eastAsia="Times New Roman" w:hAnsi="Times New Roman"/>
          <w:sz w:val="20"/>
          <w:szCs w:val="20"/>
          <w:color w:val="auto"/>
        </w:rPr>
        <w:t>The Employer Group may freely assign this Agreement at any time. This Agreement shall inure to the benefit of the Employer Group and its successors and assigns.</w:t>
      </w:r>
    </w:p>
    <w:p>
      <w:pPr>
        <w:spacing w:after="0" w:line="146" w:lineRule="exact"/>
        <w:rPr>
          <w:sz w:val="20"/>
          <w:szCs w:val="20"/>
          <w:color w:val="auto"/>
        </w:rPr>
      </w:pPr>
    </w:p>
    <w:p>
      <w:pPr>
        <w:ind w:left="2140" w:hanging="431"/>
        <w:spacing w:after="0"/>
        <w:tabs>
          <w:tab w:leader="none" w:pos="21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by the Employee</w:t>
      </w:r>
    </w:p>
    <w:p>
      <w:pPr>
        <w:spacing w:after="0" w:line="229" w:lineRule="exact"/>
        <w:rPr>
          <w:sz w:val="20"/>
          <w:szCs w:val="20"/>
          <w:color w:val="auto"/>
        </w:rPr>
      </w:pPr>
    </w:p>
    <w:p>
      <w:pPr>
        <w:ind w:left="660" w:firstLine="1296"/>
        <w:spacing w:after="0" w:line="283" w:lineRule="auto"/>
        <w:rPr>
          <w:sz w:val="20"/>
          <w:szCs w:val="20"/>
          <w:color w:val="auto"/>
        </w:rPr>
      </w:pPr>
      <w:r>
        <w:rPr>
          <w:rFonts w:ascii="Times New Roman" w:cs="Times New Roman" w:eastAsia="Times New Roman" w:hAnsi="Times New Roman"/>
          <w:sz w:val="20"/>
          <w:szCs w:val="20"/>
          <w:color w:val="auto"/>
        </w:rPr>
        <w:t>The Employee shall not assign this Agreement in whole or in part. Any purported assignment by the Employee shall be null and void from the initial date of the purported assignment.</w:t>
      </w:r>
    </w:p>
    <w:p>
      <w:pPr>
        <w:spacing w:after="0" w:line="146" w:lineRule="exact"/>
        <w:rPr>
          <w:sz w:val="20"/>
          <w:szCs w:val="20"/>
          <w:color w:val="auto"/>
        </w:rPr>
      </w:pPr>
    </w:p>
    <w:p>
      <w:pPr>
        <w:jc w:val="both"/>
        <w:ind w:firstLine="656"/>
        <w:spacing w:after="0" w:line="251" w:lineRule="auto"/>
        <w:tabs>
          <w:tab w:leader="none" w:pos="12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Subject to Section 11, the Parties agree that any dispute, controversy or claim arising out of or related to the Employee’s employment with the Employer Group or termination of employment, this Agreement, or any alleged breach of this Agreement, shall be governed by the Federal Arbitration Act (FAA) and submitted to and decided by binding arbitration in Los Angeles County, California, before a single arbitrator. Arbitration shall be administered before JAMS (https://www.jamsadr.com/) in accordance with its rules for employment arbitration, except as modified by this Agreement. A copy of the JAMS employment arbitration rules is available online at https://www.jamsadr.com/rules-employment-arbitration/ or from the Human Resources Department of the Employer. The Employer shall pay the arbitrator’s fees and arbitration expenses and any other costs unique to the arbitration hearing. Discovery in any arbitration proceeding shall be conducted according to the JAMS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440"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20"/>
          <w:szCs w:val="20"/>
          <w:color w:val="auto"/>
        </w:rPr>
        <w:t>Any arbitral award determination shall be final and binding on the Parties and may be entered as a judgment in a court of competent jurisdiction. Nothing in this Agreement shall prevent either the Employee or the Employer Group from obtaining injunctive relief in court to prevent irreparable harm pending the conclusion of any such arbitration. This agreement to arbitrate is freely negotiated between the Employee and the Employer Group and is mutually entered into between the Parties.</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BY ENTERING INTO THIS AGREEMENT, THE PARTIES ARE WAIVING ALL RIGHTS TO HAVE THEIR DISPUTES HEARD OR DECIDED BY A JURY OR IN A COURT TRIAL.</w:t>
      </w:r>
    </w:p>
    <w:p>
      <w:pPr>
        <w:spacing w:after="0" w:line="1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u w:val="single" w:color="auto"/>
          <w:color w:val="auto"/>
        </w:rPr>
        <w:t>/s/ DK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By initialing here, the Employee acknowledges that the Employee has read and agrees with the arbitration provision set forth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 this Section 13.</w:t>
      </w:r>
    </w:p>
    <w:p>
      <w:pPr>
        <w:spacing w:after="0" w:line="142" w:lineRule="exact"/>
        <w:rPr>
          <w:sz w:val="20"/>
          <w:szCs w:val="20"/>
          <w:color w:val="auto"/>
        </w:rPr>
      </w:pPr>
    </w:p>
    <w:p>
      <w:pPr>
        <w:jc w:val="both"/>
        <w:ind w:firstLine="656"/>
        <w:spacing w:after="0" w:line="253" w:lineRule="auto"/>
        <w:tabs>
          <w:tab w:leader="none" w:pos="12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and Venue</w:t>
      </w:r>
      <w:r>
        <w:rPr>
          <w:rFonts w:ascii="Times New Roman" w:cs="Times New Roman" w:eastAsia="Times New Roman" w:hAnsi="Times New Roman"/>
          <w:sz w:val="20"/>
          <w:szCs w:val="20"/>
          <w:color w:val="auto"/>
        </w:rPr>
        <w:t>. This Agreement and all matters arising out of or relating to this Agreement and the Employee’s employment or termination of employment with Employer, whether sounding in contract, tort or statute, for all purposes shall be governed by and construed in accordance with the laws of the State of California (including its statutes of limitations) without regard to any conflicts of laws principles that would require the laws of any other jurisdiction to apply. Subject to Section 13, any action or proceeding by either of the Parties to enforce this Agreement shall be brought only in any state or federal court located in the County of Los Angeles, California. The Parties hereby irrevocably submit to the exclusive jurisdiction of these courts and waive the defense of inconvenient forum to the maintenance of any such action or proceeding in such venue.</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Unless specifically provided herein, this Agreement contains all of the understandings and representations between the Employer Group and the Employee relating to the subject matter in this Agreement and supersedes all prior and contemporaneous understandings, discussions, agreements, representations, and warranties, both written and oral, regarding such subject matter.</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and Waiver</w:t>
      </w:r>
      <w:r>
        <w:rPr>
          <w:rFonts w:ascii="Times New Roman" w:cs="Times New Roman" w:eastAsia="Times New Roman" w:hAnsi="Times New Roman"/>
          <w:sz w:val="20"/>
          <w:szCs w:val="20"/>
          <w:color w:val="auto"/>
        </w:rPr>
        <w:t>. No provision of this Agreement may be amended or modified unless the amendment or modification is agreed to in writing and signed by the Employee and by an authorized representative of the Employer. No waiver by either Party of any breach by the other Party of any condition or provision of this Agreement to be performed by the other Party shall constitute a waiver of any similar or dissimilar provision or condition at the same or any prior or subsequent time, nor shall the failure of or delay by either Party in exercising any right, power or privilege under this Agreement operate as a waiver thereof to preclude any other or further exercise thereof or the exercise of any other such right, power or privilege.</w:t>
      </w:r>
    </w:p>
    <w:p>
      <w:pPr>
        <w:spacing w:after="0" w:line="178"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found by a court or arbitral authority of competent jurisdiction to be invalid, illegal or unenforceable in any respect, or enforceable only if modified, such finding shall not affect the validity of the remainder of this Agreement, which shall remain in full force and effect and continue to be binding on the Parties.</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Parties further agree that any such court or arbitral authority is expressly authorized to modify any such invalid, illegal or unenforceable provision of this Agreement instead of severing the provision from this Agreement in its entirety, whether by rewriting, deleting, or adding to the offending provision, or by making such other modifications as it deems necessary to carry out the intent and agreement of the Parties as embodied in this Agreement to the maximum extent permitted by law. Any such modification shall become a part of and treated as though originally set forth in this Agreement. If such provision or provisions are not modified, this Agreement shall be construed as if such invalid,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440" w:right="339" w:bottom="1440" w:gutter="0" w:footer="0" w:header="0"/>
        </w:sectPr>
      </w:pPr>
    </w:p>
    <w:bookmarkStart w:id="56" w:name="page57"/>
    <w:bookmarkEnd w:id="56"/>
    <w:p>
      <w:pPr>
        <w:ind w:right="20"/>
        <w:spacing w:after="0" w:line="269" w:lineRule="auto"/>
        <w:rPr>
          <w:sz w:val="20"/>
          <w:szCs w:val="20"/>
          <w:color w:val="auto"/>
        </w:rPr>
      </w:pPr>
      <w:r>
        <w:rPr>
          <w:rFonts w:ascii="Times New Roman" w:cs="Times New Roman" w:eastAsia="Times New Roman" w:hAnsi="Times New Roman"/>
          <w:sz w:val="20"/>
          <w:szCs w:val="20"/>
          <w:color w:val="auto"/>
        </w:rPr>
        <w:t>or unenforceable provisions had not been set forth in it. The Parties expressly agree that this Agreement as so modified by the court or arbitral authority shall be binding on and enforceable against each of them.</w:t>
      </w:r>
    </w:p>
    <w:p>
      <w:pPr>
        <w:spacing w:after="0" w:line="173" w:lineRule="exact"/>
        <w:rPr>
          <w:sz w:val="20"/>
          <w:szCs w:val="20"/>
          <w:color w:val="auto"/>
        </w:rPr>
      </w:pPr>
    </w:p>
    <w:p>
      <w:pPr>
        <w:jc w:val="both"/>
        <w:ind w:firstLine="656"/>
        <w:spacing w:after="0" w:line="261" w:lineRule="auto"/>
        <w:tabs>
          <w:tab w:leader="none" w:pos="12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Captions and headings of the sections and paragraphs of this Agreement are intended solely for convenience, and no provision of this Agreement is to be construed by reference to the caption or heading of any section or paragraph. This Agreement shall not be construed against either Party as the author or drafter of the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Signatures</w:t>
      </w:r>
      <w:r>
        <w:rPr>
          <w:rFonts w:ascii="Times New Roman" w:cs="Times New Roman" w:eastAsia="Times New Roman" w:hAnsi="Times New Roman"/>
          <w:sz w:val="20"/>
          <w:szCs w:val="20"/>
          <w:color w:val="auto"/>
        </w:rPr>
        <w:t>. The Parties may execute this Agreement in counterparts, each of which shall be deemed an original, and all of which taken together shall constitute one and the same instrument. Delivery of an executed counterpart’s signature page of this Agreement by email in portable document format (.pdf), or by any other electronic means intended to preserve the original graphic and pictorial appearance of a document has the same effect as delivery of an executed original of this Agreement. This Agreement may be signed electronically by DocuSign or similar electronic signature system. The Employer’s execution of this Agreement by the facsimile signature of the Employer’s authorized representative has the same effect as an original counterpart manually signed by such representative.</w:t>
      </w:r>
    </w:p>
    <w:p>
      <w:pPr>
        <w:spacing w:after="0" w:line="17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Nothing in this Agreement shall be construed as an admission by the Employee or the Employer Group of any wrongdoing, liability or noncompliance with any federal, state, city or local rule, ordinance, statute, common law or other legal obligation.</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otherwise expressly provided in this Agreement, all notices under this Agreement must be given in writing by personal delivery, by regular mail or by express courier to the applicable address indicated below, or to another address most recently designated in writing by the recipient in a notice given in accordance with this section.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Notice to the Employer Group:</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Navitas Semiconductor USA, Inc.</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3520 Challenger Street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Torrance, CA 90503-1640</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Notice to the Employee:</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address of the Employee in the Employer’s records as of the Separation Date.</w:t>
      </w:r>
    </w:p>
    <w:p>
      <w:pPr>
        <w:spacing w:after="0" w:line="229" w:lineRule="exact"/>
        <w:rPr>
          <w:sz w:val="20"/>
          <w:szCs w:val="20"/>
          <w:color w:val="auto"/>
        </w:rPr>
      </w:pPr>
    </w:p>
    <w:p>
      <w:pPr>
        <w:jc w:val="both"/>
        <w:ind w:firstLine="656"/>
        <w:spacing w:after="0" w:line="251"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440"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20"/>
          <w:szCs w:val="20"/>
          <w:color w:val="auto"/>
        </w:rPr>
        <w:t>termination of employment shall only be made if such termination constitutes a “separation from service” under Section 409A. Notwithstanding the foregoing, Employer Group makes no representations that the payments and benefits provided under this Agreement comply with Section 409A and in no event shall Employer Group be liable for all or any portion of any taxes, penalties, interest or other expenses that may be incurred by Employee on account of non-compliance with Section 409A.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440" w:right="339" w:bottom="1440" w:gutter="0" w:footer="0" w:header="0"/>
        </w:sectPr>
      </w:pPr>
    </w:p>
    <w:bookmarkStart w:id="58" w:name="page59"/>
    <w:bookmarkEnd w:id="58"/>
    <w:p>
      <w:pPr>
        <w:jc w:val="both"/>
        <w:ind w:firstLine="656"/>
        <w:spacing w:after="0" w:line="251" w:lineRule="auto"/>
        <w:tabs>
          <w:tab w:leader="none" w:pos="128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FULL UNDERSTANDING</w:t>
      </w:r>
      <w:r>
        <w:rPr>
          <w:rFonts w:ascii="Times New Roman" w:cs="Times New Roman" w:eastAsia="Times New Roman" w:hAnsi="Times New Roman"/>
          <w:sz w:val="20"/>
          <w:szCs w:val="20"/>
          <w:color w:val="auto"/>
        </w:rPr>
        <w:t>. THE EMPLOYEE ACKNOWLEDGES AND AGREES THAT THE EMPLOYEE HAS FULLY READ, UNDERSTANDS, AND VOLUNTARILY ENTERS INTO THIS AGREEMENT. THE EMPLOYEE ACKNOWLEDGES AND AGREES THAT THE EMPLOYEE HAS BEEN GIVEN AT LEAST 45 DAYS TO REVIEW THIS AGREEMENT (ALTHOUGH THE EMPLOYEE MAY SIGN IT SOONER IF DESIRED). THE EMPLOYEE HAS HAD AN OPPORTUNITY TO ASK QUESTIONS AND CONSULT WITH AN ATTORNEY OF THE EMPLOYEE’S CHOICE BEFORE SIGNING THIS AGREEMENT. THE EMPLOYEE FURTHER ACKNOWLEDGES THAT THE EMPLOYEE’S SIGNATURE BELOW IS AN AGREEMENT TO RELEASE THE EMPLOYER GROUP FROM ANY AND ALL CLAIMS THAT CAN BE RELEASED AS A MATTER OF LAW.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Effective Date.</w:t>
      </w:r>
    </w:p>
    <w:p>
      <w:pPr>
        <w:spacing w:after="0" w:line="3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NAVITAS SEMICONDUCTOR USA, INC.</w:t>
      </w:r>
    </w:p>
    <w:p>
      <w:pPr>
        <w:spacing w:after="0" w:line="200" w:lineRule="exact"/>
        <w:rPr>
          <w:sz w:val="20"/>
          <w:szCs w:val="20"/>
          <w:color w:val="auto"/>
        </w:rPr>
      </w:pPr>
    </w:p>
    <w:p>
      <w:pPr>
        <w:spacing w:after="0" w:line="308"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Gene Sheridan</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Date: May 1, 2025</w:t>
            </w:r>
          </w:p>
        </w:tc>
      </w:tr>
      <w:tr>
        <w:trPr>
          <w:trHeight w:val="20"/>
        </w:trPr>
        <w:tc>
          <w:tcPr>
            <w:tcW w:w="3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1"/>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Gene Sheridan</w:t>
            </w:r>
          </w:p>
        </w:tc>
        <w:tc>
          <w:tcPr>
            <w:tcW w:w="1680" w:type="dxa"/>
            <w:vAlign w:val="bottom"/>
          </w:tcPr>
          <w:p>
            <w:pPr>
              <w:spacing w:after="0"/>
              <w:rPr>
                <w:sz w:val="20"/>
                <w:szCs w:val="20"/>
                <w:color w:val="auto"/>
              </w:rPr>
            </w:pPr>
          </w:p>
        </w:tc>
      </w:tr>
      <w:tr>
        <w:trPr>
          <w:trHeight w:val="258"/>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President and CEO</w:t>
            </w:r>
          </w:p>
        </w:tc>
        <w:tc>
          <w:tcPr>
            <w:tcW w:w="1680" w:type="dxa"/>
            <w:vAlign w:val="bottom"/>
          </w:tcPr>
          <w:p>
            <w:pPr>
              <w:spacing w:after="0"/>
              <w:rPr>
                <w:sz w:val="22"/>
                <w:szCs w:val="22"/>
                <w:color w:val="auto"/>
              </w:rPr>
            </w:pPr>
          </w:p>
        </w:tc>
      </w:tr>
    </w:tbl>
    <w:p>
      <w:pPr>
        <w:spacing w:after="0" w:line="1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2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i w:val="1"/>
          <w:iCs w:val="1"/>
          <w:color w:val="auto"/>
        </w:rPr>
        <w:t>solely for purposes of Section 5(d)</w:t>
      </w:r>
    </w:p>
    <w:p>
      <w:pPr>
        <w:spacing w:after="0" w:line="378"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Gene Sheridan</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Date: May 1, 2025</w:t>
            </w:r>
          </w:p>
        </w:tc>
      </w:tr>
      <w:tr>
        <w:trPr>
          <w:trHeight w:val="20"/>
        </w:trPr>
        <w:tc>
          <w:tcPr>
            <w:tcW w:w="3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1"/>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Gene Sheridan</w:t>
            </w:r>
          </w:p>
        </w:tc>
        <w:tc>
          <w:tcPr>
            <w:tcW w:w="1680" w:type="dxa"/>
            <w:vAlign w:val="bottom"/>
          </w:tcPr>
          <w:p>
            <w:pPr>
              <w:spacing w:after="0"/>
              <w:rPr>
                <w:sz w:val="20"/>
                <w:szCs w:val="20"/>
                <w:color w:val="auto"/>
              </w:rPr>
            </w:pPr>
          </w:p>
        </w:tc>
      </w:tr>
      <w:tr>
        <w:trPr>
          <w:trHeight w:val="258"/>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President and CEO</w:t>
            </w:r>
          </w:p>
        </w:tc>
        <w:tc>
          <w:tcPr>
            <w:tcW w:w="1680" w:type="dxa"/>
            <w:vAlign w:val="bottom"/>
          </w:tcPr>
          <w:p>
            <w:pPr>
              <w:spacing w:after="0"/>
              <w:rPr>
                <w:sz w:val="22"/>
                <w:szCs w:val="22"/>
                <w:color w:val="auto"/>
              </w:rPr>
            </w:pPr>
          </w:p>
        </w:tc>
      </w:tr>
    </w:tbl>
    <w:p>
      <w:pPr>
        <w:spacing w:after="0" w:line="1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NAVITAS SEMICONDUCTOR LIMITED,</w:t>
      </w:r>
    </w:p>
    <w:p>
      <w:pPr>
        <w:spacing w:after="0" w:line="2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including as domesticated as Navitas Semiconductor Ireland, LLC</w:t>
      </w:r>
    </w:p>
    <w:p>
      <w:pPr>
        <w:spacing w:after="0" w:line="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i w:val="1"/>
          <w:iCs w:val="1"/>
          <w:color w:val="auto"/>
        </w:rPr>
        <w:t>solely for purposes of Section 5(d)</w:t>
      </w:r>
    </w:p>
    <w:p>
      <w:pPr>
        <w:spacing w:after="0" w:line="385"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Gene Sheridan</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Date: May 1, 2025</w:t>
            </w:r>
          </w:p>
        </w:tc>
      </w:tr>
      <w:tr>
        <w:trPr>
          <w:trHeight w:val="20"/>
        </w:trPr>
        <w:tc>
          <w:tcPr>
            <w:tcW w:w="3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1"/>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Gene Sheridan</w:t>
            </w:r>
          </w:p>
        </w:tc>
        <w:tc>
          <w:tcPr>
            <w:tcW w:w="1680" w:type="dxa"/>
            <w:vAlign w:val="bottom"/>
          </w:tcPr>
          <w:p>
            <w:pPr>
              <w:spacing w:after="0"/>
              <w:rPr>
                <w:sz w:val="20"/>
                <w:szCs w:val="20"/>
                <w:color w:val="auto"/>
              </w:rPr>
            </w:pPr>
          </w:p>
        </w:tc>
      </w:tr>
      <w:tr>
        <w:trPr>
          <w:trHeight w:val="258"/>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President and CEO</w:t>
            </w:r>
          </w:p>
        </w:tc>
        <w:tc>
          <w:tcPr>
            <w:tcW w:w="1680" w:type="dxa"/>
            <w:vAlign w:val="bottom"/>
          </w:tcPr>
          <w:p>
            <w:pPr>
              <w:spacing w:after="0"/>
              <w:rPr>
                <w:sz w:val="22"/>
                <w:szCs w:val="22"/>
                <w:color w:val="auto"/>
              </w:rPr>
            </w:pPr>
          </w:p>
        </w:tc>
      </w:tr>
    </w:tbl>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EMPLOYEE</w:t>
      </w:r>
    </w:p>
    <w:p>
      <w:pPr>
        <w:spacing w:after="0" w:line="283" w:lineRule="exact"/>
        <w:rPr>
          <w:sz w:val="20"/>
          <w:szCs w:val="20"/>
          <w:color w:val="auto"/>
        </w:rPr>
      </w:pPr>
    </w:p>
    <w:p>
      <w:pPr>
        <w:ind w:left="80"/>
        <w:spacing w:after="0"/>
        <w:tabs>
          <w:tab w:leader="none" w:pos="3140" w:val="left"/>
        </w:tabs>
        <w:rPr>
          <w:sz w:val="20"/>
          <w:szCs w:val="20"/>
          <w:color w:val="auto"/>
        </w:rPr>
      </w:pPr>
      <w:r>
        <w:rPr>
          <w:rFonts w:ascii="Times New Roman" w:cs="Times New Roman" w:eastAsia="Times New Roman" w:hAnsi="Times New Roman"/>
          <w:sz w:val="20"/>
          <w:szCs w:val="20"/>
          <w:color w:val="auto"/>
        </w:rPr>
        <w:t>Signature: /s/ Daniel M. Kinzer</w:t>
      </w:r>
      <w:r>
        <w:rPr>
          <w:sz w:val="20"/>
          <w:szCs w:val="20"/>
          <w:color w:val="auto"/>
        </w:rPr>
        <w:tab/>
      </w:r>
      <w:r>
        <w:rPr>
          <w:rFonts w:ascii="Times New Roman" w:cs="Times New Roman" w:eastAsia="Times New Roman" w:hAnsi="Times New Roman"/>
          <w:sz w:val="19"/>
          <w:szCs w:val="19"/>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-10795</wp:posOffset>
            </wp:positionV>
            <wp:extent cx="93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Print Name: DANIEL M. KINZER</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w:t>
      </w:r>
      <w:r>
        <w:rPr>
          <w:rFonts w:ascii="Times New Roman" w:cs="Times New Roman" w:eastAsia="Times New Roman" w:hAnsi="Times New Roman"/>
          <w:sz w:val="19"/>
          <w:szCs w:val="19"/>
          <w:b w:val="1"/>
          <w:bCs w:val="1"/>
          <w:color w:val="auto"/>
        </w:rPr>
        <w:t>Remember to review and initial the arbitration provision on 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CA4-2025.05.01</w:t>
      </w:r>
    </w:p>
    <w:p>
      <w:pPr>
        <w:spacing w:after="0" w:line="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3"/>
          <w:szCs w:val="13"/>
          <w:color w:val="auto"/>
        </w:rPr>
        <w:t>DANIEL M. KINZER</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6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6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Glickman, certify that:</w:t>
      </w:r>
    </w:p>
    <w:p>
      <w:pPr>
        <w:spacing w:after="0" w:line="158"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1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7"/>
          <w:szCs w:val="17"/>
          <w:u w:val="single" w:color="auto"/>
          <w:color w:val="auto"/>
        </w:rPr>
        <w:t>/s/ Todd Glickman</w:t>
      </w:r>
    </w:p>
    <w:p>
      <w:pPr>
        <w:ind w:left="4160"/>
        <w:spacing w:after="0" w:line="205" w:lineRule="auto"/>
        <w:rPr>
          <w:sz w:val="20"/>
          <w:szCs w:val="20"/>
          <w:color w:val="auto"/>
        </w:rPr>
      </w:pPr>
      <w:r>
        <w:rPr>
          <w:rFonts w:ascii="Times New Roman" w:cs="Times New Roman" w:eastAsia="Times New Roman" w:hAnsi="Times New Roman"/>
          <w:sz w:val="18"/>
          <w:szCs w:val="18"/>
          <w:color w:val="auto"/>
        </w:rPr>
        <w:t>Todd Glickman</w:t>
      </w:r>
    </w:p>
    <w:p>
      <w:pPr>
        <w:ind w:left="4160"/>
        <w:spacing w:after="0" w:line="204" w:lineRule="auto"/>
        <w:rPr>
          <w:sz w:val="20"/>
          <w:szCs w:val="20"/>
          <w:color w:val="auto"/>
        </w:rPr>
      </w:pPr>
      <w:r>
        <w:rPr>
          <w:rFonts w:ascii="Times New Roman" w:cs="Times New Roman" w:eastAsia="Times New Roman" w:hAnsi="Times New Roman"/>
          <w:sz w:val="18"/>
          <w:szCs w:val="18"/>
          <w:color w:val="auto"/>
        </w:rPr>
        <w:t>Sr. V.P., Chief Financial Officer and Treasurer</w:t>
      </w:r>
    </w:p>
    <w:p>
      <w:pPr>
        <w:ind w:left="4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knowledge, Navitas’ quarterly report on Form 10-Q for the period ended June 30, 2025,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472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Todd Glickman</w:t>
            </w:r>
          </w:p>
        </w:tc>
      </w:tr>
      <w:tr>
        <w:trPr>
          <w:trHeight w:val="151"/>
        </w:trPr>
        <w:tc>
          <w:tcPr>
            <w:tcW w:w="4720" w:type="dxa"/>
            <w:vAlign w:val="bottom"/>
          </w:tcPr>
          <w:p>
            <w:pPr>
              <w:spacing w:after="0"/>
              <w:rPr>
                <w:sz w:val="13"/>
                <w:szCs w:val="13"/>
                <w:color w:val="auto"/>
              </w:rPr>
            </w:pPr>
          </w:p>
        </w:tc>
        <w:tc>
          <w:tcPr>
            <w:tcW w:w="134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Todd Glickman</w:t>
            </w:r>
          </w:p>
        </w:tc>
        <w:tc>
          <w:tcPr>
            <w:tcW w:w="19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¹"/>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lvl w:ilvl="1">
      <w:lvlJc w:val="left"/>
      <w:lvlText w:val="(%2)"/>
      <w:numFmt w:val="lowerLetter"/>
      <w:start w:val="1"/>
    </w:lvl>
  </w:abstractNum>
  <w:abstractNum w:abstractNumId="11">
    <w:nsid w:val="2901D82"/>
    <w:multiLevelType w:val="hybridMultilevel"/>
    <w:lvl w:ilvl="0">
      <w:lvlJc w:val="left"/>
      <w:lvlText w:val="%1"/>
      <w:numFmt w:val="decimal"/>
      <w:start w:val="45"/>
    </w:lvl>
    <w:lvl w:ilvl="1">
      <w:lvlJc w:val="left"/>
      <w:lvlText w:val="(%2)"/>
      <w:numFmt w:val="lowerLetter"/>
      <w:start w:val="3"/>
    </w:lvl>
  </w:abstractNum>
  <w:abstractNum w:abstractNumId="12">
    <w:nsid w:val="3A95F874"/>
    <w:multiLevelType w:val="hybridMultilevel"/>
    <w:lvl w:ilvl="0">
      <w:lvlJc w:val="left"/>
      <w:lvlText w:val="%1"/>
      <w:numFmt w:val="decimal"/>
      <w:start w:val="1"/>
    </w:lvl>
    <w:lvl w:ilvl="1">
      <w:lvlJc w:val="left"/>
      <w:lvlText w:val="(%2)"/>
      <w:numFmt w:val="lowerLetter"/>
      <w:start w:val="4"/>
    </w:lvl>
  </w:abstractNum>
  <w:abstractNum w:abstractNumId="13">
    <w:nsid w:val="8138641"/>
    <w:multiLevelType w:val="hybridMultilevel"/>
    <w:lvl w:ilvl="0">
      <w:lvlJc w:val="left"/>
      <w:lvlText w:val="%1."/>
      <w:numFmt w:val="decimal"/>
      <w:start w:val="3"/>
    </w:lvl>
    <w:lvl w:ilvl="1">
      <w:lvlJc w:val="left"/>
      <w:lvlText w:val="(%2)"/>
      <w:numFmt w:val="lowerLetter"/>
      <w:start w:val="1"/>
    </w:lvl>
  </w:abstractNum>
  <w:abstractNum w:abstractNumId="14">
    <w:nsid w:val="1E7FF521"/>
    <w:multiLevelType w:val="hybridMultilevel"/>
    <w:lvl w:ilvl="0">
      <w:lvlJc w:val="left"/>
      <w:lvlText w:val="(%1)"/>
      <w:numFmt w:val="lowerLetter"/>
      <w:start w:val="3"/>
    </w:lvl>
  </w:abstractNum>
  <w:abstractNum w:abstractNumId="15">
    <w:nsid w:val="7C3DBD3D"/>
    <w:multiLevelType w:val="hybridMultilevel"/>
    <w:lvl w:ilvl="0">
      <w:lvlJc w:val="left"/>
      <w:lvlText w:val="%1."/>
      <w:numFmt w:val="decimal"/>
      <w:start w:val="5"/>
    </w:lvl>
    <w:lvl w:ilvl="1">
      <w:lvlJc w:val="left"/>
      <w:lvlText w:val="(%2)"/>
      <w:numFmt w:val="lowerLetter"/>
      <w:start w:val="1"/>
    </w:lvl>
  </w:abstractNum>
  <w:abstractNum w:abstractNumId="16">
    <w:nsid w:val="737B8DDC"/>
    <w:multiLevelType w:val="hybridMultilevel"/>
    <w:lvl w:ilvl="0">
      <w:lvlJc w:val="left"/>
      <w:lvlText w:val="(%1)"/>
      <w:numFmt w:val="lowerRoman"/>
      <w:start w:val="3"/>
    </w:lvl>
    <w:lvl w:ilvl="1">
      <w:lvlJc w:val="left"/>
      <w:lvlText w:val="-"/>
      <w:numFmt w:val="bullet"/>
      <w:start w:val="1"/>
    </w:lvl>
  </w:abstractNum>
  <w:abstractNum w:abstractNumId="17">
    <w:nsid w:val="6CEAF087"/>
    <w:multiLevelType w:val="hybridMultilevel"/>
    <w:lvl w:ilvl="0">
      <w:lvlJc w:val="left"/>
      <w:lvlText w:val="(%1)"/>
      <w:numFmt w:val="lowerLetter"/>
      <w:start w:val="3"/>
    </w:lvl>
    <w:lvl w:ilvl="1">
      <w:lvlJc w:val="left"/>
      <w:lvlText w:val="-"/>
      <w:numFmt w:val="bullet"/>
      <w:start w:val="1"/>
    </w:lvl>
  </w:abstractNum>
  <w:abstractNum w:abstractNumId="18">
    <w:nsid w:val="22221A70"/>
    <w:multiLevelType w:val="hybridMultilevel"/>
    <w:lvl w:ilvl="0">
      <w:lvlJc w:val="left"/>
      <w:lvlText w:val="%1"/>
      <w:numFmt w:val="decimal"/>
      <w:start w:val="1"/>
    </w:lvl>
    <w:lvl w:ilvl="1">
      <w:lvlJc w:val="left"/>
      <w:lvlText w:val="(%2)"/>
      <w:numFmt w:val="lowerLetter"/>
      <w:start w:val="6"/>
    </w:lvl>
  </w:abstractNum>
  <w:abstractNum w:abstractNumId="19">
    <w:nsid w:val="4516DDE9"/>
    <w:multiLevelType w:val="hybridMultilevel"/>
    <w:lvl w:ilvl="0">
      <w:lvlJc w:val="left"/>
      <w:lvlText w:val="%1."/>
      <w:numFmt w:val="decimal"/>
      <w:start w:val="6"/>
    </w:lvl>
    <w:lvl w:ilvl="1">
      <w:lvlJc w:val="left"/>
      <w:lvlText w:val="(%2)"/>
      <w:numFmt w:val="lowerLetter"/>
      <w:start w:val="1"/>
    </w:lvl>
  </w:abstractNum>
  <w:abstractNum w:abstractNumId="20">
    <w:nsid w:val="3006C83E"/>
    <w:multiLevelType w:val="hybridMultilevel"/>
    <w:lvl w:ilvl="0">
      <w:lvlJc w:val="left"/>
      <w:lvlText w:val="(%1)"/>
      <w:numFmt w:val="lowerRoman"/>
      <w:start w:val="1"/>
    </w:lvl>
    <w:lvl w:ilvl="1">
      <w:lvlJc w:val="left"/>
      <w:lvlText w:val="-"/>
      <w:numFmt w:val="bullet"/>
      <w:start w:val="1"/>
    </w:lvl>
  </w:abstractNum>
  <w:abstractNum w:abstractNumId="21">
    <w:nsid w:val="614FD4A1"/>
    <w:multiLevelType w:val="hybridMultilevel"/>
    <w:lvl w:ilvl="0">
      <w:lvlJc w:val="left"/>
      <w:lvlText w:val="(%1)"/>
      <w:numFmt w:val="lowerRoman"/>
      <w:start w:val="2"/>
    </w:lvl>
  </w:abstractNum>
  <w:abstractNum w:abstractNumId="22">
    <w:nsid w:val="419AC241"/>
    <w:multiLevelType w:val="hybridMultilevel"/>
    <w:lvl w:ilvl="0">
      <w:lvlJc w:val="left"/>
      <w:lvlText w:val="(%1)"/>
      <w:numFmt w:val="upperLetter"/>
      <w:start w:val="1"/>
    </w:lvl>
  </w:abstractNum>
  <w:abstractNum w:abstractNumId="23">
    <w:nsid w:val="5577F8E1"/>
    <w:multiLevelType w:val="hybridMultilevel"/>
    <w:lvl w:ilvl="0">
      <w:lvlJc w:val="left"/>
      <w:lvlText w:val="(%1)"/>
      <w:numFmt w:val="upperLetter"/>
      <w:start w:val="27"/>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3"/>
    </w:lvl>
  </w:abstractNum>
  <w:abstractNum w:abstractNumId="26">
    <w:nsid w:val="3804823E"/>
    <w:multiLevelType w:val="hybridMultilevel"/>
    <w:lvl w:ilvl="0">
      <w:lvlJc w:val="left"/>
      <w:lvlText w:val="(%1)"/>
      <w:numFmt w:val="lowerRoman"/>
      <w:start w:val="1"/>
    </w:lvl>
    <w:lvl w:ilvl="1">
      <w:lvlJc w:val="left"/>
      <w:lvlText w:val="-"/>
      <w:numFmt w:val="bullet"/>
      <w:start w:val="1"/>
    </w:lvl>
  </w:abstractNum>
  <w:abstractNum w:abstractNumId="27">
    <w:nsid w:val="77465F01"/>
    <w:multiLevelType w:val="hybridMultilevel"/>
    <w:lvl w:ilvl="0">
      <w:lvlJc w:val="left"/>
      <w:lvlText w:val="(%1)"/>
      <w:numFmt w:val="lowerRoman"/>
      <w:start w:val="6"/>
    </w:lvl>
  </w:abstractNum>
  <w:abstractNum w:abstractNumId="28">
    <w:nsid w:val="7724C67E"/>
    <w:multiLevelType w:val="hybridMultilevel"/>
    <w:lvl w:ilvl="0">
      <w:lvlJc w:val="left"/>
      <w:lvlText w:val="%1."/>
      <w:numFmt w:val="decimal"/>
      <w:start w:val="7"/>
    </w:lvl>
    <w:lvl w:ilvl="1">
      <w:lvlJc w:val="left"/>
      <w:lvlText w:val="(%2)"/>
      <w:numFmt w:val="lowerLetter"/>
      <w:start w:val="1"/>
    </w:lvl>
  </w:abstractNum>
  <w:abstractNum w:abstractNumId="29">
    <w:nsid w:val="5C482A97"/>
    <w:multiLevelType w:val="hybridMultilevel"/>
    <w:lvl w:ilvl="0">
      <w:lvlJc w:val="left"/>
      <w:lvlText w:val="%1."/>
      <w:numFmt w:val="decimal"/>
      <w:start w:val="8"/>
    </w:lvl>
    <w:lvl w:ilvl="1">
      <w:lvlJc w:val="left"/>
      <w:lvlText w:val="(%2)"/>
      <w:numFmt w:val="lowerLetter"/>
      <w:start w:val="1"/>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
    <w:nsid w:val="51EAD36B"/>
    <w:multiLevelType w:val="hybridMultilevel"/>
    <w:lvl w:ilvl="0">
      <w:lvlJc w:val="left"/>
      <w:lvlText w:val="(%1)"/>
      <w:numFmt w:val="lowerRoman"/>
      <w:start w:val="2"/>
    </w:lvl>
  </w:abstractNum>
  <w:abstractNum w:abstractNumId="33">
    <w:nsid w:val="2D517796"/>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4">
    <w:nsid w:val="580BD78F"/>
    <w:multiLevelType w:val="hybridMultilevel"/>
    <w:lvl w:ilvl="0">
      <w:lvlJc w:val="left"/>
      <w:lvlText w:val="%1."/>
      <w:numFmt w:val="decimal"/>
      <w:start w:val="9"/>
    </w:lvl>
    <w:lvl w:ilvl="1">
      <w:lvlJc w:val="left"/>
      <w:lvlText w:val="%2"/>
      <w:numFmt w:val="lowerRoman"/>
      <w:start w:val="1"/>
    </w:lvl>
    <w:lvl w:ilvl="2">
      <w:lvlJc w:val="left"/>
      <w:lvlText w:val="%3"/>
      <w:numFmt w:val="upperLetter"/>
      <w:start w:val="1"/>
    </w:lvl>
  </w:abstractNum>
  <w:abstractNum w:abstractNumId="35">
    <w:nsid w:val="153EA438"/>
    <w:multiLevelType w:val="hybridMultilevel"/>
    <w:lvl w:ilvl="0">
      <w:lvlJc w:val="left"/>
      <w:lvlText w:val="%1."/>
      <w:numFmt w:val="decimal"/>
      <w:start w:val="10"/>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decimal"/>
      <w:start w:val="12"/>
    </w:lvl>
    <w:lvl w:ilvl="1">
      <w:lvlJc w:val="left"/>
      <w:lvlText w:val="(%2)"/>
      <w:numFmt w:val="lowerLetter"/>
      <w:start w:val="1"/>
    </w:lvl>
  </w:abstractNum>
  <w:abstractNum w:abstractNumId="38">
    <w:nsid w:val="6A2342EC"/>
    <w:multiLevelType w:val="hybridMultilevel"/>
    <w:lvl w:ilvl="0">
      <w:lvlJc w:val="left"/>
      <w:lvlText w:val="(%1)"/>
      <w:numFmt w:val="lowerLetter"/>
      <w:start w:val="2"/>
    </w:lvl>
  </w:abstractNum>
  <w:abstractNum w:abstractNumId="39">
    <w:nsid w:val="2A487CB0"/>
    <w:multiLevelType w:val="hybridMultilevel"/>
    <w:lvl w:ilvl="0">
      <w:lvlJc w:val="left"/>
      <w:lvlText w:val="%1."/>
      <w:numFmt w:val="decimal"/>
      <w:start w:val="13"/>
    </w:lvl>
  </w:abstractNum>
  <w:abstractNum w:abstractNumId="40">
    <w:nsid w:val="1D4ED43B"/>
    <w:multiLevelType w:val="hybridMultilevel"/>
    <w:lvl w:ilvl="0">
      <w:lvlJc w:val="left"/>
      <w:lvlText w:val="%1."/>
      <w:numFmt w:val="decimal"/>
      <w:start w:val="14"/>
    </w:lvl>
  </w:abstractNum>
  <w:abstractNum w:abstractNumId="41">
    <w:nsid w:val="725A06FB"/>
    <w:multiLevelType w:val="hybridMultilevel"/>
    <w:lvl w:ilvl="0">
      <w:lvlJc w:val="left"/>
      <w:lvlText w:val="%1."/>
      <w:numFmt w:val="decimal"/>
      <w:start w:val="18"/>
    </w:lvl>
  </w:abstractNum>
  <w:abstractNum w:abstractNumId="42">
    <w:nsid w:val="2CD89A32"/>
    <w:multiLevelType w:val="hybridMultilevel"/>
    <w:lvl w:ilvl="0">
      <w:lvlJc w:val="left"/>
      <w:lvlText w:val="%1."/>
      <w:numFmt w:val="decimal"/>
      <w:start w:val="22"/>
    </w:lvl>
  </w:abstractNum>
  <w:abstractNum w:abstractNumId="43">
    <w:nsid w:val="57E4CCAF"/>
    <w:multiLevelType w:val="hybridMultilevel"/>
    <w:lvl w:ilvl="0">
      <w:lvlJc w:val="left"/>
      <w:lvlText w:val="%1."/>
      <w:numFmt w:val="decimal"/>
      <w:start w:val="23"/>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5" Type="http://schemas.openxmlformats.org/officeDocument/2006/relationships/hyperlink" Target="https://www.sec.gov/Archives/edgar/data/0001821769/000182176925000053/exhibit101-agreementwrss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2025-08-04T16:11:08Z</dcterms:created>
  <dcterms:modified xsi:type="dcterms:W3CDTF">2025-08-04T16:11:08Z</dcterms:modified>
</cp:coreProperties>
</file>