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LONG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286" w:lineRule="auto"/>
        <w:rPr>
          <w:sz w:val="20"/>
          <w:szCs w:val="20"/>
          <w:color w:val="auto"/>
        </w:rPr>
      </w:pPr>
      <w:r>
        <w:rPr>
          <w:rFonts w:ascii="Times New Roman" w:cs="Times New Roman" w:eastAsia="Times New Roman" w:hAnsi="Times New Roman"/>
          <w:sz w:val="17"/>
          <w:szCs w:val="17"/>
          <w:color w:val="0000FF"/>
        </w:rPr>
        <w:t>C/O NAVITAS SEMICONDUCTOR 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Navitas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NVTS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3" w:lineRule="exact"/>
        <w:rPr>
          <w:sz w:val="24"/>
          <w:szCs w:val="24"/>
          <w:color w:val="auto"/>
        </w:rPr>
      </w:pPr>
    </w:p>
    <w:p>
      <w:pPr>
        <w:sectPr>
          <w:pgSz w:w="11900" w:h="16838" w:orient="portrait"/>
          <w:cols w:equalWidth="0" w:num="3">
            <w:col w:w="3200" w:space="720"/>
            <w:col w:w="3220" w:space="59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3520 CHALLENGER STREET</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8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7"/>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TORRANCE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90503-1640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Atlantic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0000FF"/>
              </w:rPr>
              <w:t>09/11/2025</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455,596</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6.0498</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2,215,395</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Bridge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III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22,048</w:t>
            </w:r>
            <w:r>
              <w:rPr>
                <w:rFonts w:ascii="Times New Roman" w:cs="Times New Roman" w:eastAsia="Times New Roman" w:hAnsi="Times New Roman"/>
                <w:sz w:val="22"/>
                <w:szCs w:val="22"/>
                <w:color w:val="008000"/>
                <w:vertAlign w:val="superscript"/>
              </w:rPr>
              <w:t>(3)</w:t>
            </w:r>
          </w:p>
        </w:tc>
        <w:tc>
          <w:tcPr>
            <w:tcW w:w="920" w:type="dxa"/>
            <w:vAlign w:val="bottom"/>
            <w:tcBorders>
              <w:top w:val="single" w:sz="8" w:color="2C2C2C"/>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in multiple trades at prices ranging from $5.8300 to $6.1300, inclusive. The price reported above reflects the weighted-average sale price. The reporting person undertakes to provide to the issuer, any security holder of the issuer, or the staff of the Securities and Exchange Commission, upon request,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managing director of Atlantic Bridge III LP. The reporting person disclaims beneficial ownership of the reported shares except to the extent of his pecuniary interest therein.</w:t>
      </w:r>
    </w:p>
    <w:p>
      <w:pPr>
        <w:sectPr>
          <w:pgSz w:w="11900" w:h="16838" w:orient="portrait"/>
          <w:cols w:equalWidth="0" w:num="1">
            <w:col w:w="11080"/>
          </w:cols>
          <w:pgMar w:left="460" w:top="219" w:right="359" w:bottom="144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3. Reflects shares underlying unvested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Paul D. Delva,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1010" TargetMode="External"/><Relationship Id="rId14"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2025-09-15T20:38:29Z</dcterms:created>
  <dcterms:modified xsi:type="dcterms:W3CDTF">2025-09-15T20:38:29Z</dcterms:modified>
</cp:coreProperties>
</file>