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239d1_s3asr.htm"/>
      <w:bookmarkStart w:id="1" w:name="kstm2613239d1_s3asr"/>
      <w:bookmarkEnd w:id="0"/>
      <w:bookmarkEnd w:id="1"/>
      <w:r>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May 11,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br/>
        <w:b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350" w:type="dxa"/>
        <w:jc w:val="left"/>
        <w:tblInd w:w="0" w:type="dxa"/>
        <w:tblLayout w:type="fixed"/>
        <w:tblCellMar>
          <w:top w:w="0" w:type="dxa"/>
          <w:left w:w="0" w:type="dxa"/>
          <w:bottom w:w="28" w:type="dxa"/>
          <w:right w:w="0" w:type="dxa"/>
        </w:tblCellMar>
      </w:tblPr>
      <w:tblGrid>
        <w:gridCol w:w="6350"/>
      </w:tblGrid>
      <w:tr>
        <w:trPr/>
        <w:tc>
          <w:tcPr>
            <w:tcW w:w="6350" w:type="dxa"/>
            <w:tcBorders>
              <w:bottom w:val="single" w:sz="8" w:space="0" w:color="000000"/>
            </w:tcBorders>
            <w:vAlign w:val="center"/>
          </w:tcPr>
          <w:p>
            <w:pPr>
              <w:pStyle w:val="TableContents"/>
              <w:bidi w:val="0"/>
              <w:spacing w:before="0" w:after="283"/>
              <w:jc w:val="center"/>
              <w:rPr>
                <w:b/>
                <w:sz w:val="28"/>
              </w:rPr>
            </w:pPr>
            <w:r>
              <w:rPr>
                <w:b/>
                <w:sz w:val="28"/>
              </w:rPr>
              <w:t>NAVITAS SEMICONDUCTOR CORPORATION</w:t>
            </w:r>
          </w:p>
        </w:tc>
      </w:tr>
      <w:tr>
        <w:trPr/>
        <w:tc>
          <w:tcPr>
            <w:tcW w:w="6350"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715" w:type="dxa"/>
        <w:jc w:val="left"/>
        <w:tblInd w:w="0" w:type="dxa"/>
        <w:tblLayout w:type="fixed"/>
        <w:tblCellMar>
          <w:top w:w="0" w:type="dxa"/>
          <w:left w:w="0" w:type="dxa"/>
          <w:bottom w:w="28" w:type="dxa"/>
          <w:right w:w="0" w:type="dxa"/>
        </w:tblCellMar>
      </w:tblPr>
      <w:tblGrid>
        <w:gridCol w:w="3740"/>
        <w:gridCol w:w="60"/>
        <w:gridCol w:w="2915"/>
      </w:tblGrid>
      <w:tr>
        <w:trPr/>
        <w:tc>
          <w:tcPr>
            <w:tcW w:w="3740" w:type="dxa"/>
            <w:tcBorders>
              <w:bottom w:val="single" w:sz="8"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8" w:space="0" w:color="000000"/>
            </w:tcBorders>
            <w:vAlign w:val="center"/>
          </w:tcPr>
          <w:p>
            <w:pPr>
              <w:pStyle w:val="TableContents"/>
              <w:bidi w:val="0"/>
              <w:spacing w:before="0" w:after="283"/>
              <w:jc w:val="center"/>
              <w:rPr>
                <w:b/>
                <w:sz w:val="20"/>
              </w:rPr>
            </w:pPr>
            <w:r>
              <w:rPr>
                <w:b/>
                <w:sz w:val="20"/>
              </w:rPr>
              <w:t>85-2560226</w:t>
            </w:r>
          </w:p>
        </w:tc>
      </w:tr>
      <w:tr>
        <w:trPr/>
        <w:tc>
          <w:tcPr>
            <w:tcW w:w="3740" w:type="dxa"/>
            <w:tcBorders/>
            <w:tcMar>
              <w:bottom w:w="0" w:type="dxa"/>
            </w:tcMar>
            <w:vAlign w:val="center"/>
          </w:tcPr>
          <w:p>
            <w:pPr>
              <w:pStyle w:val="TableContents"/>
              <w:bidi w:val="0"/>
              <w:spacing w:before="0" w:after="283"/>
              <w:jc w:val="center"/>
              <w:rPr>
                <w:sz w:val="20"/>
              </w:rPr>
            </w:pPr>
            <w:r>
              <w:rPr>
                <w:sz w:val="20"/>
              </w:rPr>
              <w:t>(State or other jurisdiction of incorporation or</w:t>
              <w:br/>
              <w:t>organization</w:t>
            </w:r>
            <w:r>
              <w:rPr>
                <w:b/>
                <w:sz w:val="20"/>
              </w:rPr>
              <w:t>)</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7955" w:type="dxa"/>
        <w:jc w:val="left"/>
        <w:tblInd w:w="0" w:type="dxa"/>
        <w:tblLayout w:type="fixed"/>
        <w:tblCellMar>
          <w:top w:w="0" w:type="dxa"/>
          <w:left w:w="0" w:type="dxa"/>
          <w:bottom w:w="28" w:type="dxa"/>
          <w:right w:w="0" w:type="dxa"/>
        </w:tblCellMar>
      </w:tblPr>
      <w:tblGrid>
        <w:gridCol w:w="7955"/>
      </w:tblGrid>
      <w:tr>
        <w:trPr/>
        <w:tc>
          <w:tcPr>
            <w:tcW w:w="79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3520 Challenger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Torrance, California 90503-1640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(844) 654-2642</w:t>
            </w:r>
          </w:p>
        </w:tc>
      </w:tr>
      <w:tr>
        <w:trPr/>
        <w:tc>
          <w:tcPr>
            <w:tcW w:w="7955" w:type="dxa"/>
            <w:tcBorders/>
            <w:tcMar>
              <w:bottom w:w="0" w:type="dxa"/>
            </w:tcMar>
            <w:vAlign w:val="center"/>
          </w:tcPr>
          <w:p>
            <w:pPr>
              <w:pStyle w:val="TableContents"/>
              <w:bidi w:val="0"/>
              <w:spacing w:before="0" w:after="283"/>
              <w:jc w:val="center"/>
              <w:rPr>
                <w:sz w:val="20"/>
              </w:rPr>
            </w:pPr>
            <w:r>
              <w:rPr>
                <w:sz w:val="20"/>
              </w:rPr>
              <w:t>(Address, including zip code, and telephone number, including area code, of registrant’s principal</w:t>
              <w:br/>
              <w:t>executive offices)</w:t>
            </w:r>
          </w:p>
        </w:tc>
      </w:tr>
    </w:tbl>
    <w:p>
      <w:pPr>
        <w:pStyle w:val="TextBody"/>
        <w:bidi w:val="0"/>
        <w:spacing w:before="0" w:after="0"/>
        <w:ind w:left="0" w:right="0" w:hanging="0"/>
        <w:jc w:val="left"/>
        <w:rPr>
          <w:caps w:val="false"/>
          <w:smallCaps w:val="false"/>
        </w:rPr>
      </w:pPr>
      <w:r>
        <w:rPr>
          <w:caps w:val="false"/>
          <w:smallCaps w:val="false"/>
        </w:rPr>
        <w:t> </w:t>
      </w:r>
    </w:p>
    <w:tbl>
      <w:tblPr>
        <w:tblW w:w="8180" w:type="dxa"/>
        <w:jc w:val="left"/>
        <w:tblInd w:w="0" w:type="dxa"/>
        <w:tblLayout w:type="fixed"/>
        <w:tblCellMar>
          <w:top w:w="0" w:type="dxa"/>
          <w:left w:w="0" w:type="dxa"/>
          <w:bottom w:w="28" w:type="dxa"/>
          <w:right w:w="0" w:type="dxa"/>
        </w:tblCellMar>
      </w:tblPr>
      <w:tblGrid>
        <w:gridCol w:w="8180"/>
      </w:tblGrid>
      <w:tr>
        <w:trPr/>
        <w:tc>
          <w:tcPr>
            <w:tcW w:w="81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Sant, Esq.</w:t>
              <w:br/>
              <w:t>Senior Vice President, General Counsel and Secretary</w:t>
              <w:br/>
              <w:t>Navitas Semiconductor Corporation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3520 Challenger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Torrance, California 90503-1640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(844) 654-2642</w:t>
            </w:r>
          </w:p>
        </w:tc>
      </w:tr>
      <w:tr>
        <w:trPr/>
        <w:tc>
          <w:tcPr>
            <w:tcW w:w="8180" w:type="dxa"/>
            <w:tcBorders/>
            <w:tcMar>
              <w:bottom w:w="0" w:type="dxa"/>
            </w:tcMar>
            <w:vAlign w:val="center"/>
          </w:tcPr>
          <w:p>
            <w:pPr>
              <w:pStyle w:val="TableContents"/>
              <w:bidi w:val="0"/>
              <w:spacing w:before="0" w:after="283"/>
              <w:jc w:val="center"/>
              <w:rPr>
                <w:sz w:val="20"/>
              </w:rPr>
            </w:pPr>
            <w:r>
              <w:rPr>
                <w:sz w:val="20"/>
              </w:rPr>
              <w:t>(Name, address, including zip code, and telephone number, including area code, of agent for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Katheryn A. Gettman,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J. Roggow,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Cozen O’Connor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World Trade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Greenwich Street, 56th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212-908-1294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classes of additional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sz w:val="20"/>
              </w:rPr>
            </w:pPr>
            <w:r>
              <w:rPr>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sz w:val="20"/>
              </w:rPr>
            </w:pPr>
            <w:r>
              <w:rPr>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1835" w:type="dxa"/>
            <w:tcBorders/>
            <w:vAlign w:val="center"/>
          </w:tcPr>
          <w:p>
            <w:pPr>
              <w:pStyle w:val="TableContents"/>
              <w:bidi w:val="0"/>
              <w:spacing w:before="0" w:after="283"/>
              <w:jc w:val="both"/>
              <w:rPr>
                <w:sz w:val="20"/>
              </w:rPr>
            </w:pPr>
            <w:r>
              <w:rPr>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80260" cy="4495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0260" cy="44958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b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identified above from time to time, or any combination thereof, in one or more offerings in amounts, at prices and on terms that we determine at the time of the offering. This prospectus provides you with a general description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This prospectus may not be used to offer and sell securities without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w:t>
      </w:r>
      <w:r>
        <w:rPr>
          <w:rFonts w:ascii="Times New Roman;Times;Serif" w:hAnsi="Times New Roman;Times;Serif"/>
          <w:b w:val="false"/>
          <w:i/>
          <w:caps w:val="false"/>
          <w:smallCaps w:val="false"/>
          <w:sz w:val="20"/>
        </w:rPr>
        <w:t>About this Prospectus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SIGNIFICANT RISKS. SEE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ON PAGE 6 OF THIS PROSPECTUS AND ANY SIMILAR SECTION CONTAINED IN THE APPLICABLE PROSPECTUS SUPPLEMENT CONCERNING FACTORS YOU SHOULD CONSIDER BEFORE INVESTING IN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(the “</w:t>
      </w:r>
      <w:r>
        <w:rPr>
          <w:rFonts w:ascii="Times New Roman;Times;Serif" w:hAnsi="Times New Roman;Times;Serif"/>
          <w:b w:val="false"/>
          <w:i/>
          <w:caps w:val="false"/>
          <w:smallCaps w:val="false"/>
          <w:sz w:val="20"/>
        </w:rPr>
        <w:t>Class A Common Stock</w:t>
      </w:r>
      <w:r>
        <w:rPr>
          <w:rFonts w:ascii="Times New Roman;Times;Serif" w:hAnsi="Times New Roman;Times;Serif"/>
          <w:b w:val="false"/>
          <w:i w:val="false"/>
          <w:caps w:val="false"/>
          <w:smallCaps w:val="false"/>
          <w:sz w:val="20"/>
        </w:rPr>
        <w:t>”) is listed on The Nasdaq Global Market (“</w:t>
      </w:r>
      <w:r>
        <w:rPr>
          <w:rFonts w:ascii="Times New Roman;Times;Serif" w:hAnsi="Times New Roman;Times;Serif"/>
          <w:b w:val="false"/>
          <w:i/>
          <w:caps w:val="false"/>
          <w:smallCaps w:val="false"/>
          <w:sz w:val="20"/>
        </w:rPr>
        <w:t>Nasdaq</w:t>
      </w:r>
      <w:r>
        <w:rPr>
          <w:rFonts w:ascii="Times New Roman;Times;Serif" w:hAnsi="Times New Roman;Times;Serif"/>
          <w:b w:val="false"/>
          <w:i w:val="false"/>
          <w:caps w:val="false"/>
          <w:smallCaps w:val="false"/>
          <w:sz w:val="20"/>
        </w:rPr>
        <w:t>”) under the symbol “NVTS.” On May 8, 2026, the last reported sale price of the Class A Common Stock on Nasdaq was $18.20 per share. If we decide to list or seek a quotation for any other securities, the prospectus supplement relating to those securities will disclose the exchange or market on which those securities will be listed or quoted.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6350"/>
        <w:gridCol w:w="530"/>
      </w:tblGrid>
      <w:tr>
        <w:trPr/>
        <w:tc>
          <w:tcPr>
            <w:tcW w:w="635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PAGE</w:t>
            </w:r>
          </w:p>
        </w:tc>
      </w:tr>
      <w:tr>
        <w:trPr/>
        <w:tc>
          <w:tcPr>
            <w:tcW w:w="635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6350" w:type="dxa"/>
            <w:tcBorders/>
            <w:shd w:fill="CCEEFF" w:val="clear"/>
            <w:vAlign w:val="center"/>
          </w:tcPr>
          <w:p>
            <w:pPr>
              <w:pStyle w:val="TableContents"/>
              <w:bidi w:val="0"/>
              <w:spacing w:before="0" w:after="283"/>
              <w:jc w:val="left"/>
              <w:rPr/>
            </w:pPr>
            <w:hyperlink w:anchor="ss01">
              <w:r>
                <w:rPr>
                  <w:rStyle w:val="InternetLink"/>
                  <w:sz w:val="20"/>
                </w:rPr>
                <w:t>ABOUT THIS PROSPECTUS</w:t>
              </w:r>
            </w:hyperlink>
          </w:p>
        </w:tc>
        <w:tc>
          <w:tcPr>
            <w:tcW w:w="530" w:type="dxa"/>
            <w:tcBorders/>
            <w:shd w:fill="CCEEFF" w:val="clear"/>
            <w:vAlign w:val="center"/>
          </w:tcPr>
          <w:p>
            <w:pPr>
              <w:pStyle w:val="TableContents"/>
              <w:bidi w:val="0"/>
              <w:spacing w:before="0" w:after="283"/>
              <w:jc w:val="center"/>
              <w:rPr/>
            </w:pPr>
            <w:hyperlink w:anchor="ss01">
              <w:r>
                <w:rPr>
                  <w:rStyle w:val="InternetLink"/>
                  <w:sz w:val="20"/>
                </w:rPr>
                <w:t>1</w:t>
              </w:r>
            </w:hyperlink>
          </w:p>
        </w:tc>
      </w:tr>
      <w:tr>
        <w:trPr/>
        <w:tc>
          <w:tcPr>
            <w:tcW w:w="6350" w:type="dxa"/>
            <w:tcBorders/>
            <w:shd w:fill="FFFFFF" w:val="clear"/>
            <w:vAlign w:val="center"/>
          </w:tcPr>
          <w:p>
            <w:pPr>
              <w:pStyle w:val="TableContents"/>
              <w:bidi w:val="0"/>
              <w:spacing w:before="0" w:after="283"/>
              <w:jc w:val="left"/>
              <w:rPr/>
            </w:pPr>
            <w:hyperlink w:anchor="ss02">
              <w:r>
                <w:rPr>
                  <w:rStyle w:val="InternetLink"/>
                  <w:sz w:val="20"/>
                </w:rPr>
                <w:t>CAUTIONARY NOTES REGARDING FORWARD-LOOKING STATEMENTS</w:t>
              </w:r>
            </w:hyperlink>
          </w:p>
        </w:tc>
        <w:tc>
          <w:tcPr>
            <w:tcW w:w="530" w:type="dxa"/>
            <w:tcBorders/>
            <w:shd w:fill="FFFFFF" w:val="clear"/>
            <w:vAlign w:val="center"/>
          </w:tcPr>
          <w:p>
            <w:pPr>
              <w:pStyle w:val="TableContents"/>
              <w:bidi w:val="0"/>
              <w:spacing w:before="0" w:after="283"/>
              <w:jc w:val="center"/>
              <w:rPr/>
            </w:pPr>
            <w:hyperlink w:anchor="ss02">
              <w:r>
                <w:rPr>
                  <w:rStyle w:val="InternetLink"/>
                  <w:sz w:val="20"/>
                </w:rPr>
                <w:t>2</w:t>
              </w:r>
            </w:hyperlink>
          </w:p>
        </w:tc>
      </w:tr>
      <w:tr>
        <w:trPr/>
        <w:tc>
          <w:tcPr>
            <w:tcW w:w="6350" w:type="dxa"/>
            <w:tcBorders/>
            <w:shd w:fill="CCEEFF" w:val="clear"/>
            <w:vAlign w:val="center"/>
          </w:tcPr>
          <w:p>
            <w:pPr>
              <w:pStyle w:val="TableContents"/>
              <w:bidi w:val="0"/>
              <w:spacing w:before="0" w:after="283"/>
              <w:jc w:val="left"/>
              <w:rPr/>
            </w:pPr>
            <w:hyperlink w:anchor="ss03">
              <w:r>
                <w:rPr>
                  <w:rStyle w:val="InternetLink"/>
                  <w:sz w:val="20"/>
                </w:rPr>
                <w:t>WHERE YOU CAN FIND MORE INFORMATION</w:t>
              </w:r>
            </w:hyperlink>
          </w:p>
        </w:tc>
        <w:tc>
          <w:tcPr>
            <w:tcW w:w="530" w:type="dxa"/>
            <w:tcBorders/>
            <w:shd w:fill="CCEEFF" w:val="clear"/>
            <w:vAlign w:val="center"/>
          </w:tcPr>
          <w:p>
            <w:pPr>
              <w:pStyle w:val="TableContents"/>
              <w:bidi w:val="0"/>
              <w:spacing w:before="0" w:after="283"/>
              <w:jc w:val="center"/>
              <w:rPr/>
            </w:pPr>
            <w:hyperlink w:anchor="ss03">
              <w:r>
                <w:rPr>
                  <w:rStyle w:val="InternetLink"/>
                  <w:sz w:val="20"/>
                </w:rPr>
                <w:t>3</w:t>
              </w:r>
            </w:hyperlink>
          </w:p>
        </w:tc>
      </w:tr>
      <w:tr>
        <w:trPr/>
        <w:tc>
          <w:tcPr>
            <w:tcW w:w="6350" w:type="dxa"/>
            <w:tcBorders/>
            <w:shd w:fill="FFFFFF" w:val="clear"/>
            <w:vAlign w:val="center"/>
          </w:tcPr>
          <w:p>
            <w:pPr>
              <w:pStyle w:val="TableContents"/>
              <w:bidi w:val="0"/>
              <w:spacing w:before="0" w:after="283"/>
              <w:jc w:val="left"/>
              <w:rPr/>
            </w:pPr>
            <w:hyperlink w:anchor="ss04">
              <w:r>
                <w:rPr>
                  <w:rStyle w:val="InternetLink"/>
                  <w:sz w:val="20"/>
                </w:rPr>
                <w:t>INCORPORATION OF CERTAIN INFORMATION BY REFERENCE</w:t>
              </w:r>
            </w:hyperlink>
          </w:p>
        </w:tc>
        <w:tc>
          <w:tcPr>
            <w:tcW w:w="530" w:type="dxa"/>
            <w:tcBorders/>
            <w:shd w:fill="FFFFFF" w:val="clear"/>
            <w:vAlign w:val="center"/>
          </w:tcPr>
          <w:p>
            <w:pPr>
              <w:pStyle w:val="TableContents"/>
              <w:bidi w:val="0"/>
              <w:spacing w:before="0" w:after="283"/>
              <w:jc w:val="center"/>
              <w:rPr/>
            </w:pPr>
            <w:hyperlink w:anchor="ss04">
              <w:r>
                <w:rPr>
                  <w:rStyle w:val="InternetLink"/>
                  <w:sz w:val="20"/>
                </w:rPr>
                <w:t>4</w:t>
              </w:r>
            </w:hyperlink>
          </w:p>
        </w:tc>
      </w:tr>
      <w:tr>
        <w:trPr/>
        <w:tc>
          <w:tcPr>
            <w:tcW w:w="6350" w:type="dxa"/>
            <w:tcBorders/>
            <w:shd w:fill="CCEEFF" w:val="clear"/>
            <w:vAlign w:val="center"/>
          </w:tcPr>
          <w:p>
            <w:pPr>
              <w:pStyle w:val="TableContents"/>
              <w:bidi w:val="0"/>
              <w:spacing w:before="0" w:after="283"/>
              <w:jc w:val="left"/>
              <w:rPr/>
            </w:pPr>
            <w:hyperlink w:anchor="ss05">
              <w:r>
                <w:rPr>
                  <w:rStyle w:val="InternetLink"/>
                  <w:sz w:val="20"/>
                </w:rPr>
                <w:t>THE COMPANY</w:t>
              </w:r>
            </w:hyperlink>
          </w:p>
        </w:tc>
        <w:tc>
          <w:tcPr>
            <w:tcW w:w="530" w:type="dxa"/>
            <w:tcBorders/>
            <w:shd w:fill="CCEEFF" w:val="clear"/>
            <w:vAlign w:val="center"/>
          </w:tcPr>
          <w:p>
            <w:pPr>
              <w:pStyle w:val="TableContents"/>
              <w:bidi w:val="0"/>
              <w:spacing w:before="0" w:after="283"/>
              <w:jc w:val="center"/>
              <w:rPr/>
            </w:pPr>
            <w:hyperlink w:anchor="ss05">
              <w:r>
                <w:rPr>
                  <w:rStyle w:val="InternetLink"/>
                  <w:sz w:val="20"/>
                </w:rPr>
                <w:t>5</w:t>
              </w:r>
            </w:hyperlink>
          </w:p>
        </w:tc>
      </w:tr>
      <w:tr>
        <w:trPr/>
        <w:tc>
          <w:tcPr>
            <w:tcW w:w="6350" w:type="dxa"/>
            <w:tcBorders/>
            <w:shd w:fill="FFFFFF" w:val="clear"/>
            <w:vAlign w:val="center"/>
          </w:tcPr>
          <w:p>
            <w:pPr>
              <w:pStyle w:val="TableContents"/>
              <w:bidi w:val="0"/>
              <w:spacing w:before="0" w:after="283"/>
              <w:jc w:val="left"/>
              <w:rPr/>
            </w:pPr>
            <w:hyperlink w:anchor="ss06">
              <w:r>
                <w:rPr>
                  <w:rStyle w:val="InternetLink"/>
                  <w:sz w:val="20"/>
                </w:rPr>
                <w:t>RISK FACTORS</w:t>
              </w:r>
            </w:hyperlink>
          </w:p>
        </w:tc>
        <w:tc>
          <w:tcPr>
            <w:tcW w:w="530" w:type="dxa"/>
            <w:tcBorders/>
            <w:shd w:fill="FFFFFF" w:val="clear"/>
            <w:vAlign w:val="center"/>
          </w:tcPr>
          <w:p>
            <w:pPr>
              <w:pStyle w:val="TableContents"/>
              <w:bidi w:val="0"/>
              <w:spacing w:before="0" w:after="283"/>
              <w:jc w:val="center"/>
              <w:rPr/>
            </w:pPr>
            <w:hyperlink w:anchor="ss06">
              <w:r>
                <w:rPr>
                  <w:rStyle w:val="InternetLink"/>
                  <w:sz w:val="20"/>
                </w:rPr>
                <w:t>6</w:t>
              </w:r>
            </w:hyperlink>
          </w:p>
        </w:tc>
      </w:tr>
      <w:tr>
        <w:trPr/>
        <w:tc>
          <w:tcPr>
            <w:tcW w:w="6350" w:type="dxa"/>
            <w:tcBorders/>
            <w:shd w:fill="CCEEFF" w:val="clear"/>
            <w:vAlign w:val="center"/>
          </w:tcPr>
          <w:p>
            <w:pPr>
              <w:pStyle w:val="TableContents"/>
              <w:bidi w:val="0"/>
              <w:spacing w:before="0" w:after="283"/>
              <w:jc w:val="left"/>
              <w:rPr/>
            </w:pPr>
            <w:hyperlink w:anchor="ss07">
              <w:r>
                <w:rPr>
                  <w:rStyle w:val="InternetLink"/>
                  <w:sz w:val="20"/>
                </w:rPr>
                <w:t>USE OF PROCEEDS</w:t>
              </w:r>
            </w:hyperlink>
          </w:p>
        </w:tc>
        <w:tc>
          <w:tcPr>
            <w:tcW w:w="530" w:type="dxa"/>
            <w:tcBorders/>
            <w:shd w:fill="CCEEFF" w:val="clear"/>
            <w:vAlign w:val="center"/>
          </w:tcPr>
          <w:p>
            <w:pPr>
              <w:pStyle w:val="TableContents"/>
              <w:bidi w:val="0"/>
              <w:spacing w:before="0" w:after="283"/>
              <w:jc w:val="center"/>
              <w:rPr/>
            </w:pPr>
            <w:hyperlink w:anchor="ss07">
              <w:r>
                <w:rPr>
                  <w:rStyle w:val="InternetLink"/>
                  <w:sz w:val="20"/>
                </w:rPr>
                <w:t>7</w:t>
              </w:r>
            </w:hyperlink>
          </w:p>
        </w:tc>
      </w:tr>
      <w:tr>
        <w:trPr/>
        <w:tc>
          <w:tcPr>
            <w:tcW w:w="6350" w:type="dxa"/>
            <w:tcBorders/>
            <w:shd w:fill="FFFFFF" w:val="clear"/>
            <w:vAlign w:val="center"/>
          </w:tcPr>
          <w:p>
            <w:pPr>
              <w:pStyle w:val="TableContents"/>
              <w:bidi w:val="0"/>
              <w:spacing w:before="0" w:after="283"/>
              <w:jc w:val="left"/>
              <w:rPr/>
            </w:pPr>
            <w:hyperlink w:anchor="ss09">
              <w:r>
                <w:rPr>
                  <w:rStyle w:val="InternetLink"/>
                  <w:sz w:val="20"/>
                </w:rPr>
                <w:t>DESCRIPTION OF CAPITAL STOCK</w:t>
              </w:r>
            </w:hyperlink>
          </w:p>
        </w:tc>
        <w:tc>
          <w:tcPr>
            <w:tcW w:w="530" w:type="dxa"/>
            <w:tcBorders/>
            <w:shd w:fill="FFFFFF" w:val="clear"/>
            <w:vAlign w:val="center"/>
          </w:tcPr>
          <w:p>
            <w:pPr>
              <w:pStyle w:val="TableContents"/>
              <w:bidi w:val="0"/>
              <w:spacing w:before="0" w:after="283"/>
              <w:jc w:val="center"/>
              <w:rPr/>
            </w:pPr>
            <w:hyperlink w:anchor="ss09">
              <w:r>
                <w:rPr>
                  <w:rStyle w:val="InternetLink"/>
                  <w:sz w:val="20"/>
                </w:rPr>
                <w:t>8</w:t>
              </w:r>
            </w:hyperlink>
          </w:p>
        </w:tc>
      </w:tr>
      <w:tr>
        <w:trPr/>
        <w:tc>
          <w:tcPr>
            <w:tcW w:w="6350" w:type="dxa"/>
            <w:tcBorders/>
            <w:shd w:fill="CCEEFF" w:val="clear"/>
            <w:vAlign w:val="center"/>
          </w:tcPr>
          <w:p>
            <w:pPr>
              <w:pStyle w:val="TableContents"/>
              <w:bidi w:val="0"/>
              <w:spacing w:before="0" w:after="283"/>
              <w:jc w:val="left"/>
              <w:rPr/>
            </w:pPr>
            <w:hyperlink w:anchor="ss10">
              <w:r>
                <w:rPr>
                  <w:rStyle w:val="InternetLink"/>
                  <w:sz w:val="20"/>
                </w:rPr>
                <w:t>DESCRIPTION OF DEBT SECURITIES</w:t>
              </w:r>
            </w:hyperlink>
          </w:p>
        </w:tc>
        <w:tc>
          <w:tcPr>
            <w:tcW w:w="530" w:type="dxa"/>
            <w:tcBorders/>
            <w:shd w:fill="CCEEFF" w:val="clear"/>
            <w:vAlign w:val="center"/>
          </w:tcPr>
          <w:p>
            <w:pPr>
              <w:pStyle w:val="TableContents"/>
              <w:bidi w:val="0"/>
              <w:spacing w:before="0" w:after="283"/>
              <w:jc w:val="center"/>
              <w:rPr/>
            </w:pPr>
            <w:hyperlink w:anchor="ss10">
              <w:r>
                <w:rPr>
                  <w:rStyle w:val="InternetLink"/>
                  <w:sz w:val="20"/>
                </w:rPr>
                <w:t>11</w:t>
              </w:r>
            </w:hyperlink>
          </w:p>
        </w:tc>
      </w:tr>
      <w:tr>
        <w:trPr/>
        <w:tc>
          <w:tcPr>
            <w:tcW w:w="6350" w:type="dxa"/>
            <w:tcBorders/>
            <w:shd w:fill="FFFFFF" w:val="clear"/>
            <w:vAlign w:val="center"/>
          </w:tcPr>
          <w:p>
            <w:pPr>
              <w:pStyle w:val="TableContents"/>
              <w:bidi w:val="0"/>
              <w:spacing w:before="0" w:after="283"/>
              <w:jc w:val="left"/>
              <w:rPr/>
            </w:pPr>
            <w:hyperlink w:anchor="ss11">
              <w:r>
                <w:rPr>
                  <w:rStyle w:val="InternetLink"/>
                  <w:sz w:val="20"/>
                </w:rPr>
                <w:t>DESCRIPTION OF THE WARRANTS</w:t>
              </w:r>
            </w:hyperlink>
          </w:p>
        </w:tc>
        <w:tc>
          <w:tcPr>
            <w:tcW w:w="530" w:type="dxa"/>
            <w:tcBorders/>
            <w:shd w:fill="FFFFFF" w:val="clear"/>
            <w:vAlign w:val="center"/>
          </w:tcPr>
          <w:p>
            <w:pPr>
              <w:pStyle w:val="TableContents"/>
              <w:bidi w:val="0"/>
              <w:spacing w:before="0" w:after="283"/>
              <w:jc w:val="center"/>
              <w:rPr/>
            </w:pPr>
            <w:hyperlink w:anchor="ss11">
              <w:r>
                <w:rPr>
                  <w:rStyle w:val="InternetLink"/>
                  <w:sz w:val="20"/>
                </w:rPr>
                <w:t>18</w:t>
              </w:r>
            </w:hyperlink>
          </w:p>
        </w:tc>
      </w:tr>
      <w:tr>
        <w:trPr/>
        <w:tc>
          <w:tcPr>
            <w:tcW w:w="6350" w:type="dxa"/>
            <w:tcBorders/>
            <w:shd w:fill="CCEEFF" w:val="clear"/>
            <w:vAlign w:val="center"/>
          </w:tcPr>
          <w:p>
            <w:pPr>
              <w:pStyle w:val="TableContents"/>
              <w:bidi w:val="0"/>
              <w:spacing w:before="0" w:after="283"/>
              <w:jc w:val="left"/>
              <w:rPr/>
            </w:pPr>
            <w:hyperlink w:anchor="ss12">
              <w:r>
                <w:rPr>
                  <w:rStyle w:val="InternetLink"/>
                  <w:sz w:val="20"/>
                </w:rPr>
                <w:t>DESCRIPTION OF THE RIGHTS</w:t>
              </w:r>
            </w:hyperlink>
          </w:p>
        </w:tc>
        <w:tc>
          <w:tcPr>
            <w:tcW w:w="530" w:type="dxa"/>
            <w:tcBorders/>
            <w:shd w:fill="CCEEFF" w:val="clear"/>
            <w:vAlign w:val="center"/>
          </w:tcPr>
          <w:p>
            <w:pPr>
              <w:pStyle w:val="TableContents"/>
              <w:bidi w:val="0"/>
              <w:spacing w:before="0" w:after="283"/>
              <w:jc w:val="center"/>
              <w:rPr/>
            </w:pPr>
            <w:hyperlink w:anchor="ss12">
              <w:r>
                <w:rPr>
                  <w:rStyle w:val="InternetLink"/>
                  <w:sz w:val="20"/>
                </w:rPr>
                <w:t>20</w:t>
              </w:r>
            </w:hyperlink>
          </w:p>
        </w:tc>
      </w:tr>
      <w:tr>
        <w:trPr/>
        <w:tc>
          <w:tcPr>
            <w:tcW w:w="6350" w:type="dxa"/>
            <w:tcBorders/>
            <w:shd w:fill="FFFFFF" w:val="clear"/>
            <w:vAlign w:val="center"/>
          </w:tcPr>
          <w:p>
            <w:pPr>
              <w:pStyle w:val="TableContents"/>
              <w:bidi w:val="0"/>
              <w:spacing w:before="0" w:after="283"/>
              <w:jc w:val="left"/>
              <w:rPr/>
            </w:pPr>
            <w:hyperlink w:anchor="ss13">
              <w:r>
                <w:rPr>
                  <w:rStyle w:val="InternetLink"/>
                  <w:sz w:val="20"/>
                </w:rPr>
                <w:t>DESCRIPTION OF THE UNITS</w:t>
              </w:r>
            </w:hyperlink>
          </w:p>
        </w:tc>
        <w:tc>
          <w:tcPr>
            <w:tcW w:w="530" w:type="dxa"/>
            <w:tcBorders/>
            <w:shd w:fill="FFFFFF" w:val="clear"/>
            <w:vAlign w:val="center"/>
          </w:tcPr>
          <w:p>
            <w:pPr>
              <w:pStyle w:val="TableContents"/>
              <w:bidi w:val="0"/>
              <w:spacing w:before="0" w:after="283"/>
              <w:jc w:val="center"/>
              <w:rPr/>
            </w:pPr>
            <w:hyperlink w:anchor="ss13">
              <w:r>
                <w:rPr>
                  <w:rStyle w:val="InternetLink"/>
                  <w:sz w:val="20"/>
                </w:rPr>
                <w:t>21</w:t>
              </w:r>
            </w:hyperlink>
          </w:p>
        </w:tc>
      </w:tr>
      <w:tr>
        <w:trPr/>
        <w:tc>
          <w:tcPr>
            <w:tcW w:w="6350" w:type="dxa"/>
            <w:tcBorders/>
            <w:shd w:fill="CCEEFF" w:val="clear"/>
            <w:vAlign w:val="center"/>
          </w:tcPr>
          <w:p>
            <w:pPr>
              <w:pStyle w:val="TableContents"/>
              <w:bidi w:val="0"/>
              <w:spacing w:before="0" w:after="283"/>
              <w:jc w:val="left"/>
              <w:rPr/>
            </w:pPr>
            <w:hyperlink w:anchor="ss14">
              <w:r>
                <w:rPr>
                  <w:rStyle w:val="InternetLink"/>
                  <w:sz w:val="20"/>
                </w:rPr>
                <w:t>PLAN OF DISTRIBUTION</w:t>
              </w:r>
            </w:hyperlink>
          </w:p>
        </w:tc>
        <w:tc>
          <w:tcPr>
            <w:tcW w:w="530" w:type="dxa"/>
            <w:tcBorders/>
            <w:shd w:fill="CCEEFF" w:val="clear"/>
            <w:vAlign w:val="center"/>
          </w:tcPr>
          <w:p>
            <w:pPr>
              <w:pStyle w:val="TableContents"/>
              <w:bidi w:val="0"/>
              <w:spacing w:before="0" w:after="283"/>
              <w:jc w:val="center"/>
              <w:rPr/>
            </w:pPr>
            <w:hyperlink w:anchor="ss14">
              <w:r>
                <w:rPr>
                  <w:rStyle w:val="InternetLink"/>
                  <w:sz w:val="20"/>
                </w:rPr>
                <w:t>22</w:t>
              </w:r>
            </w:hyperlink>
          </w:p>
        </w:tc>
      </w:tr>
      <w:tr>
        <w:trPr/>
        <w:tc>
          <w:tcPr>
            <w:tcW w:w="6350" w:type="dxa"/>
            <w:tcBorders/>
            <w:shd w:fill="FFFFFF" w:val="clear"/>
            <w:vAlign w:val="center"/>
          </w:tcPr>
          <w:p>
            <w:pPr>
              <w:pStyle w:val="TableContents"/>
              <w:bidi w:val="0"/>
              <w:spacing w:before="0" w:after="283"/>
              <w:jc w:val="left"/>
              <w:rPr/>
            </w:pPr>
            <w:hyperlink w:anchor="ss15">
              <w:r>
                <w:rPr>
                  <w:rStyle w:val="InternetLink"/>
                  <w:sz w:val="20"/>
                </w:rPr>
                <w:t>LEGAL MATTERS</w:t>
              </w:r>
            </w:hyperlink>
          </w:p>
        </w:tc>
        <w:tc>
          <w:tcPr>
            <w:tcW w:w="530" w:type="dxa"/>
            <w:tcBorders/>
            <w:shd w:fill="FFFFFF" w:val="clear"/>
            <w:vAlign w:val="center"/>
          </w:tcPr>
          <w:p>
            <w:pPr>
              <w:pStyle w:val="TableContents"/>
              <w:bidi w:val="0"/>
              <w:spacing w:before="0" w:after="283"/>
              <w:jc w:val="center"/>
              <w:rPr/>
            </w:pPr>
            <w:hyperlink w:anchor="ss15">
              <w:r>
                <w:rPr>
                  <w:rStyle w:val="InternetLink"/>
                  <w:sz w:val="20"/>
                </w:rPr>
                <w:t>25</w:t>
              </w:r>
            </w:hyperlink>
          </w:p>
        </w:tc>
      </w:tr>
      <w:tr>
        <w:trPr/>
        <w:tc>
          <w:tcPr>
            <w:tcW w:w="6350" w:type="dxa"/>
            <w:tcBorders/>
            <w:shd w:fill="CCEEFF" w:val="clear"/>
            <w:vAlign w:val="center"/>
          </w:tcPr>
          <w:p>
            <w:pPr>
              <w:pStyle w:val="TableContents"/>
              <w:bidi w:val="0"/>
              <w:spacing w:before="0" w:after="283"/>
              <w:jc w:val="left"/>
              <w:rPr/>
            </w:pPr>
            <w:hyperlink w:anchor="ss16">
              <w:r>
                <w:rPr>
                  <w:rStyle w:val="InternetLink"/>
                  <w:sz w:val="20"/>
                </w:rPr>
                <w:t>EXPERTS</w:t>
              </w:r>
            </w:hyperlink>
          </w:p>
        </w:tc>
        <w:tc>
          <w:tcPr>
            <w:tcW w:w="530" w:type="dxa"/>
            <w:tcBorders/>
            <w:shd w:fill="CCEEFF" w:val="clear"/>
            <w:vAlign w:val="center"/>
          </w:tcPr>
          <w:p>
            <w:pPr>
              <w:pStyle w:val="TableContents"/>
              <w:bidi w:val="0"/>
              <w:spacing w:before="0" w:after="283"/>
              <w:jc w:val="center"/>
              <w:rPr/>
            </w:pPr>
            <w:hyperlink w:anchor="ss16">
              <w:r>
                <w:rPr>
                  <w:rStyle w:val="InternetLink"/>
                  <w:sz w:val="20"/>
                </w:rPr>
                <w:t>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s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understand the terms of the securities offered by this prospectus, you should carefully read this prospectus and any applicable prospectus supplement. You should also read the documents referred to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for information on us and the business conducted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filed with the Securities and Exchange Commission (the “</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We may also authorize one or more free writing prospectuses to be provided to you that may contain material information relating to these offerings. Any prospectus supplement or free writing prospectus may also add or update information contained in this prospectus. If there is any inconsistency between the information in this prospectus and the applicable prospectus supplement or free writing prospectus, you should rely on the prospectus supplement or free writing prospectus, as applicable. You should read both this prospectus and any prospectus supplement together with additional information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in any prospectus supplement or free writing prospectus.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indicates, references in this prospectus to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Navitas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our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us</w:t>
      </w:r>
      <w:r>
        <w:rPr>
          <w:rFonts w:ascii="Times New Roman;Times;Serif" w:hAnsi="Times New Roman;Times;Serif"/>
          <w:b w:val="false"/>
          <w:i w:val="false"/>
          <w:caps w:val="false"/>
          <w:smallCaps w:val="false"/>
          <w:sz w:val="20"/>
        </w:rPr>
        <w:t>” refer, collectively, to Navitas Semiconductor Corporation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s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and the documents incorporated by reference herein and therein contain forward-looking information within the meaning of the safe harbor provisions of the U.S. Private Securities Litigation Reform Act of 1995, which involve risks and uncertainties. The forward-looking statements relate to future events regarding such matters as anticipated financial performance, business prospects, technological developments, new products, research and development activities and similar matters. In order to comply with the terms of the safe harbor provisions, we note that a variety of factors could cause our actual results and experience to differ materially and adversely from the anticipated results or other expectations expressed in the forward-looking statements. The risks and uncertainties that may affect the operation, performance, development and results of our business include, but are not limited to, those matters discussed in our most recent Annual Report on Form 10-K, in the sections entitled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in the same sections of our subsequently-filed Quarterly Reports on Form 10-Q, as may be further updated by any Current Reports on Form 8-K that we may file. The words “believe,” “expect,” “anticipate,” “project,” “target,” “intend,” “plan,” “seek,” “estimate,” “endeavor,” “should,” “could,” “may” and similar expressions are intended to identify forward-looking statements. However, the absence of these words or similar expressions does not mean that a statement is not forward-looking. You are cautioned not to place undue reliance on these forward-looking statements, which speak only as of the date of the documents that contain them. We undertake no obligation to publicly revise or update forward-looking statements to reflect events or circumstances that arise after those dates, except as may be required under applicable law. Our actual results may differ from the anticipated results or other expectations expressed in such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s03"/>
      <w:bookmarkEnd w:id="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we filed a registration statement relating to the securities offered by this prospectus with the SEC. This prospectus is a part of that registration statement, which includes additional information.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Securities Exchange Act of 1934, as amended (the “</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and are required to file with the SEC annual, quarterly and current reports, proxy statements and other information. Our SEC filings are available to the public over the Internet at the SEC’s website at http://www.sec.gov. Copies of certain information filed by us with the SEC are also available on our website at https://ir.navitassemi.com. Our website is not a part of this prospectus and the information contained on, or accessible through, our website is not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s04"/>
      <w:bookmarkEnd w:id="5"/>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important information into this prospectus by referring you to other documents which contain that information, including documents that we have already filed with the SEC and documents that we will file later with the SEC. Any information that is incorporated by reference (or deemed incorporated by reference, as discussed below) will automatically update and supersede earlier-filed information. Because we are incorporating our future SEC filings by reference, this prospectus and any accompanying prospectus supplement will be continually updated by those future filings, and those future filings may modify or supersede some of the information included or incorporated by reference in this prospectus and such accompanying prospectus supplements. This means you must review all SEC filings that we incorporate by reference to determine if any of the statements in this prospectus, or in an accompanying prospectus supplement, or in any document previously incorporated by reference, have been modified or superseded by subsequent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have been filed by us with the SEC and are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 xml:space="preserve">our Annual Report on Form 10-K for the fiscal year ended December 31, 2025, filed with the SEC on </w:t>
            </w:r>
            <w:hyperlink r:id="rId3">
              <w:r>
                <w:rPr>
                  <w:rStyle w:val="InternetLink"/>
                </w:rPr>
                <w:t>February 27, 2026</w:t>
              </w:r>
            </w:hyperlink>
            <w:r>
              <w:rPr/>
              <w:t xml:space="preserve">, as amended by Amendment No. 1 to our Annual Report on Form 10-K/A for the fiscal year ended December 31, 2025, filed with the SEC on </w:t>
            </w:r>
            <w:hyperlink r:id="rId4">
              <w:r>
                <w:rPr>
                  <w:rStyle w:val="InternetLink"/>
                </w:rPr>
                <w:t>April 30,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Quarterly Report on Form 10-Q for the quarter ended March 31, 2026, filed with the SEC on </w:t>
            </w:r>
            <w:hyperlink r:id="rId5">
              <w:r>
                <w:rPr>
                  <w:rStyle w:val="InternetLink"/>
                </w:rPr>
                <w:t>May 5,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Current Reports on Form 8-K filed with the SEC on </w:t>
            </w:r>
            <w:hyperlink r:id="rId6">
              <w:r>
                <w:rPr>
                  <w:rStyle w:val="InternetLink"/>
                </w:rPr>
                <w:t>February 24, 2026</w:t>
              </w:r>
            </w:hyperlink>
            <w:r>
              <w:rPr/>
              <w:t xml:space="preserve">; </w:t>
            </w:r>
            <w:hyperlink r:id="rId7">
              <w:r>
                <w:rPr>
                  <w:rStyle w:val="InternetLink"/>
                </w:rPr>
                <w:t>February 24, 2026</w:t>
              </w:r>
            </w:hyperlink>
            <w:r>
              <w:rPr/>
              <w:t xml:space="preserve">; </w:t>
            </w:r>
            <w:hyperlink r:id="rId8">
              <w:r>
                <w:rPr>
                  <w:rStyle w:val="InternetLink"/>
                </w:rPr>
                <w:t>March 11, 2026</w:t>
              </w:r>
            </w:hyperlink>
            <w:r>
              <w:rPr/>
              <w:t xml:space="preserve">, </w:t>
            </w:r>
            <w:hyperlink r:id="rId9">
              <w:r>
                <w:rPr>
                  <w:rStyle w:val="InternetLink"/>
                </w:rPr>
                <w:t>March 17, 2026</w:t>
              </w:r>
            </w:hyperlink>
            <w:r>
              <w:rPr/>
              <w:t xml:space="preserve">, </w:t>
            </w:r>
            <w:hyperlink r:id="rId10">
              <w:r>
                <w:rPr>
                  <w:rStyle w:val="InternetLink"/>
                </w:rPr>
                <w:t>April 13, 2026,</w:t>
              </w:r>
            </w:hyperlink>
            <w:r>
              <w:rPr/>
              <w:t xml:space="preserve"> </w:t>
            </w:r>
            <w:hyperlink r:id="rId11">
              <w:r>
                <w:rPr>
                  <w:rStyle w:val="InternetLink"/>
                </w:rPr>
                <w:t>May 4, 2026</w:t>
              </w:r>
            </w:hyperlink>
            <w:r>
              <w:rPr/>
              <w:t xml:space="preserve"> and </w:t>
            </w:r>
            <w:hyperlink r:id="rId12">
              <w:r>
                <w:rPr>
                  <w:rStyle w:val="InternetLink"/>
                </w:rPr>
                <w:t>May 5, 2026</w:t>
              </w:r>
            </w:hyperlink>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description of our common stock contained in our Registration Statement on Form 8-A, filed with the SEC on </w:t>
            </w:r>
            <w:hyperlink r:id="rId13">
              <w:r>
                <w:rPr>
                  <w:rStyle w:val="InternetLink"/>
                </w:rPr>
                <w:t>October 19, 2021</w:t>
              </w:r>
            </w:hyperlink>
            <w:r>
              <w:rPr/>
              <w:t xml:space="preserve">, including any amendments filed for the purpose of updating such description, including </w:t>
            </w:r>
            <w:hyperlink r:id="rId14">
              <w:r>
                <w:rPr>
                  <w:rStyle w:val="InternetLink"/>
                </w:rPr>
                <w:t>Exhibit 4.1</w:t>
              </w:r>
            </w:hyperlink>
            <w:r>
              <w:rPr/>
              <w:t xml:space="preserve"> to our Annual Report on Form 10-K for the fiscal year ended December 31, 2025, as filed with the SEC on February 27,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we subsequently file with the SEC (other than any portion of such filings that are furnished under applicable SEC rules rather than filed) pursuant to Sections 13(a), 13(c), 14 and 15(d) of the Exchange Act, after the date of this prospectus and before the later of (1) the completion of the offering of the securities described in this prospectus and any prospectus supplement and (2) the date we stop offering securities pursuant to this prospectus and any prospectus supplement, will be deemed to be incorporated by reference into this prospectus and to be part of this prospectus from the date of filing of such reports and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in this prospectus, the prospectus supplement, any applicable pricing supplement or any document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be deemed not to constitute a part of this prospectus except as so modified or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each person, including any beneficial owner, to whom a prospectus is delivered, with a copy of all of the information that has been incorporated by reference in this prospectus but not delivered with the prospectus. You may obtain copies of these filings, at no cost, through the “</w:t>
      </w:r>
      <w:r>
        <w:rPr>
          <w:rFonts w:ascii="Times New Roman;Times;Serif" w:hAnsi="Times New Roman;Times;Serif"/>
          <w:b w:val="false"/>
          <w:i/>
          <w:caps w:val="false"/>
          <w:smallCaps w:val="false"/>
          <w:sz w:val="20"/>
        </w:rPr>
        <w:t>Investor Relations</w:t>
      </w:r>
      <w:r>
        <w:rPr>
          <w:rFonts w:ascii="Times New Roman;Times;Serif" w:hAnsi="Times New Roman;Times;Serif"/>
          <w:b w:val="false"/>
          <w:i w:val="false"/>
          <w:caps w:val="false"/>
          <w:smallCaps w:val="false"/>
          <w:sz w:val="20"/>
        </w:rPr>
        <w:t>” section of our website (https://ir.navitassemi.com) and you may request a copy of these filings (other than an exhibit to any filing unless we have specifically incorporated that exhibit by reference into the filing), at no cost, by writing or telephoning us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California 90503-1640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(844) 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s05"/>
      <w:bookmarkEnd w:id="6"/>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market next-generation power semiconductors including gallium nitride (“</w:t>
      </w:r>
      <w:r>
        <w:rPr>
          <w:rFonts w:ascii="Times New Roman;Times;Serif" w:hAnsi="Times New Roman;Times;Serif"/>
          <w:b w:val="false"/>
          <w:i/>
          <w:caps w:val="false"/>
          <w:smallCaps w:val="false"/>
          <w:sz w:val="20"/>
        </w:rPr>
        <w:t>GaN</w:t>
      </w:r>
      <w:r>
        <w:rPr>
          <w:rFonts w:ascii="Times New Roman;Times;Serif" w:hAnsi="Times New Roman;Times;Serif"/>
          <w:b w:val="false"/>
          <w:i w:val="false"/>
          <w:caps w:val="false"/>
          <w:smallCaps w:val="false"/>
          <w:sz w:val="20"/>
        </w:rPr>
        <w:t>”) power integrated circuits (“</w:t>
      </w:r>
      <w:r>
        <w:rPr>
          <w:rFonts w:ascii="Times New Roman;Times;Serif" w:hAnsi="Times New Roman;Times;Serif"/>
          <w:b w:val="false"/>
          <w:i/>
          <w:caps w:val="false"/>
          <w:smallCaps w:val="false"/>
          <w:sz w:val="20"/>
        </w:rPr>
        <w:t>ICs</w:t>
      </w:r>
      <w:r>
        <w:rPr>
          <w:rFonts w:ascii="Times New Roman;Times;Serif" w:hAnsi="Times New Roman;Times;Serif"/>
          <w:b w:val="false"/>
          <w:i w:val="false"/>
          <w:caps w:val="false"/>
          <w:smallCaps w:val="false"/>
          <w:sz w:val="20"/>
        </w:rPr>
        <w:t>”), high-voltage silicon carbide (“</w:t>
      </w:r>
      <w:r>
        <w:rPr>
          <w:rFonts w:ascii="Times New Roman;Times;Serif" w:hAnsi="Times New Roman;Times;Serif"/>
          <w:b w:val="false"/>
          <w:i/>
          <w:caps w:val="false"/>
          <w:smallCaps w:val="false"/>
          <w:sz w:val="20"/>
        </w:rPr>
        <w:t>SiC</w:t>
      </w:r>
      <w:r>
        <w:rPr>
          <w:rFonts w:ascii="Times New Roman;Times;Serif" w:hAnsi="Times New Roman;Times;Serif"/>
          <w:b w:val="false"/>
          <w:i w:val="false"/>
          <w:caps w:val="false"/>
          <w:smallCaps w:val="false"/>
          <w:sz w:val="20"/>
        </w:rPr>
        <w:t>”) devices and associated high-speed silicon system controllers, and digital isolators used in power conversion and charging. We focus on high-power markets including artificial intelligence (“</w:t>
      </w:r>
      <w:r>
        <w:rPr>
          <w:rFonts w:ascii="Times New Roman;Times;Serif" w:hAnsi="Times New Roman;Times;Serif"/>
          <w:b w:val="false"/>
          <w:i/>
          <w:caps w:val="false"/>
          <w:smallCaps w:val="false"/>
          <w:sz w:val="20"/>
        </w:rPr>
        <w:t>AI</w:t>
      </w:r>
      <w:r>
        <w:rPr>
          <w:rFonts w:ascii="Times New Roman;Times;Serif" w:hAnsi="Times New Roman;Times;Serif"/>
          <w:b w:val="false"/>
          <w:i w:val="false"/>
          <w:caps w:val="false"/>
          <w:smallCaps w:val="false"/>
          <w:sz w:val="20"/>
        </w:rPr>
        <w:t>”) data centers, energy and grid infrastructure, performance computing and industrial electrification.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engineered to deliver superior efficiency, performance, power density, and sustainability compared to legacy, silicon-based technologies. By leveraging the unique properties of wide bandgap materials such as GaN and SiC, our solutions enable higher power throughput, higher voltage operation, improved thermal performance, and reduced system size and cost, which are critical advantages for high-power applications such as hyperscale and AI data centers, grid electrification, high-performance computing clusters, and industrial automation. We operate as a product design house that contracts the manufacturing of its chips and packaging to partner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focus on high-power markets, we are positioned to support the global transition to electrification and energy conservation. Our mission is to drive innovation in high-frequency, high-efficiency, and high-density power electronics, enabling our customers to achieve greater energy savings, operational reliability, and sustainability. By unlocking new levels of speed and efficiency, Navitas is leading the transformation of power electronics to “Electrify Our World”™ for a cleaner, more connected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 was originally incorporated as Live Oak Acquisition Corp. II. On October 19, 2021, as part of a series of related transactions (which we refer to as the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the registrant acquired all of the equity interests of Navitas Semiconductor Limited, an Irish private company domesticated in Delaware as Navitas Semiconductor Ireland, LLC (collectively, “</w:t>
      </w:r>
      <w:r>
        <w:rPr>
          <w:rFonts w:ascii="Times New Roman;Times;Serif" w:hAnsi="Times New Roman;Times;Serif"/>
          <w:b w:val="false"/>
          <w:i/>
          <w:caps w:val="false"/>
          <w:smallCaps w:val="false"/>
          <w:sz w:val="20"/>
        </w:rPr>
        <w:t>Legacy Navitas</w:t>
      </w:r>
      <w:r>
        <w:rPr>
          <w:rFonts w:ascii="Times New Roman;Times;Serif" w:hAnsi="Times New Roman;Times;Serif"/>
          <w:b w:val="false"/>
          <w:i w:val="false"/>
          <w:caps w:val="false"/>
          <w:smallCaps w:val="false"/>
          <w:sz w:val="20"/>
        </w:rPr>
        <w:t>”) and changed the name of the registrant to Navitas Semiconductor Corporation. As a result, Legacy Navitas became a wholly owned subsidiary of Navitas Semiconductor Corporation effective October 19,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3520 Challenger Street, Torrance, California 90503-1640. Our telephone number is (844) 654-2642. Our website address is www.navitassemi.com. The information located on, or accessible from, our website is not, and shall not be deemed to be, a part of this prospectus or any accompanying prospectus supplement or incorporated into any other filings that we make with the SEC.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s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any securities offered pursuant to this prospectus and the applicable prospectus supplement involves risks. Before investing in our securities, you should carefully read the risk factors discussed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most recent Annual Report on Form 10-K and any subsequent Quarterly Reports on Form 10-Q, the risk factors discussed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accompanying prospectus supplement, and any risk factors discussed in our other filings with the SEC which are incorporated by reference into this prospectus and any accompanying prospectus supplement. These risks and uncertainties are not the only risks and uncertainties we face. Additional risks and uncertainties not presently known to us, or that we currently view as immaterial, may also materially and adversely affect us. If any of the risks or uncertainties described in our most recent Annual Report on Form 10-K or any subsequent Quarterly Reports on Form 10-Q, any accompanying prospectus supplement or our other filings with the SEC, or if any additional risks and uncertainties actually occur, our business, financial condition, results of operations and prospects could be materially and adversely affected. In that case, the trading price of our securities could decline, and you could lose all or part of your investment. Please also carefully read the section entitled “</w:t>
      </w:r>
      <w:r>
        <w:rPr>
          <w:rFonts w:ascii="Times New Roman;Times;Serif" w:hAnsi="Times New Roman;Times;Serif"/>
          <w:b w:val="false"/>
          <w:i/>
          <w:caps w:val="false"/>
          <w:smallCaps w:val="false"/>
          <w:sz w:val="20"/>
        </w:rPr>
        <w:t>Cautionary Statement About Forward-Looking Statements</w:t>
      </w:r>
      <w:r>
        <w:rPr>
          <w:rFonts w:ascii="Times New Roman;Times;Serif" w:hAnsi="Times New Roman;Times;Serif"/>
          <w:b w:val="false"/>
          <w:i w:val="false"/>
          <w:caps w:val="false"/>
          <w:smallCaps w:val="false"/>
          <w:sz w:val="20"/>
        </w:rPr>
        <w:t>” included in our most recent Annual Report on Form 10-K and any subsequent Quarterly Reports on Form 10-Q. See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to learn how we disclose Risk Factors and other information in this prospectus by referring you to other documents, and how you can access those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s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receive any proceeds in connection with securities which may be offered pursuant to this prospectus. Unless otherwise provided in the applicable prospectus supplement, we intend to use the net proceeds from the sale of the securities under this prospectus primarily for working capital and general corporate purposes to support our growth. More detailed information regarding the use of proceeds from any particular sale of securities pursuant to this prospectus may be included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s09"/>
      <w:bookmarkEnd w:id="9"/>
      <w:r>
        <w:rPr>
          <w:rFonts w:ascii="Times New Roman;Times;Serif" w:hAnsi="Times New Roman;Times;Serif"/>
          <w:b/>
          <w:i w:val="false"/>
          <w:caps w:val="false"/>
          <w:smallCaps w:val="false"/>
          <w:sz w:val="20"/>
        </w:rPr>
        <w:t>DESCRIPTION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provisions of our second amended and restated certificate of incorporation (the “</w:t>
      </w:r>
      <w:r>
        <w:rPr>
          <w:rFonts w:ascii="Times New Roman;Times;Serif" w:hAnsi="Times New Roman;Times;Serif"/>
          <w:b w:val="false"/>
          <w:i/>
          <w:caps w:val="false"/>
          <w:smallCaps w:val="false"/>
          <w:sz w:val="20"/>
        </w:rPr>
        <w:t>Certificate of Incorporation</w:t>
      </w:r>
      <w:r>
        <w:rPr>
          <w:rFonts w:ascii="Times New Roman;Times;Serif" w:hAnsi="Times New Roman;Times;Serif"/>
          <w:b w:val="false"/>
          <w:i w:val="false"/>
          <w:caps w:val="false"/>
          <w:smallCaps w:val="false"/>
          <w:sz w:val="20"/>
        </w:rPr>
        <w:t>”), and amended and restated bylaws (the “</w:t>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 are summaries and are qualified by reference to the Certificate of Incorporation and the Bylaws that are on file with the SEC. You should read these documents in full for complete information on our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authorizes us to issue 751,000,000 shares, consisting of (a) 750,000,000 shares of common stock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including (i) 740,000,000 shares of Class A common stock (the “</w:t>
      </w:r>
      <w:r>
        <w:rPr>
          <w:rFonts w:ascii="Times New Roman;Times;Serif" w:hAnsi="Times New Roman;Times;Serif"/>
          <w:b w:val="false"/>
          <w:i/>
          <w:caps w:val="false"/>
          <w:smallCaps w:val="false"/>
          <w:sz w:val="20"/>
        </w:rPr>
        <w:t>Class A Common Stock</w:t>
      </w:r>
      <w:r>
        <w:rPr>
          <w:rFonts w:ascii="Times New Roman;Times;Serif" w:hAnsi="Times New Roman;Times;Serif"/>
          <w:b w:val="false"/>
          <w:i w:val="false"/>
          <w:caps w:val="false"/>
          <w:smallCaps w:val="false"/>
          <w:sz w:val="20"/>
        </w:rPr>
        <w:t>”) and (ii) 10,000,000 shares of Class B common stock (the “</w:t>
      </w:r>
      <w:r>
        <w:rPr>
          <w:rFonts w:ascii="Times New Roman;Times;Serif" w:hAnsi="Times New Roman;Times;Serif"/>
          <w:b w:val="false"/>
          <w:i/>
          <w:caps w:val="false"/>
          <w:smallCaps w:val="false"/>
          <w:sz w:val="20"/>
        </w:rPr>
        <w:t>Class B Common Stock</w:t>
      </w:r>
      <w:r>
        <w:rPr>
          <w:rFonts w:ascii="Times New Roman;Times;Serif" w:hAnsi="Times New Roman;Times;Serif"/>
          <w:b w:val="false"/>
          <w:i w:val="false"/>
          <w:caps w:val="false"/>
          <w:smallCaps w:val="false"/>
          <w:sz w:val="20"/>
        </w:rPr>
        <w:t>”), and (b) 1,000,000 shares of preferred stock (the “</w:t>
      </w: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Each holder of Class A Common Stock is entitled to one vote per share held. Except as otherwise required by the certificate of incorporation or by applicable law, holders of Class A Common Stock vote together as a single class on all matters on which stockholders are generally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each of which will generally serve for a term of three years with only one class of directors being elected each year. There is no cumulative voting in the election of directors. As a result, holders of more than 50% of shares eligible to vote in the election of directors can elect all of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Dividend rights</w:t>
      </w:r>
      <w:r>
        <w:rPr>
          <w:rFonts w:ascii="Times New Roman;Times;Serif" w:hAnsi="Times New Roman;Times;Serif"/>
          <w:b w:val="false"/>
          <w:i w:val="false"/>
          <w:caps w:val="false"/>
          <w:smallCaps w:val="false"/>
          <w:sz w:val="20"/>
        </w:rPr>
        <w:t>. Subject to any other provisions of our certificate of incorporation, each holder of Class A Common Stock is entitled to receive, in proportion to the number of shares of Class A Common Stock held, such dividends and other distributions in cash, stock or property when, as and if declared by our board from time to time out of assets or funds of the company legally available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liquidation</w:t>
      </w:r>
      <w:r>
        <w:rPr>
          <w:rFonts w:ascii="Times New Roman;Times;Serif" w:hAnsi="Times New Roman;Times;Serif"/>
          <w:b w:val="false"/>
          <w:i w:val="false"/>
          <w:caps w:val="false"/>
          <w:smallCaps w:val="false"/>
          <w:sz w:val="20"/>
        </w:rPr>
        <w:t>. In the event of any liquidation, dissolution or winding up (either voluntary or involuntary) of the company, after payments to creditors that may at the time be outstanding, and subject to the rights of any holders of preferred stock that may then be outstanding, holders of shares of the Class A Common Stock will be entitled to receive, ratably in proportion to the number of shares of Class A Common Stock held, all remaining assets of the company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certificate of incorporation, our board of directors has the authority, without stockholder approval, to issue shares of preferred stock from time to time on terms it may determine, to divide shares of preferred stock into one or more class or series and to fix for each such class or series the designations, preferences, privileges, and restrictions of preferred stock, including dividend rights, conversion rights, voting rights, terms of redemption, liquidation preference, and the number of shares constituting any series or the designation of any series to the fullest extent permitted by the Delaware General Corporation Law (the “</w:t>
      </w:r>
      <w:r>
        <w:rPr>
          <w:rFonts w:ascii="Times New Roman;Times;Serif" w:hAnsi="Times New Roman;Times;Serif"/>
          <w:b w:val="false"/>
          <w:i/>
          <w:caps w:val="false"/>
          <w:smallCaps w:val="false"/>
          <w:sz w:val="20"/>
        </w:rPr>
        <w:t>DGCL</w:t>
      </w:r>
      <w:r>
        <w:rPr>
          <w:rFonts w:ascii="Times New Roman;Times;Serif" w:hAnsi="Times New Roman;Times;Serif"/>
          <w:b w:val="false"/>
          <w:i w:val="false"/>
          <w:caps w:val="false"/>
          <w:smallCaps w:val="false"/>
          <w:sz w:val="20"/>
        </w:rPr>
        <w:t>”). The issuance of preferred stock could have the effect of decreasing the trading price of the Class A Common Stock, restricting dividends on our capital stock, diluting the voting power of the Class A Common Stock, impairing the liquidation rights of our capital stock, or delaying or preventing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8, 2026, we had 21 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Stockholders’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annual stockholder meetings will be held at a date, time and place, if any, as exclusively selected by our board. To the extent permitted under applicable law, our board may conduct meetings by remote communications. 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in the annual proxy statement. Our Certificate of Incorporation specifies certain requirements as to the form and content of a stockholders’ meeting. These provisions may preclude stockholders from bringing matters before our annual meeting of stockholders or from making nominations for directors at our annual meeting of stockholders. Our Bylaws also specify certain requirements as to the form and content of a stockholder’s notice for an annual meeting.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us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foregoing provisions may limit our stockholders’ ability to bring matters before our annual meeting of stockholders or from making nominations for directors at our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authorized shares. However, the listing requirements of Nasdaq, which would apply if and so long as the Class A Common Stock remains listed on Nasdaq, require stockholder approval of certain issuances equal to or exceeding 20% of the then-outstanding voting power or then-outstanding number of shares of the Class A Common Stock. Additional shares that may be issued in the future may be used for a variety of corporate purposes, including future public offerings, to raise additional capital or to facilitate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unissued and unreserved common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the Class A Common Stock at prices higher than prevailing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special meetings of our stockholders may be called only by the chairman of our board, our chief executive officer or our board pursuant to a resolution adopted by a majority of our board. Our stockholders are not eligible and have no right to call a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provide that unless otherwise restricted by the Certificate of Incorporation or the Bylaws, any action required or permitted to be taken at any meeting of our board or of any committee thereof may be taken without a meeting, if all members of our board or committee thereof, as the case may be, consent thereto in writing or by electronic transmission, and the writing or writings or electronic transmission or transmissions (or paper reproductions thereof) are filed with the minutes of proceedings of our board or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may be amended, altered or repealed (i) by the affirmative vote of a majority of our entire board; or (ii) by the affirmative vote of the holders of at least a majority of the voting power of the shares entitled to vote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authorizes corporations to limit or eliminate the personal liability of directors to corporations and their stockholders for monetary damages for breaches of directors’ fiduciary duties, subject to certain exceptions. We have entered into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expenses, judgments, fines, penalties and amounts paid in settlement (if pre-approved), including all costs, expenses and obligations incurred in connection with investigating, defending, being a witness in, participating in (including on appeal), or preparing to defend, be a witness or participate in any completed, actual, pending or threatened action, suit, proceeding or alternative dispute resolution mechanism, whether civil, criminal, administrative, investigative or other, arising out of the officers’ or directors’ role as an officer or director of the Company, or establishing or enforcing a right to indemnification under the indemnification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Jurisdiction of Certain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requires that derivative actions brought in the name of the company, actions against directors, officers and other employees for breach of fiduciary duty and other similar actions may be brought only in the Court of Chancery in the State of Delaware and, if brought outside of Delaware, the stockholder bringing the suit will, subject to certain exceptions,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Although we believe this provision benefits us by providing increased consistency in the application of Delaware law in the types of lawsuits to which it applies, the provision may have the effect of discouraging lawsuits against our directors, officers and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Nasdaq under the symbol “NVTS.”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 1 State Street, 30th Floor, New York, New York 10004.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s10"/>
      <w:bookmarkEnd w:id="10"/>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that we may offer by this prospectus consist of notes, debentures, or other evidences of indebtedness. The debt securities may constitute either senior or subordinated debt securities, and in either case may be either secured or unsecured. Any debt securities that we offer and sell will be our direct obligations. Debt securities may be issued in one or more series. All debt securities of any one series need not be issued at the same time, and unless otherwise provided, a series of debt securities may be reopened, with the required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The form of indenture has been filed as an exhibit to the registration statement of which this prospectus is a part and is subject to any amendments or supplements that we may enter into with the trustee(s), however, we may issue debt securities not subject to the indenture provided such terms of debt securities are not otherwise required to be set forth in the indenture. The material terms of the indenture are summarized below and we refer you to the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title of the debt securities, including, as applicable, whether the debt securities will be issued as senior debt securities, senior subordinated debt securities or subordinated debt securities, any subordination provisions particular to the series of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0"/>
        <w:gridCol w:w="9944"/>
      </w:tblGrid>
      <w:tr>
        <w:trPr/>
        <w:tc>
          <w:tcPr>
            <w:tcW w:w="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rPr>
            </w:pPr>
            <w:r>
              <w:rPr>
                <w:rFonts w:ascii="Symbol" w:hAnsi="Symbol"/>
              </w:rPr>
              <w:t>·</w:t>
            </w:r>
          </w:p>
        </w:tc>
        <w:tc>
          <w:tcPr>
            <w:tcW w:w="9944" w:type="dxa"/>
            <w:tcBorders/>
            <w:vAlign w:val="center"/>
          </w:tcPr>
          <w:p>
            <w:pPr>
              <w:pStyle w:val="TableContents"/>
              <w:bidi w:val="0"/>
              <w:spacing w:before="0" w:after="283"/>
              <w:jc w:val="both"/>
              <w:rPr/>
            </w:pPr>
            <w:r>
              <w:rPr/>
              <w:t>any limit on the aggregate principal amount of the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the debt securities are senior debt securities or subordinated debt securities and applicable subordination provisions,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31"/>
        <w:gridCol w:w="9904"/>
      </w:tblGrid>
      <w:tr>
        <w:trPr/>
        <w:tc>
          <w:tcPr>
            <w:tcW w:w="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4" w:type="dxa"/>
            <w:tcBorders/>
            <w:vAlign w:val="center"/>
          </w:tcPr>
          <w:p>
            <w:pPr>
              <w:pStyle w:val="TableContents"/>
              <w:bidi w:val="0"/>
              <w:spacing w:before="0" w:after="283"/>
              <w:jc w:val="both"/>
              <w:rPr/>
            </w:pPr>
            <w:r>
              <w:rPr/>
              <w:t>whether the debt securities will be secured or unsecured;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other than 100% of the aggregate principal amount, the percentage of the aggregate principal amount at which we will sell the debt securities, such as an original issuance discount;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date or dates, whether fixed or extendable, on which the principal of the debt securities will be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rate or rates, which may be fixed or variable, at which the debt securities will bear interest, if any, the date or dates from which any such interest will accrue, the interest payment dates on which we will pay any such interest, the basis upon which interest will be calculated if other than that of a 360-day year consisting of twelve 30-day months, and, in the case of registered securities, the record dates for the determination of holders to whom interest is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place or places where the principal of and any premium or interest on the debt securities will be payable and where the debt securities may be surrendered for conversion or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we may, at our option, redeem the debt securities, and if so, the price or prices at which, the period or periods within which, and the terms and conditions upon which, we may redeem the debt securities, in whole or in part, pursuant to any sinking fund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obligation we may have to redeem, purchase or repay the debt securities pursuant to any sinking fund or analogous provisions or at the option of a holder of debt securities, and the price or prices at which, the currency in which and the period or periods within which, and the terms and conditions upon which, the debt securities will be redeemed, purchased or repaid, in whole or in part, pursuant to any such obligation, and any provision for the remarketing of the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issuance of debt securities as registered securities or unregistered securities or both, and the rights of the holders of the debt securities to exchange unregistered securities for registered securities, or vice versa, and the circumstances under which any such exchanges, if permitted, may be made;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denominations, which may be in United States dollars or in any foreign currency, in which the debt securities will be issued, if other than denominations of $1,000 and any integral multiple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other than United States dollars, the currency or currencies in which payments of principal, interest and other amounts payable with respect to the debt securities will be denominated, payable, redeemable or repurchasable, as the case may be;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6"/>
        <w:gridCol w:w="9898"/>
      </w:tblGrid>
      <w:tr>
        <w:trPr/>
        <w:tc>
          <w:tcPr>
            <w:tcW w:w="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Symbol" w:hAnsi="Symbol"/>
              </w:rPr>
            </w:pPr>
            <w:r>
              <w:rPr>
                <w:rFonts w:ascii="Symbol" w:hAnsi="Symbol"/>
              </w:rPr>
              <w:t>·</w:t>
            </w:r>
          </w:p>
        </w:tc>
        <w:tc>
          <w:tcPr>
            <w:tcW w:w="9898" w:type="dxa"/>
            <w:tcBorders/>
            <w:vAlign w:val="center"/>
          </w:tcPr>
          <w:p>
            <w:pPr>
              <w:pStyle w:val="TableContents"/>
              <w:bidi w:val="0"/>
              <w:spacing w:before="0" w:after="283"/>
              <w:jc w:val="both"/>
              <w:rPr/>
            </w:pPr>
            <w:r>
              <w:rPr/>
              <w:t>whether the debt securities may be issuable in tranches;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conversion price or exchange ratio), and any limitations on the ownership or transferability of the securities or property into which the debt securities may be converted or exchanged;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other than the trustee under the indenture, any trustees, authenticating or paying agents, transfer agents or registrars or any other agents with respect to the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deletions from, modifications of or additions to the events of default with respect to the debt securities or the right of the Trustee or the holders of the debt securities in connection with events of default;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any deletions from, modifications of or additions to the covenants with respect to the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the amount of payments of principal of, and make-whole amount, if any, and interest on the debt securities may be determined with reference to an index, the manner in which such amount will be determined;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under what circumstances and the currency in which, we will pay additional amounts on the debt securities to any holder of the debt securities who is not a United States person in respect of any tax, assessment or governmental charge and, if so, whether we will have the option to redeem such debt securities rather than pay such additional amounts, and the terms of any such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the debt securities will be secured by any collateral and, if so, a general description of the collateral and the terms of any related security, pledge or other agreements;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persons to whom any interest on the debt securities will be payable, if other than the registered holders thereof on the regular record date therefor;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10000" w:type="dxa"/>
            <w:tcBorders/>
            <w:vAlign w:val="center"/>
          </w:tcPr>
          <w:p>
            <w:pPr>
              <w:pStyle w:val="TableContents"/>
              <w:bidi w:val="0"/>
              <w:spacing w:before="0" w:after="283"/>
              <w:jc w:val="both"/>
              <w:rPr/>
            </w:pPr>
            <w:r>
              <w:rPr/>
              <w:t>any other material terms or conditions upon which the debt securities will be issued.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we will issue debt securities in fully registered form without coupons and in denominations of $1,000 and in integral multiples of $1,000, and interest will be computed on the basis of a 360-day year of twelve 30-day months. If any interest payment date or the maturity date falls on a day that is not a business day, then the payment will be made on the next business day without additional interest and with the same effect as if it were made on the originally scheduled date. “</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the trustee and commercial banks are open for business in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a prospectus supplement, each series of our senior debt securities will rank equally in right of payment with all of our other unsubordinated debt. The subordinated debt securities will rank junior in right of payment and be subordinate to all of our unsubordinated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trustee will act as paying agent and registrar for the debt securities under the indenture. We may act as paying agent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contain a description of United States federal income tax consequences relating to the debt securities, to the extent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any covenants, such as restrictive covenants restricting us or our subsidiaries, if any, from incurring, issuing, assuming or guarantying any indebtedness or restricting us or our subsidiaries, if any, from paying dividends or acquiring any of our or its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Transfer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a consolidation or merger between us and another entity and/or the sale, conveyance or lease by us of all or substantially all of our property and assets, provided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resulting or acquiring entity, if other than us, is organized and existing under the laws of a United States jurisdiction and assumes all of our responsibilities and liabilities under the indenture, including the payment of all amounts due on the debt securities and performance of the covenants in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immediately after the transaction, and giving effect to the transaction, no event of default under the indenture exists;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we have delivered to the trustee an officers’ certificate stating that the transaction and, if a supplemental indenture is required in connection with the transaction, the supplemental indenture comply with the indenture and that all conditions precedent to the transaction contained in the indenture have been satisfied.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we may transfer all of our property and assets to another entity if, immediately after giving effect to the transfer, such entity is our wholly owned subsidiary. The term “</w:t>
      </w:r>
      <w:r>
        <w:rPr>
          <w:rFonts w:ascii="Times New Roman;Times;Serif" w:hAnsi="Times New Roman;Times;Serif"/>
          <w:b w:val="false"/>
          <w:i/>
          <w:caps w:val="false"/>
          <w:smallCaps w:val="false"/>
          <w:sz w:val="20"/>
        </w:rPr>
        <w:t>wholly owned subsidiary</w:t>
      </w:r>
      <w:r>
        <w:rPr>
          <w:rFonts w:ascii="Times New Roman;Times;Serif" w:hAnsi="Times New Roman;Times;Serif"/>
          <w:b w:val="false"/>
          <w:i w:val="false"/>
          <w:caps w:val="false"/>
          <w:smallCaps w:val="false"/>
          <w:sz w:val="20"/>
        </w:rPr>
        <w:t>” means any subsidiary in which we and/or our other wholly owned subsidiaries, if any, own all of the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a change in the stated maturity date of any payment of principal or interest;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4" w:type="dxa"/>
            <w:tcBorders/>
            <w:vAlign w:val="center"/>
          </w:tcPr>
          <w:p>
            <w:pPr>
              <w:pStyle w:val="TableContents"/>
              <w:bidi w:val="0"/>
              <w:spacing w:before="0" w:after="283"/>
              <w:jc w:val="both"/>
              <w:rPr/>
            </w:pPr>
            <w:r>
              <w:rPr/>
              <w:t>a reduction in the principal amount of or interest on any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t>an alteration or impairment of any right to convert at the rate or upon the terms provided in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pPr>
            <w:r>
              <w:rPr/>
              <w:t>a change in the currency in which any payment on the debt securities is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t>an impairment of a holder’s right to sue us for the enforcement of payments due on the debt securities;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reduction in the percentage of outstanding debt securities required to consent to a modification or amendment of the indenture or required to consent to a waiver of compliance with certain provisions of the indenture or certain defaults under the 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the holders of not less than a majority in aggregate principal amount of the outstanding debt securities may, on behalf of all holders of the debt securities: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rPr>
            </w:pPr>
            <w:r>
              <w:rPr>
                <w:rFonts w:ascii="Symbol" w:hAnsi="Symbol"/>
              </w:rPr>
              <w:t>·</w:t>
            </w:r>
          </w:p>
        </w:tc>
        <w:tc>
          <w:tcPr>
            <w:tcW w:w="9989" w:type="dxa"/>
            <w:tcBorders/>
            <w:vAlign w:val="center"/>
          </w:tcPr>
          <w:p>
            <w:pPr>
              <w:pStyle w:val="TableContents"/>
              <w:bidi w:val="0"/>
              <w:spacing w:before="0" w:after="283"/>
              <w:jc w:val="both"/>
              <w:rPr/>
            </w:pPr>
            <w:r>
              <w:rPr/>
              <w:t>waive compliance by us with certain restrictive provisions of the indenture;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waive any past default under the indenture in accordance with the applicable provisions of the indenture, except a default in the payment of the principal of or interest on any series of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the applicable prospectus supplement,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under the indenture will mean, with respect to any series of debt securities, any of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both"/>
              <w:rPr/>
            </w:pPr>
            <w:r>
              <w:rPr/>
              <w:t>failure to pay interest on any debt security for 30 days after the payment is due;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failure to pay the principal of any debt security when due, either at maturity, upon redemption, by declaration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failure on our part to observe or perform any other covenant or agreement in the indenture that applies to the debt securities for 90 days after we have received written notice of the failure to perform in the manner specified in the indenture;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2"/>
        <w:gridCol w:w="9916"/>
      </w:tblGrid>
      <w:tr>
        <w:trPr/>
        <w:tc>
          <w:tcPr>
            <w:tcW w:w="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Symbol" w:hAnsi="Symbol"/>
              </w:rPr>
            </w:pPr>
            <w:r>
              <w:rPr>
                <w:rFonts w:ascii="Symbol" w:hAnsi="Symbol"/>
              </w:rPr>
              <w:t>·</w:t>
            </w:r>
          </w:p>
        </w:tc>
        <w:tc>
          <w:tcPr>
            <w:tcW w:w="9916" w:type="dxa"/>
            <w:tcBorders/>
            <w:vAlign w:val="center"/>
          </w:tcPr>
          <w:p>
            <w:pPr>
              <w:pStyle w:val="TableContents"/>
              <w:bidi w:val="0"/>
              <w:spacing w:before="0" w:after="283"/>
              <w:jc w:val="both"/>
              <w:rPr/>
            </w:pPr>
            <w:r>
              <w:rPr/>
              <w:t>certain events of bankruptcy, insolvency or reorganization.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is caused by certain events in bankruptcy, insolvency or reorganization,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best interests of the holders. For purposes of this paragraph, “</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lapse of time or both would become, an event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89"/>
        <w:gridCol w:w="9959"/>
      </w:tblGrid>
      <w:tr>
        <w:trPr/>
        <w:tc>
          <w:tcPr>
            <w:tcW w:w="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Symbol" w:hAnsi="Symbol"/>
              </w:rPr>
            </w:pPr>
            <w:r>
              <w:rPr>
                <w:rFonts w:ascii="Symbol" w:hAnsi="Symbol"/>
              </w:rPr>
              <w:t>·</w:t>
            </w:r>
          </w:p>
        </w:tc>
        <w:tc>
          <w:tcPr>
            <w:tcW w:w="9959" w:type="dxa"/>
            <w:tcBorders/>
            <w:vAlign w:val="center"/>
          </w:tcPr>
          <w:p>
            <w:pPr>
              <w:pStyle w:val="TableContents"/>
              <w:bidi w:val="0"/>
              <w:spacing w:before="0" w:after="283"/>
              <w:jc w:val="both"/>
              <w:rPr/>
            </w:pPr>
            <w:r>
              <w:rPr/>
              <w:t>conducting any proceeding for any remedy available to the trustee;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31"/>
        <w:gridCol w:w="9904"/>
      </w:tblGrid>
      <w:tr>
        <w:trPr/>
        <w:tc>
          <w:tcPr>
            <w:tcW w:w="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4" w:type="dxa"/>
            <w:tcBorders/>
            <w:vAlign w:val="center"/>
          </w:tcPr>
          <w:p>
            <w:pPr>
              <w:pStyle w:val="TableContents"/>
              <w:bidi w:val="0"/>
              <w:spacing w:before="0" w:after="283"/>
              <w:jc w:val="both"/>
              <w:rPr/>
            </w:pPr>
            <w:r>
              <w:rPr/>
              <w:t>exercising any trust or power conferred upon the trustee.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debt security will have the right to begin any proceeding with respect to the indenture or for any remedy only if: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pPr>
            <w:r>
              <w:rPr/>
              <w:t>the holder has previously given the trustee written notice of a continuing event of default;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holders of not less than a majority in aggregate principal amount of the outstanding debt securities have made a written request of, and offered reasonable indemnity to, the trustee to begin such proceeding;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pPr>
            <w:r>
              <w:rPr/>
              <w:t>the trustee has not started such proceeding within 60 days after receiving the request;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no direction inconsistent with such written request has been given to the trustee under the 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holder of any debt security will have an absolute right to receive payment of principal of and interest on the debt security when due and to institute suit to enforce this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Satisfaction and Discharge of Indenture</w:t>
      </w:r>
      <w:r>
        <w:rPr>
          <w:rFonts w:ascii="Times New Roman;Times;Serif" w:hAnsi="Times New Roman;Times;Serif"/>
          <w:b w:val="false"/>
          <w:i w:val="false"/>
          <w:caps w:val="false"/>
          <w:smallCaps w:val="false"/>
          <w:sz w:val="20"/>
        </w:rPr>
        <w:t>. Unless otherwise indicated in the applicable prospectus supplement, if at any time,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we have paid the principal of and interest on all the debt securities of any series, except for debt securities which have been destroyed, lost or stolen and which have been replaced or paid in accordance with the indenture, as and when the same shall have become due and payable,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we have delivered to the trustee for cancellation all debt securities of any series theretofore authenticated, except for debt securities of such series which have been destroyed, lost or stolen and which have been replaced or paid as provided in the indenture,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all the debt securities of such series not theretofore delivered to the trustee for cancellation have become due and payable, or are by their terms are to become due and payable within one year or are to be called for redemption within one year, and we have deposited with the trustee, in trust, sufficient money or government obligations, or a combination thereof, to pay the principal, any interest and any other sums due on the debt securities, on the dates the payments are due or become due under the indenture and the terms of the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indenture shall cease to be of further effect with respect to the debt securities of such series, except for: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10000" w:type="dxa"/>
            <w:tcBorders/>
            <w:vAlign w:val="center"/>
          </w:tcPr>
          <w:p>
            <w:pPr>
              <w:pStyle w:val="TableContents"/>
              <w:bidi w:val="0"/>
              <w:spacing w:before="0" w:after="283"/>
              <w:jc w:val="both"/>
              <w:rPr/>
            </w:pPr>
            <w:r>
              <w:rPr/>
              <w:t>rights of registration of transfer and exchange, and our right of optional redemption;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both"/>
              <w:rPr/>
            </w:pPr>
            <w:r>
              <w:rPr/>
              <w:t>substitution of mutilated, defaced, destroyed, lost or stolen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rights of holders to receive payments of principal thereof and interest thereon upon the original stated due dates therefor (but not upon acceleration) and remaining rights of the holders to receive mandatory sinking fund payments,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4"/>
        <w:gridCol w:w="9979"/>
      </w:tblGrid>
      <w:tr>
        <w:trPr/>
        <w:tc>
          <w:tcPr>
            <w:tcW w:w="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9" w:type="dxa"/>
            <w:tcBorders/>
            <w:vAlign w:val="center"/>
          </w:tcPr>
          <w:p>
            <w:pPr>
              <w:pStyle w:val="TableContents"/>
              <w:bidi w:val="0"/>
              <w:spacing w:before="0" w:after="283"/>
              <w:jc w:val="both"/>
              <w:rPr/>
            </w:pPr>
            <w:r>
              <w:rPr/>
              <w:t>the rights, obligations and immunities of the trustee under the indenture;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rights of the holders of such series of debt securities as beneficiaries thereof with respect to the property so deposited with the trustee payable to all or any of them.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Defeasance and Covenant Defeasance.</w:t>
      </w:r>
      <w:r>
        <w:rPr>
          <w:rFonts w:ascii="Times New Roman;Times;Serif" w:hAnsi="Times New Roman;Times;Serif"/>
          <w:b w:val="false"/>
          <w:i w:val="false"/>
          <w:caps w:val="false"/>
          <w:smallCaps w:val="false"/>
          <w:sz w:val="20"/>
        </w:rPr>
        <w:t xml:space="preserve"> Unless otherwise indicated in the applicable prospectus supplement, we may elect with respect to any debt securities of any series either: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 defease and be discharged from all of our obligations with respect to such debt securities (“defeasance”), with certain exceptions described below;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w:t>
            </w:r>
            <w:r>
              <w:rPr>
                <w:i/>
              </w:rPr>
              <w:t>covenant defeasance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comply with the following conditions before the defeasance or covenant defeasance can be effected: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we must irrevocably deposit with the indenture trustee or other qualifying trustee, under the terms of an irrevocable trust agreement in form and substance satisfactory to the trustee, trust funds in trust solely for the benefit of the holders of such debt securities, sufficient money or government obligations, or a combination thereof, to pay the principal, any interest and any other sums on the due dates for those payments;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we must deliver to the trustee an opinion of counsel to the effect that the holders of such debt securities will not recognize income, gain or loss for federal income tax purposes as a result of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defeasance, any irrevocable trust agreement contemplated by the indenture must include, among other things, provision for: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payment of the principal of and interest on such debt securities, if any, appertaining thereto when due (by redemption, sinking fund payments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payment of the expenses of the trustee incurred or to be incurred in connection with carrying out such trust provisions,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rights of registration, transfer, substitution and exchange of such debt securities in accordance with the terms stated in the indenture,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continuation of the rights, obligations and immunities of the trustee as against the holders of such debt securities as stated in the 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may further describe any provisions permitting or restricting defeasance or covenant defeasance with respect to the debt securities of a particular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give notices to holders of the debt securities by mail at the addresses listed in the security register. In the case of notice in respect of unregistered securities or coupon securities, we may give notice by publication in a newspaper of general circulation in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 series of debt securities will be described in a prospectus supplement relating to such series of debt securities. Any indentures will be subject to and governed by the Trust Indenture Act of 1939, as amended, and may be supplemented or amended from time to time following their execution. Unless otherwise stated in the applicable prospectus supplement, we will not be limited in the amount of debt securities that we may issue, and neither the senior debt securities nor the subordinated debt securities will be secured by any of our property or assets. Thus, by owning debt securities, you are one of our unsecured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maintain deposit accounts and conduct other banking transactions with the trustee to be appointed under the indenture or its affiliates in the ordinary course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s11"/>
      <w:bookmarkEnd w:id="11"/>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general terms of capital stock and debt warrants that we may offer. The particular terms of any capital stock and debt warrants will be described in an accompanying prospectus supplement. The description below and in any accompanying prospectus supplement is not complete. You should read the form of warrant agreement and any warrant certificate that we will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capital stock warrants, the prospectus supplement will describe the terms of the capital stock warrants,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503"/>
        <w:gridCol w:w="9550"/>
      </w:tblGrid>
      <w:tr>
        <w:trPr/>
        <w:tc>
          <w:tcPr>
            <w:tcW w:w="1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rFonts w:ascii="Symbol" w:hAnsi="Symbol"/>
              </w:rPr>
            </w:pPr>
            <w:r>
              <w:rPr>
                <w:rFonts w:ascii="Symbol" w:hAnsi="Symbol"/>
              </w:rPr>
              <w:t>·</w:t>
            </w:r>
          </w:p>
        </w:tc>
        <w:tc>
          <w:tcPr>
            <w:tcW w:w="9550" w:type="dxa"/>
            <w:tcBorders/>
            <w:vAlign w:val="center"/>
          </w:tcPr>
          <w:p>
            <w:pPr>
              <w:pStyle w:val="TableContents"/>
              <w:bidi w:val="0"/>
              <w:spacing w:before="0" w:after="283"/>
              <w:jc w:val="both"/>
              <w:rPr/>
            </w:pPr>
            <w:r>
              <w:rPr/>
              <w:t>the offering price,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designation and terms of any preferred stock purchasable upon exercise of preferred stock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common stock or preferred stock purchasable upon exercise of one capital stock warrant and the initial price at which the shares may be purchased upon exercise;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Symbol" w:hAnsi="Symbol"/>
              </w:rPr>
            </w:pPr>
            <w:r>
              <w:rPr>
                <w:rFonts w:ascii="Symbol" w:hAnsi="Symbol"/>
              </w:rPr>
              <w:t>·</w:t>
            </w:r>
          </w:p>
        </w:tc>
        <w:tc>
          <w:tcPr>
            <w:tcW w:w="9984" w:type="dxa"/>
            <w:tcBorders/>
            <w:vAlign w:val="center"/>
          </w:tcPr>
          <w:p>
            <w:pPr>
              <w:pStyle w:val="TableContents"/>
              <w:bidi w:val="0"/>
              <w:spacing w:before="0" w:after="283"/>
              <w:jc w:val="both"/>
              <w:rPr/>
            </w:pPr>
            <w:r>
              <w:rPr/>
              <w:t>the dates on which the right to exercise the stock warrants begins and expires;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331"/>
        <w:gridCol w:w="9774"/>
      </w:tblGrid>
      <w:tr>
        <w:trPr/>
        <w:tc>
          <w:tcPr>
            <w:tcW w:w="1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Symbol" w:hAnsi="Symbol"/>
              </w:rPr>
            </w:pPr>
            <w:r>
              <w:rPr>
                <w:rFonts w:ascii="Symbol" w:hAnsi="Symbol"/>
              </w:rPr>
              <w:t>·</w:t>
            </w:r>
          </w:p>
        </w:tc>
        <w:tc>
          <w:tcPr>
            <w:tcW w:w="9774" w:type="dxa"/>
            <w:tcBorders/>
            <w:vAlign w:val="center"/>
          </w:tcPr>
          <w:p>
            <w:pPr>
              <w:pStyle w:val="TableContents"/>
              <w:bidi w:val="0"/>
              <w:spacing w:before="0" w:after="283"/>
              <w:jc w:val="both"/>
              <w:rPr/>
            </w:pPr>
            <w:r>
              <w:rPr/>
              <w:t>U.S. federal income tax consequences;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559"/>
        <w:gridCol w:w="9477"/>
      </w:tblGrid>
      <w:tr>
        <w:trPr/>
        <w:tc>
          <w:tcPr>
            <w:tcW w:w="16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rFonts w:ascii="Symbol" w:hAnsi="Symbol"/>
              </w:rPr>
            </w:pPr>
            <w:r>
              <w:rPr>
                <w:rFonts w:ascii="Symbol" w:hAnsi="Symbol"/>
              </w:rPr>
              <w:t>·</w:t>
            </w:r>
          </w:p>
        </w:tc>
        <w:tc>
          <w:tcPr>
            <w:tcW w:w="9477" w:type="dxa"/>
            <w:tcBorders/>
            <w:vAlign w:val="center"/>
          </w:tcPr>
          <w:p>
            <w:pPr>
              <w:pStyle w:val="TableContents"/>
              <w:bidi w:val="0"/>
              <w:spacing w:before="0" w:after="283"/>
              <w:jc w:val="both"/>
              <w:rPr/>
            </w:pPr>
            <w:r>
              <w:rPr/>
              <w:t>call provisions,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1"/>
        <w:gridCol w:w="9982"/>
      </w:tblGrid>
      <w:tr>
        <w:trPr/>
        <w:tc>
          <w:tcPr>
            <w:tcW w:w="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2" w:type="dxa"/>
            <w:tcBorders/>
            <w:vAlign w:val="center"/>
          </w:tcPr>
          <w:p>
            <w:pPr>
              <w:pStyle w:val="TableContents"/>
              <w:bidi w:val="0"/>
              <w:spacing w:before="0" w:after="283"/>
              <w:jc w:val="both"/>
              <w:rPr/>
            </w:pPr>
            <w:r>
              <w:rPr/>
              <w:t>the currencies in which the offering price and exercise price are payable;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91"/>
        <w:gridCol w:w="9957"/>
      </w:tblGrid>
      <w:tr>
        <w:trPr/>
        <w:tc>
          <w:tcPr>
            <w:tcW w:w="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rPr>
            </w:pPr>
            <w:r>
              <w:rPr>
                <w:rFonts w:ascii="Symbol" w:hAnsi="Symbol"/>
              </w:rPr>
              <w:t>·</w:t>
            </w:r>
          </w:p>
        </w:tc>
        <w:tc>
          <w:tcPr>
            <w:tcW w:w="9957" w:type="dxa"/>
            <w:tcBorders/>
            <w:vAlign w:val="center"/>
          </w:tcPr>
          <w:p>
            <w:pPr>
              <w:pStyle w:val="TableContents"/>
              <w:bidi w:val="0"/>
              <w:spacing w:before="0" w:after="283"/>
              <w:jc w:val="both"/>
              <w:rPr/>
            </w:pPr>
            <w:r>
              <w:rPr/>
              <w:t>if applicable, the antidilution provisions of the capital stock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or preferred stock we issue upon exercise of the capital stock warrants will, when issued in accordance with the stock warrant agreement,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 to Purchase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capital stock warrants by surrendering to the capital stock warrant agent the capital stock warrant certificate, which indicates your election to exercise all or a portion of the capital stock warrants evidenced by the certificate. Surrendered capital stock warrant certificates must be accompanied by payment of the exercise price in the form of cash or check. The capital stock warrant agent will deliver certificates evidencing duly exercised capital stock warrants to the transfer agent. Upon receipt of the certificates, the transfer agent will deliver a certificate representing the number of shares of common stock or preferred stock purchased. If you exercise fewer than all the capital stock warrants evidenced by any certificate, the capital stock warrant agent will deliver a new capital stock warrant certificate representing the unexercised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Rights as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capital stock warrants are not entitled to vote, to consent, to receive dividends or to receive notice as stockholders with respect to any meeting of stockholders or to exercise any rights whatsoever as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debt warrants, the accompanying prospectus supplement will describe the terms of the debt warrants,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503"/>
        <w:gridCol w:w="9550"/>
      </w:tblGrid>
      <w:tr>
        <w:trPr/>
        <w:tc>
          <w:tcPr>
            <w:tcW w:w="1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rFonts w:ascii="Symbol" w:hAnsi="Symbol"/>
              </w:rPr>
            </w:pPr>
            <w:r>
              <w:rPr>
                <w:rFonts w:ascii="Symbol" w:hAnsi="Symbol"/>
              </w:rPr>
              <w:t>·</w:t>
            </w:r>
          </w:p>
        </w:tc>
        <w:tc>
          <w:tcPr>
            <w:tcW w:w="9550" w:type="dxa"/>
            <w:tcBorders/>
            <w:vAlign w:val="center"/>
          </w:tcPr>
          <w:p>
            <w:pPr>
              <w:pStyle w:val="TableContents"/>
              <w:bidi w:val="0"/>
              <w:spacing w:before="0" w:after="283"/>
              <w:jc w:val="both"/>
              <w:rPr/>
            </w:pPr>
            <w:r>
              <w:rPr/>
              <w:t>the offering price,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designation, aggregate principal amount and terms of the debt securities purchasable upon exercise of the debt warrants and the terms of the indenture under which the debt securities will be issued;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designation and terms of the debt securities with which the debt warrants are issued and the number of debt warrants issued with each debt security;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date on and after which the debt warrants and the related securities will be separately transferable;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principal amount of debt securities purchasable upon exercise of one debt warrant, and the price at which the principal amount of debt securities may be purchased upon exercise;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1"/>
        <w:gridCol w:w="9982"/>
      </w:tblGrid>
      <w:tr>
        <w:trPr/>
        <w:tc>
          <w:tcPr>
            <w:tcW w:w="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2" w:type="dxa"/>
            <w:tcBorders/>
            <w:vAlign w:val="center"/>
          </w:tcPr>
          <w:p>
            <w:pPr>
              <w:pStyle w:val="TableContents"/>
              <w:bidi w:val="0"/>
              <w:spacing w:before="0" w:after="283"/>
              <w:jc w:val="both"/>
              <w:rPr/>
            </w:pPr>
            <w:r>
              <w:rPr/>
              <w:t>the dates on which the right to exercise the debt warrants begins and expires;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331"/>
        <w:gridCol w:w="9774"/>
      </w:tblGrid>
      <w:tr>
        <w:trPr/>
        <w:tc>
          <w:tcPr>
            <w:tcW w:w="1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Symbol" w:hAnsi="Symbol"/>
              </w:rPr>
            </w:pPr>
            <w:r>
              <w:rPr>
                <w:rFonts w:ascii="Symbol" w:hAnsi="Symbol"/>
              </w:rPr>
              <w:t>·</w:t>
            </w:r>
          </w:p>
        </w:tc>
        <w:tc>
          <w:tcPr>
            <w:tcW w:w="9774" w:type="dxa"/>
            <w:tcBorders/>
            <w:vAlign w:val="center"/>
          </w:tcPr>
          <w:p>
            <w:pPr>
              <w:pStyle w:val="TableContents"/>
              <w:bidi w:val="0"/>
              <w:spacing w:before="0" w:after="283"/>
              <w:jc w:val="both"/>
              <w:rPr/>
            </w:pPr>
            <w:r>
              <w:rPr/>
              <w:t>U.S. federal income tax consequences;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the debt warrants represented by the debt warrant certificates will be issued in registered or bearer form;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1"/>
        <w:gridCol w:w="9982"/>
      </w:tblGrid>
      <w:tr>
        <w:trPr/>
        <w:tc>
          <w:tcPr>
            <w:tcW w:w="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2" w:type="dxa"/>
            <w:tcBorders/>
            <w:vAlign w:val="center"/>
          </w:tcPr>
          <w:p>
            <w:pPr>
              <w:pStyle w:val="TableContents"/>
              <w:bidi w:val="0"/>
              <w:spacing w:before="0" w:after="283"/>
              <w:jc w:val="both"/>
              <w:rPr/>
            </w:pPr>
            <w:r>
              <w:rPr/>
              <w:t>the currencies in which the offering price and exercise price are payable;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316"/>
        <w:gridCol w:w="9794"/>
      </w:tblGrid>
      <w:tr>
        <w:trPr/>
        <w:tc>
          <w:tcPr>
            <w:tcW w:w="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rFonts w:ascii="Symbol" w:hAnsi="Symbol"/>
              </w:rPr>
            </w:pPr>
            <w:r>
              <w:rPr>
                <w:rFonts w:ascii="Symbol" w:hAnsi="Symbol"/>
              </w:rPr>
              <w:t>·</w:t>
            </w:r>
          </w:p>
        </w:tc>
        <w:tc>
          <w:tcPr>
            <w:tcW w:w="9794" w:type="dxa"/>
            <w:tcBorders/>
            <w:vAlign w:val="center"/>
          </w:tcPr>
          <w:p>
            <w:pPr>
              <w:pStyle w:val="TableContents"/>
              <w:bidi w:val="0"/>
              <w:spacing w:before="0" w:after="283"/>
              <w:jc w:val="both"/>
              <w:rPr/>
            </w:pPr>
            <w:r>
              <w:rPr/>
              <w:t>if applicable, any antidilution provisions.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exchange debt warrant certificates for new debt warrant certificates of different denominations and may present debt warrant certificates for registration of transfer at the corporate trust office of the debt warrant agent, which will be listed in an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 to Purchase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debt warrants by surrendering the debt warrant certificate at the corporate trust office of the debt warrant agent, with payment in full of the exercise price. Upon the exercise of debt warrants, the debt warrant agent will, as soon as practicable, deliver the debt securities in authorized denominations in accordance with your instructions and at your sole cost and risk. If less than all the debt warrants evidenced by the debt warrant certificate are exercised, the agent will issue a new debt warrant certificate for the remaining amount of debt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Rights as Holders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warrantholders do not have any of the rights of holders of debt securities, except to the extent that the consent of warrantholders may be required for certain modifications of the terms of an indenture or form of the debt security, as the case may be, and the series of debt securities issuable upon exercise of the debt warrants. In addition, debt warrantholders are not entitled to payments of principal of and interest, if any, on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s12"/>
      <w:bookmarkEnd w:id="12"/>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or distribute rights to our stockholders for the purchase of shares of our common stock, preferred stock or debt securities. We may issue rights independently or together with other securities, and the rights may be attached to or separate from any offered or distributed securities and may or may not be transferable by the stockholder receiving the rights. In connection with any offering of rights, we may enter into a standby underwriting, backstop or other arrangement with one or more underwriters or other persons pursuant to which the underwriters or other persons may agree to purchase any securities remaining unsubscribed for after such rights offering. Each series of rights will be issued under a separate rights agreement to be entered into between us and a bank or trust company, as rights agent, all as set forth in an accompanying prospectus supplement relating to the particular issue of rights. The rights agent will act solely as an agent of the Company in connection with the certificates relating to the rights of such series and will not assume any obligation or relationship of agency or trust for or with any holders of rights certificates or beneficial owners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rights are subject to, and qualified in their entirety by reference to, all the provisions of the certificates representing rights applicable to a particular series of rights. The terms of any rights offered or distributed under an accompanying prospectus supplement may differ from the terms described below. We urge you to read the accompanying prospectus supplement as well as the complete certificates representing the rights that contain the terms of the rights. The particular terms of any issue of rights will be described in an accompanying prospectus supplement relating to the issue, and may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a distribution of rights to our stockholders, the date for determining the stockholders entitled to the rights distribution;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a distribution of rights to our stockholders, the number of rights issued or to be issued to each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aggregate number of shares of common stock, preferred stock or debt securities purchasable upon exercise of such rights and the exercise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both"/>
              <w:rPr/>
            </w:pPr>
            <w:r>
              <w:rPr/>
              <w:t>the aggregate number of rights being issued;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84"/>
        <w:gridCol w:w="9835"/>
      </w:tblGrid>
      <w:tr>
        <w:trPr/>
        <w:tc>
          <w:tcPr>
            <w:tcW w:w="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Symbol" w:hAnsi="Symbol"/>
              </w:rPr>
            </w:pPr>
            <w:r>
              <w:rPr>
                <w:rFonts w:ascii="Symbol" w:hAnsi="Symbol"/>
              </w:rPr>
              <w:t>·</w:t>
            </w:r>
          </w:p>
        </w:tc>
        <w:tc>
          <w:tcPr>
            <w:tcW w:w="9835" w:type="dxa"/>
            <w:tcBorders/>
            <w:vAlign w:val="center"/>
          </w:tcPr>
          <w:p>
            <w:pPr>
              <w:pStyle w:val="TableContents"/>
              <w:bidi w:val="0"/>
              <w:spacing w:before="0" w:after="283"/>
              <w:jc w:val="both"/>
              <w:rPr/>
            </w:pPr>
            <w:r>
              <w:rPr/>
              <w:t>the extent to which the rights are transferable;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date on which the holder’s ability to exercise such rights shall commence and the date on which such right shall expire;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extent to which the rights may include an over-subscription privilege with respect to unsubscribed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07"/>
        <w:gridCol w:w="9936"/>
      </w:tblGrid>
      <w:tr>
        <w:trPr/>
        <w:tc>
          <w:tcPr>
            <w:tcW w:w="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Symbol" w:hAnsi="Symbol"/>
              </w:rPr>
            </w:pPr>
            <w:r>
              <w:rPr>
                <w:rFonts w:ascii="Symbol" w:hAnsi="Symbol"/>
              </w:rPr>
              <w:t>·</w:t>
            </w:r>
          </w:p>
        </w:tc>
        <w:tc>
          <w:tcPr>
            <w:tcW w:w="9936" w:type="dxa"/>
            <w:tcBorders/>
            <w:vAlign w:val="center"/>
          </w:tcPr>
          <w:p>
            <w:pPr>
              <w:pStyle w:val="TableContents"/>
              <w:bidi w:val="0"/>
              <w:spacing w:before="0" w:after="283"/>
              <w:jc w:val="both"/>
              <w:rPr/>
            </w:pPr>
            <w:r>
              <w:rPr/>
              <w:t>a discussion of material U.S. federal income tax considerations;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other material terms of such rights, including terms, procedures and limitations relating to the distribution, exchange and exercise of such rights;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material terms of any standby underwriting, backstop or purchase arrangement which may be entered into by the Company in connection with the offering, issuance or distribution of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number of shares of common stock or preferred stock or the principal amount of debt securities at the exercise price provided in the accompanying prospectus supplement. Rights may be exercised at any time up to the close of business on the expiration date for the rights provided in the accompanying prospectus supplement. After the close of business on the expiration date, all unexercised rights will be void and of no further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accompanying prospectus supplement. Upon receipt of payment and the rights certificate properly completed and duly executed at the corporate trust office of the rights agent or any other office indicated in an accompanying prospectus supplement, we will, as soon as practicable, forward the shares of common stock or preferred stock or principal amount of debt securities purchased upon exercise of the rights. If less than all of the rights issued in any rights offering are exercised, we may offer any unsubscribed shares of common stock or preferred stock or principal amount of debt securities directly to persons, which may be to or through agents, underwriters or dealers or through a combination of such methods, including pursuant to standby underwriting arrangements, as described in the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any rights to purchase common stock or preferred stock are exercised, the holders of the any rights will not have any rights of holders of the underlying common stock or preferred stock, including any rights to receive dividends or payments upon any liquidation, dissolution or winding up on the common stock or preferred stock, if any. Until any rights to purchase debt securities are exercised, the holder of any rights will not have any rights of holders of the debt securities that can be purchased upon exercise, including any rights to receive payments of principal, premium or interest on the underlying debt securities or to enforce covenants in the applicable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s13"/>
      <w:bookmarkEnd w:id="13"/>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may be specified in an accompanying prospectus supplement, we may issue units consisting of one or more of our securities registered hereby. An accompanying prospectus supplement will describe: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terms of the units and of the securities comprising the units, including whether and under what circumstances the securities comprising the units may be traded separately;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1"/>
        <w:gridCol w:w="9969"/>
      </w:tblGrid>
      <w:tr>
        <w:trPr/>
        <w:tc>
          <w:tcPr>
            <w:tcW w:w="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rPr>
            </w:pPr>
            <w:r>
              <w:rPr>
                <w:rFonts w:ascii="Symbol" w:hAnsi="Symbol"/>
              </w:rPr>
              <w:t>·</w:t>
            </w:r>
          </w:p>
        </w:tc>
        <w:tc>
          <w:tcPr>
            <w:tcW w:w="9969" w:type="dxa"/>
            <w:tcBorders/>
            <w:vAlign w:val="center"/>
          </w:tcPr>
          <w:p>
            <w:pPr>
              <w:pStyle w:val="TableContents"/>
              <w:bidi w:val="0"/>
              <w:spacing w:before="0" w:after="283"/>
              <w:jc w:val="both"/>
              <w:rPr/>
            </w:pPr>
            <w:r>
              <w:rPr/>
              <w:t>a description of the terms of any unit agreement governing the units;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t>a description of the provisions for the payment, settlement, transfer or exchange of the units.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s14"/>
      <w:bookmarkEnd w:id="1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in any one or more of the following ways: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1"/>
        <w:gridCol w:w="9839"/>
      </w:tblGrid>
      <w:tr>
        <w:trPr/>
        <w:tc>
          <w:tcPr>
            <w:tcW w:w="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Symbol" w:hAnsi="Symbol"/>
              </w:rPr>
            </w:pPr>
            <w:r>
              <w:rPr>
                <w:rFonts w:ascii="Symbol" w:hAnsi="Symbol"/>
              </w:rPr>
              <w:t>·</w:t>
            </w:r>
          </w:p>
        </w:tc>
        <w:tc>
          <w:tcPr>
            <w:tcW w:w="9839" w:type="dxa"/>
            <w:tcBorders/>
            <w:vAlign w:val="center"/>
          </w:tcPr>
          <w:p>
            <w:pPr>
              <w:pStyle w:val="TableContents"/>
              <w:bidi w:val="0"/>
              <w:spacing w:before="0" w:after="283"/>
              <w:jc w:val="left"/>
              <w:rPr/>
            </w:pPr>
            <w:r>
              <w:rPr/>
              <w:t>to or through underwriters, brokers or dealers;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318"/>
        <w:gridCol w:w="9791"/>
      </w:tblGrid>
      <w:tr>
        <w:trPr/>
        <w:tc>
          <w:tcPr>
            <w:tcW w:w="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Symbol" w:hAnsi="Symbol"/>
              </w:rPr>
            </w:pPr>
            <w:r>
              <w:rPr>
                <w:rFonts w:ascii="Symbol" w:hAnsi="Symbol"/>
              </w:rPr>
              <w:t>·</w:t>
            </w:r>
          </w:p>
        </w:tc>
        <w:tc>
          <w:tcPr>
            <w:tcW w:w="9791" w:type="dxa"/>
            <w:tcBorders/>
            <w:vAlign w:val="center"/>
          </w:tcPr>
          <w:p>
            <w:pPr>
              <w:pStyle w:val="TableContents"/>
              <w:bidi w:val="0"/>
              <w:spacing w:before="0" w:after="283"/>
              <w:jc w:val="left"/>
              <w:rPr/>
            </w:pPr>
            <w:r>
              <w:rPr/>
              <w:t>directly to one or more other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through a block trade in which the broker or dealer engaged to handle the block trade will attempt to sell the securities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340"/>
        <w:gridCol w:w="9762"/>
      </w:tblGrid>
      <w:tr>
        <w:trPr/>
        <w:tc>
          <w:tcPr>
            <w:tcW w:w="10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rFonts w:ascii="Symbol" w:hAnsi="Symbol"/>
              </w:rPr>
            </w:pPr>
            <w:r>
              <w:rPr>
                <w:rFonts w:ascii="Symbol" w:hAnsi="Symbol"/>
              </w:rPr>
              <w:t>·</w:t>
            </w:r>
          </w:p>
        </w:tc>
        <w:tc>
          <w:tcPr>
            <w:tcW w:w="9762" w:type="dxa"/>
            <w:tcBorders/>
            <w:vAlign w:val="center"/>
          </w:tcPr>
          <w:p>
            <w:pPr>
              <w:pStyle w:val="TableContents"/>
              <w:bidi w:val="0"/>
              <w:spacing w:before="0" w:after="283"/>
              <w:jc w:val="left"/>
              <w:rPr/>
            </w:pPr>
            <w:r>
              <w:rPr/>
              <w:t>through agents on a best-efforts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method that is deemed an “at the market offering” as defined in Rule 415(a)(4) under the Securities Act;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sz w:val="20"/>
              </w:rPr>
            </w:pPr>
            <w:r>
              <w:rPr>
                <w:sz w:val="20"/>
              </w:rPr>
              <w:t>otherwise through a combination of any of the above methods of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option, share lending or other types of transactions that require us to deliver shares of common stock to an underwriter, broker or dealer, who will then resell or transfer the shares of common stock under this prospectus. We may also enter into hedging transactions with respect to our securities. For example, we may: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enter into transactions involving short sales of the shares of common stock by underwriters, brokers or dealers;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pPr>
            <w:r>
              <w:rPr/>
              <w:t>sell shares of Common Stock short and deliver the shares to close out short positions;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enter into option or other types of transactions that require us to deliver shares of Common Stock to an underwriter, broker or dealer, who will then resell or transfer the shares of Common Stock under this prospectus;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loan or pledge the shares of Common Stock to an underwriter, broker or dealer, who may sell the loaned shares or, in the event of default, sell the pledged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we will provide a prospectus supplement that will name any underwriter, dealer or agent involved in the offer and sale of the securities. The prospectus supplement will also set forth the terms of the offering,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pPr>
            <w:r>
              <w:rPr/>
              <w:t>the purchase price of the securities and the proceeds we will receive from the sale of the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left"/>
              <w:rPr/>
            </w:pPr>
            <w:r>
              <w:rPr/>
              <w:t>any underwriting discounts and other items constituting underwriters’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public offering or purchase price and any discounts or commissions allowed or re-allowed or paid to dealers;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96"/>
        <w:gridCol w:w="9819"/>
      </w:tblGrid>
      <w:tr>
        <w:trPr/>
        <w:tc>
          <w:tcPr>
            <w:tcW w:w="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rFonts w:ascii="Symbol" w:hAnsi="Symbol"/>
              </w:rPr>
            </w:pPr>
            <w:r>
              <w:rPr>
                <w:rFonts w:ascii="Symbol" w:hAnsi="Symbol"/>
              </w:rPr>
              <w:t>·</w:t>
            </w:r>
          </w:p>
        </w:tc>
        <w:tc>
          <w:tcPr>
            <w:tcW w:w="9819" w:type="dxa"/>
            <w:tcBorders/>
            <w:vAlign w:val="center"/>
          </w:tcPr>
          <w:p>
            <w:pPr>
              <w:pStyle w:val="TableContents"/>
              <w:bidi w:val="0"/>
              <w:spacing w:before="0" w:after="283"/>
              <w:jc w:val="left"/>
              <w:rPr/>
            </w:pPr>
            <w:r>
              <w:rPr/>
              <w:t>any commissions allowed or paid to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444"/>
        <w:gridCol w:w="9626"/>
      </w:tblGrid>
      <w:tr>
        <w:trPr/>
        <w:tc>
          <w:tcPr>
            <w:tcW w:w="13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rFonts w:ascii="Symbol" w:hAnsi="Symbol"/>
              </w:rPr>
            </w:pPr>
            <w:r>
              <w:rPr>
                <w:rFonts w:ascii="Symbol" w:hAnsi="Symbol"/>
              </w:rPr>
              <w:t>·</w:t>
            </w:r>
          </w:p>
        </w:tc>
        <w:tc>
          <w:tcPr>
            <w:tcW w:w="9626" w:type="dxa"/>
            <w:tcBorders/>
            <w:vAlign w:val="center"/>
          </w:tcPr>
          <w:p>
            <w:pPr>
              <w:pStyle w:val="TableContents"/>
              <w:bidi w:val="0"/>
              <w:spacing w:before="0" w:after="283"/>
              <w:jc w:val="left"/>
              <w:rPr/>
            </w:pPr>
            <w:r>
              <w:rPr/>
              <w:t>any other offering 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09"/>
        <w:gridCol w:w="9933"/>
      </w:tblGrid>
      <w:tr>
        <w:trPr/>
        <w:tc>
          <w:tcPr>
            <w:tcW w:w="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Symbol" w:hAnsi="Symbol"/>
              </w:rPr>
            </w:pPr>
            <w:r>
              <w:rPr>
                <w:rFonts w:ascii="Symbol" w:hAnsi="Symbol"/>
              </w:rPr>
              <w:t>·</w:t>
            </w:r>
          </w:p>
        </w:tc>
        <w:tc>
          <w:tcPr>
            <w:tcW w:w="9933" w:type="dxa"/>
            <w:tcBorders/>
            <w:vAlign w:val="center"/>
          </w:tcPr>
          <w:p>
            <w:pPr>
              <w:pStyle w:val="TableContents"/>
              <w:bidi w:val="0"/>
              <w:spacing w:before="0" w:after="283"/>
              <w:jc w:val="left"/>
              <w:rPr/>
            </w:pPr>
            <w:r>
              <w:rPr/>
              <w:t>any securities exchanges on which the securities may be listed;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3"/>
        <w:gridCol w:w="9811"/>
      </w:tblGrid>
      <w:tr>
        <w:trPr/>
        <w:tc>
          <w:tcPr>
            <w:tcW w:w="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Symbol" w:hAnsi="Symbol"/>
              </w:rPr>
            </w:pPr>
            <w:r>
              <w:rPr>
                <w:rFonts w:ascii="Symbol" w:hAnsi="Symbol"/>
              </w:rPr>
              <w:t>·</w:t>
            </w:r>
          </w:p>
        </w:tc>
        <w:tc>
          <w:tcPr>
            <w:tcW w:w="9811" w:type="dxa"/>
            <w:tcBorders/>
            <w:vAlign w:val="center"/>
          </w:tcPr>
          <w:p>
            <w:pPr>
              <w:pStyle w:val="TableContents"/>
              <w:bidi w:val="0"/>
              <w:spacing w:before="0" w:after="283"/>
              <w:jc w:val="left"/>
              <w:rPr/>
            </w:pPr>
            <w:r>
              <w:rPr/>
              <w:t>the method of distribution of the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terms of any agreement, arrangement or understanding entered into with the underwriters, brokers or dealers;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92"/>
        <w:gridCol w:w="9824"/>
      </w:tblGrid>
      <w:tr>
        <w:trPr/>
        <w:tc>
          <w:tcPr>
            <w:tcW w:w="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4" w:type="dxa"/>
            <w:tcBorders/>
            <w:vAlign w:val="center"/>
          </w:tcPr>
          <w:p>
            <w:pPr>
              <w:pStyle w:val="TableContents"/>
              <w:bidi w:val="0"/>
              <w:spacing w:before="0" w:after="283"/>
              <w:jc w:val="left"/>
              <w:rPr/>
            </w:pPr>
            <w:r>
              <w:rPr/>
              <w:t>any other information we think is important.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or dealers are used in the sale, the securities will be acquired by the underwriters or dealers for their own account. The securities may be sold from time to time by us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1"/>
        <w:gridCol w:w="9839"/>
      </w:tblGrid>
      <w:tr>
        <w:trPr/>
        <w:tc>
          <w:tcPr>
            <w:tcW w:w="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Symbol" w:hAnsi="Symbol"/>
              </w:rPr>
            </w:pPr>
            <w:r>
              <w:rPr>
                <w:rFonts w:ascii="Symbol" w:hAnsi="Symbol"/>
              </w:rPr>
              <w:t>·</w:t>
            </w:r>
          </w:p>
        </w:tc>
        <w:tc>
          <w:tcPr>
            <w:tcW w:w="9839" w:type="dxa"/>
            <w:tcBorders/>
            <w:vAlign w:val="center"/>
          </w:tcPr>
          <w:p>
            <w:pPr>
              <w:pStyle w:val="TableContents"/>
              <w:bidi w:val="0"/>
              <w:spacing w:before="0" w:after="283"/>
              <w:jc w:val="left"/>
              <w:rPr/>
            </w:pPr>
            <w:r>
              <w:rPr/>
              <w:t>at a fixed price or prices that may be changed;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86"/>
        <w:gridCol w:w="9833"/>
      </w:tblGrid>
      <w:tr>
        <w:trPr/>
        <w:tc>
          <w:tcPr>
            <w:tcW w:w="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Symbol" w:hAnsi="Symbol"/>
              </w:rPr>
            </w:pPr>
            <w:r>
              <w:rPr>
                <w:rFonts w:ascii="Symbol" w:hAnsi="Symbol"/>
              </w:rPr>
              <w:t>·</w:t>
            </w:r>
          </w:p>
        </w:tc>
        <w:tc>
          <w:tcPr>
            <w:tcW w:w="9833" w:type="dxa"/>
            <w:tcBorders/>
            <w:vAlign w:val="center"/>
          </w:tcPr>
          <w:p>
            <w:pPr>
              <w:pStyle w:val="TableContents"/>
              <w:bidi w:val="0"/>
              <w:spacing w:before="0" w:after="283"/>
              <w:jc w:val="left"/>
              <w:rPr/>
            </w:pPr>
            <w:r>
              <w:rPr/>
              <w:t>at market prices prevailing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67"/>
        <w:gridCol w:w="9858"/>
      </w:tblGrid>
      <w:tr>
        <w:trPr/>
        <w:tc>
          <w:tcPr>
            <w:tcW w:w="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Symbol" w:hAnsi="Symbol"/>
              </w:rPr>
            </w:pPr>
            <w:r>
              <w:rPr>
                <w:rFonts w:ascii="Symbol" w:hAnsi="Symbol"/>
              </w:rPr>
              <w:t>·</w:t>
            </w:r>
          </w:p>
        </w:tc>
        <w:tc>
          <w:tcPr>
            <w:tcW w:w="9858" w:type="dxa"/>
            <w:tcBorders/>
            <w:vAlign w:val="center"/>
          </w:tcPr>
          <w:p>
            <w:pPr>
              <w:pStyle w:val="TableContents"/>
              <w:bidi w:val="0"/>
              <w:spacing w:before="0" w:after="283"/>
              <w:jc w:val="left"/>
              <w:rPr/>
            </w:pPr>
            <w:r>
              <w:rPr/>
              <w:t>at prices related to such prevailing market prices;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60"/>
        <w:gridCol w:w="9866"/>
      </w:tblGrid>
      <w:tr>
        <w:trPr/>
        <w:tc>
          <w:tcPr>
            <w:tcW w:w="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6" w:type="dxa"/>
            <w:tcBorders/>
            <w:vAlign w:val="center"/>
          </w:tcPr>
          <w:p>
            <w:pPr>
              <w:pStyle w:val="TableContents"/>
              <w:bidi w:val="0"/>
              <w:spacing w:before="0" w:after="283"/>
              <w:jc w:val="left"/>
              <w:rPr/>
            </w:pPr>
            <w:r>
              <w:rPr/>
              <w:t>at varying prices determined at the time of sale;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615"/>
        <w:gridCol w:w="9403"/>
      </w:tblGrid>
      <w:tr>
        <w:trPr/>
        <w:tc>
          <w:tcPr>
            <w:tcW w:w="18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rFonts w:ascii="Symbol" w:hAnsi="Symbol"/>
              </w:rPr>
            </w:pPr>
            <w:r>
              <w:rPr>
                <w:rFonts w:ascii="Symbol" w:hAnsi="Symbol"/>
              </w:rPr>
              <w:t>·</w:t>
            </w:r>
          </w:p>
        </w:tc>
        <w:tc>
          <w:tcPr>
            <w:tcW w:w="9403" w:type="dxa"/>
            <w:tcBorders/>
            <w:vAlign w:val="center"/>
          </w:tcPr>
          <w:p>
            <w:pPr>
              <w:pStyle w:val="TableContents"/>
              <w:bidi w:val="0"/>
              <w:spacing w:before="0" w:after="283"/>
              <w:jc w:val="left"/>
              <w:rPr/>
            </w:pPr>
            <w:r>
              <w:rPr/>
              <w:t>at negotiated prices.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sales may be effected: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transactions on any national securities exchange or quotation service on which the securities may be listed or quoted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3"/>
        <w:gridCol w:w="9837"/>
      </w:tblGrid>
      <w:tr>
        <w:trPr/>
        <w:tc>
          <w:tcPr>
            <w:tcW w:w="8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Symbol" w:hAnsi="Symbol"/>
              </w:rPr>
            </w:pPr>
            <w:r>
              <w:rPr>
                <w:rFonts w:ascii="Symbol" w:hAnsi="Symbol"/>
              </w:rPr>
              <w:t>·</w:t>
            </w:r>
          </w:p>
        </w:tc>
        <w:tc>
          <w:tcPr>
            <w:tcW w:w="9837" w:type="dxa"/>
            <w:tcBorders/>
            <w:vAlign w:val="center"/>
          </w:tcPr>
          <w:p>
            <w:pPr>
              <w:pStyle w:val="TableContents"/>
              <w:bidi w:val="0"/>
              <w:spacing w:before="0" w:after="283"/>
              <w:jc w:val="left"/>
              <w:rPr/>
            </w:pPr>
            <w:r>
              <w:rPr/>
              <w:t>in transactions 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82"/>
        <w:gridCol w:w="9707"/>
      </w:tblGrid>
      <w:tr>
        <w:trPr/>
        <w:tc>
          <w:tcPr>
            <w:tcW w:w="1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rFonts w:ascii="Symbol" w:hAnsi="Symbol"/>
              </w:rPr>
            </w:pPr>
            <w:r>
              <w:rPr>
                <w:rFonts w:ascii="Symbol" w:hAnsi="Symbol"/>
              </w:rPr>
              <w:t>·</w:t>
            </w:r>
          </w:p>
        </w:tc>
        <w:tc>
          <w:tcPr>
            <w:tcW w:w="9707" w:type="dxa"/>
            <w:tcBorders/>
            <w:vAlign w:val="center"/>
          </w:tcPr>
          <w:p>
            <w:pPr>
              <w:pStyle w:val="TableContents"/>
              <w:bidi w:val="0"/>
              <w:spacing w:before="0" w:after="283"/>
              <w:jc w:val="left"/>
              <w:rPr/>
            </w:pPr>
            <w:r>
              <w:rPr/>
              <w:t>through the writing of options;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363"/>
        <w:gridCol w:w="9732"/>
      </w:tblGrid>
      <w:tr>
        <w:trPr/>
        <w:tc>
          <w:tcPr>
            <w:tcW w:w="1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Symbol" w:hAnsi="Symbol"/>
              </w:rPr>
            </w:pPr>
            <w:r>
              <w:rPr>
                <w:rFonts w:ascii="Symbol" w:hAnsi="Symbol"/>
              </w:rPr>
              <w:t>·</w:t>
            </w:r>
          </w:p>
        </w:tc>
        <w:tc>
          <w:tcPr>
            <w:tcW w:w="9732" w:type="dxa"/>
            <w:tcBorders/>
            <w:vAlign w:val="center"/>
          </w:tcPr>
          <w:p>
            <w:pPr>
              <w:pStyle w:val="TableContents"/>
              <w:bidi w:val="0"/>
              <w:spacing w:before="0" w:after="283"/>
              <w:jc w:val="left"/>
              <w:rPr/>
            </w:pPr>
            <w:r>
              <w:rPr/>
              <w:t>through other types of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Common Stock covered by this prospectus that qualify for sale pursuant to Rule 144 under the Securities Act may be sold under Rule 144 rather than pursuant to this prospectus. Any shares of Class A Common Stock offered under this prospectus will be listed on Nasdaq (or other such exchange or automated quotation system on which the Class A Common Stock is listed),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directly by us or through agents designated by us from time to time. Any agent involved in the offer or sale of the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offered by this prospectus may be solicited, and sales of the securities may be made by us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406"/>
        <w:gridCol w:w="9676"/>
      </w:tblGrid>
      <w:tr>
        <w:trPr/>
        <w:tc>
          <w:tcPr>
            <w:tcW w:w="1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Symbol" w:hAnsi="Symbol"/>
              </w:rPr>
            </w:pPr>
            <w:r>
              <w:rPr>
                <w:rFonts w:ascii="Symbol" w:hAnsi="Symbol"/>
              </w:rPr>
              <w:t>·</w:t>
            </w:r>
          </w:p>
        </w:tc>
        <w:tc>
          <w:tcPr>
            <w:tcW w:w="9676" w:type="dxa"/>
            <w:tcBorders/>
            <w:vAlign w:val="center"/>
          </w:tcPr>
          <w:p>
            <w:pPr>
              <w:pStyle w:val="TableContents"/>
              <w:bidi w:val="0"/>
              <w:spacing w:before="0" w:after="283"/>
              <w:jc w:val="left"/>
              <w:rPr/>
            </w:pPr>
            <w:r>
              <w:rPr/>
              <w:t>commercial and savings banks;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574"/>
        <w:gridCol w:w="9457"/>
      </w:tblGrid>
      <w:tr>
        <w:trPr/>
        <w:tc>
          <w:tcPr>
            <w:tcW w:w="1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rFonts w:ascii="Symbol" w:hAnsi="Symbol"/>
              </w:rPr>
            </w:pPr>
            <w:r>
              <w:rPr>
                <w:rFonts w:ascii="Symbol" w:hAnsi="Symbol"/>
              </w:rPr>
              <w:t>·</w:t>
            </w:r>
          </w:p>
        </w:tc>
        <w:tc>
          <w:tcPr>
            <w:tcW w:w="9457" w:type="dxa"/>
            <w:tcBorders/>
            <w:vAlign w:val="center"/>
          </w:tcPr>
          <w:p>
            <w:pPr>
              <w:pStyle w:val="TableContents"/>
              <w:bidi w:val="0"/>
              <w:spacing w:before="0" w:after="283"/>
              <w:jc w:val="left"/>
              <w:rPr/>
            </w:pPr>
            <w:r>
              <w:rPr/>
              <w:t>insurance companies;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809"/>
        <w:gridCol w:w="9151"/>
      </w:tblGrid>
      <w:tr>
        <w:trPr/>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rFonts w:ascii="Symbol" w:hAnsi="Symbol"/>
              </w:rPr>
            </w:pPr>
            <w:r>
              <w:rPr>
                <w:rFonts w:ascii="Symbol" w:hAnsi="Symbol"/>
              </w:rPr>
              <w:t>·</w:t>
            </w:r>
          </w:p>
        </w:tc>
        <w:tc>
          <w:tcPr>
            <w:tcW w:w="9151" w:type="dxa"/>
            <w:tcBorders/>
            <w:vAlign w:val="center"/>
          </w:tcPr>
          <w:p>
            <w:pPr>
              <w:pStyle w:val="TableContents"/>
              <w:bidi w:val="0"/>
              <w:spacing w:before="0" w:after="283"/>
              <w:jc w:val="left"/>
              <w:rPr/>
            </w:pPr>
            <w:r>
              <w:rPr/>
              <w:t>pension funds;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464"/>
        <w:gridCol w:w="9600"/>
      </w:tblGrid>
      <w:tr>
        <w:trPr/>
        <w:tc>
          <w:tcPr>
            <w:tcW w:w="1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rFonts w:ascii="Symbol" w:hAnsi="Symbol"/>
              </w:rPr>
            </w:pPr>
            <w:r>
              <w:rPr>
                <w:rFonts w:ascii="Symbol" w:hAnsi="Symbol"/>
              </w:rPr>
              <w:t>·</w:t>
            </w:r>
          </w:p>
        </w:tc>
        <w:tc>
          <w:tcPr>
            <w:tcW w:w="9600" w:type="dxa"/>
            <w:tcBorders/>
            <w:vAlign w:val="center"/>
          </w:tcPr>
          <w:p>
            <w:pPr>
              <w:pStyle w:val="TableContents"/>
              <w:bidi w:val="0"/>
              <w:spacing w:before="0" w:after="283"/>
              <w:jc w:val="left"/>
              <w:rPr/>
            </w:pPr>
            <w:r>
              <w:rPr/>
              <w:t>investment companies;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376"/>
        <w:gridCol w:w="9715"/>
      </w:tblGrid>
      <w:tr>
        <w:trPr/>
        <w:tc>
          <w:tcPr>
            <w:tcW w:w="1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Symbol" w:hAnsi="Symbol"/>
              </w:rPr>
            </w:pPr>
            <w:r>
              <w:rPr>
                <w:rFonts w:ascii="Symbol" w:hAnsi="Symbol"/>
              </w:rPr>
              <w:t>·</w:t>
            </w:r>
          </w:p>
        </w:tc>
        <w:tc>
          <w:tcPr>
            <w:tcW w:w="9715" w:type="dxa"/>
            <w:tcBorders/>
            <w:vAlign w:val="center"/>
          </w:tcPr>
          <w:p>
            <w:pPr>
              <w:pStyle w:val="TableContents"/>
              <w:bidi w:val="0"/>
              <w:spacing w:before="0" w:after="283"/>
              <w:jc w:val="left"/>
              <w:rPr/>
            </w:pPr>
            <w:r>
              <w:rPr/>
              <w:t>educational charitable institutions.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these purchasers must be approved by us.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must have sold to these underwriters the securities not subject to delayed delivery. Underwriters and other agents will not have any responsibility in respect of the validity or performance of these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underwriters, dealers or agents used by us in any offering of securities under this prospectus may be customers of, engage in transactions with, and perform services for us or affiliates of ours in the ordinary course of business. Underwriters, dealers, agents and other persons may be entitled under agreements which may be entered into with us to indemnification against and contribution toward certain civil liabilities, including liabilities under the Securities Act, and to be reimbursed by us for certain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restrictions relating to debt securities in bearer form, any securities initially sold outside the United States may be resold in the United States through underwriters, dealers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to which offered securities are sold by us for public offering and sale may make a market in such securities, but those underwriters will not be obligated to do so and may discontinue any market making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date of delivery of the securities offered by this prospectus will be described in the applicable prospectus supplement relating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s15"/>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certain legal matters will be passed upon for us by Cozen O’Connor, New York, New York. If legal matters in connection with offerings made pursuant to this prospectus are passed upon by counsel for underwriters, dealers or agents, if any, such counsel will be named in the prospectus supplement relating to such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s16"/>
      <w:bookmarkEnd w:id="16"/>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consolidated financial statements of the Company as of December, 31, 2025 and for the year then ended, incorporated in this prospectus by reference from our Annual Report on </w:t>
      </w:r>
      <w:hyperlink r:id="rId15">
        <w:r>
          <w:rPr>
            <w:rStyle w:val="InternetLink"/>
            <w:rFonts w:ascii="Times New Roman;Times;Serif" w:hAnsi="Times New Roman;Times;Serif"/>
            <w:b w:val="false"/>
            <w:i w:val="false"/>
            <w:caps w:val="false"/>
            <w:smallCaps w:val="false"/>
            <w:sz w:val="20"/>
          </w:rPr>
          <w:t>Form 10-K for the fiscal year ended December 31, 2025</w:t>
        </w:r>
      </w:hyperlink>
      <w:r>
        <w:rPr>
          <w:rFonts w:ascii="Times New Roman;Times;Serif" w:hAnsi="Times New Roman;Times;Serif"/>
          <w:b w:val="false"/>
          <w:i w:val="false"/>
          <w:caps w:val="false"/>
          <w:smallCaps w:val="false"/>
          <w:sz w:val="20"/>
        </w:rPr>
        <w:t>, have been audited by KPMG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consolidated financial statements of the Company as of December, 31, 2024 and for the year then ended, incorporated in this prospectus by reference from our Annual Report on </w:t>
      </w:r>
      <w:hyperlink r:id="rId16">
        <w:r>
          <w:rPr>
            <w:rStyle w:val="InternetLink"/>
            <w:rFonts w:ascii="Times New Roman;Times;Serif" w:hAnsi="Times New Roman;Times;Serif"/>
            <w:b w:val="false"/>
            <w:i w:val="false"/>
            <w:caps w:val="false"/>
            <w:smallCaps w:val="false"/>
            <w:sz w:val="20"/>
          </w:rPr>
          <w:t>Form 10-K for the fiscal year ended December 31, 2025</w:t>
        </w:r>
      </w:hyperlink>
      <w:r>
        <w:rPr>
          <w:rFonts w:ascii="Times New Roman;Times;Serif" w:hAnsi="Times New Roman;Times;Serif"/>
          <w:b w:val="false"/>
          <w:i w:val="false"/>
          <w:caps w:val="false"/>
          <w:smallCaps w:val="false"/>
          <w:sz w:val="20"/>
        </w:rPr>
        <w:t>, have been audited by Baker Tilly US,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80260" cy="4495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080260" cy="44958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b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601"/>
        <w:gridCol w:w="8533"/>
      </w:tblGrid>
      <w:tr>
        <w:trPr/>
        <w:tc>
          <w:tcPr>
            <w:tcW w:w="7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b/>
              </w:rPr>
            </w:pPr>
            <w:r>
              <w:rPr>
                <w:b/>
              </w:rPr>
              <w:t>Item 14.</w:t>
            </w:r>
          </w:p>
        </w:tc>
        <w:tc>
          <w:tcPr>
            <w:tcW w:w="8533" w:type="dxa"/>
            <w:tcBorders/>
            <w:vAlign w:val="center"/>
          </w:tcPr>
          <w:p>
            <w:pPr>
              <w:pStyle w:val="TableContents"/>
              <w:bidi w:val="0"/>
              <w:spacing w:before="0" w:after="283"/>
              <w:jc w:val="left"/>
              <w:rPr>
                <w:b/>
                <w:i/>
              </w:rPr>
            </w:pPr>
            <w:r>
              <w:rPr>
                <w:b/>
                <w:i/>
              </w:rPr>
              <w:t>Other Expenses of Issuance and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estimate of the expenses (all of which are to be paid by the registrant) that the registrant may incur in connection with the securities being registered hereby.</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4355"/>
        <w:gridCol w:w="125"/>
        <w:gridCol w:w="590"/>
        <w:gridCol w:w="75"/>
      </w:tblGrid>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 registration fee</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Printing expenses </w:t>
            </w:r>
          </w:p>
        </w:tc>
        <w:tc>
          <w:tcPr>
            <w:tcW w:w="1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1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1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fees and expenses</w:t>
            </w:r>
          </w:p>
        </w:tc>
        <w:tc>
          <w:tcPr>
            <w:tcW w:w="1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expenses</w:t>
            </w:r>
          </w:p>
        </w:tc>
        <w:tc>
          <w:tcPr>
            <w:tcW w:w="1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125"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These fees and expenses are calculated based on the amount of securities offered and accordingly cannot be estimated at this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w:t>
      </w: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w:t>
      </w:r>
      <w:r>
        <w:rPr>
          <w:rFonts w:ascii="Times New Roman;Times;Serif" w:hAnsi="Times New Roman;Times;Serif"/>
          <w:b w:val="false"/>
          <w:i/>
          <w:caps w:val="false"/>
          <w:smallCaps w:val="false"/>
          <w:sz w:val="20"/>
        </w:rPr>
        <w:t>DGCL</w:t>
      </w:r>
      <w:r>
        <w:rPr>
          <w:rFonts w:ascii="Times New Roman;Times;Serif" w:hAnsi="Times New Roman;Times;Serif"/>
          <w:b w:val="false"/>
          <w:i w:val="false"/>
          <w:caps w:val="false"/>
          <w:smallCaps w:val="false"/>
          <w:sz w:val="20"/>
        </w:rPr>
        <w:t>”)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Navitas.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to the fullest extent permitted by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directors and executive officers to provide contractual indemnification in addition to the indemnification provided in its certificate of incorporation and bylaws. Each indemnification agreement provides for indemnification and advancements by the registrant of certain expenses and costs relating to claims, suits or proceedings arising from his or her service to the registrant or, at the registrant’s request, service to other entities, as officers or directors to the maximum extent permitted by applicable law. The registrant believes that these provisions and agreements are necessary to attract qualified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are necessarily subject to the complete text of the DGCL, the registrant’s certificate of incorporation and bylaws, as amended to date, and the arrangements referred to above and are qualified in their entirety by reference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w:t>
      </w:r>
      <w:r>
        <w:rPr>
          <w:rFonts w:ascii="Times New Roman;Times;Serif" w:hAnsi="Times New Roman;Times;Serif"/>
          <w:b/>
          <w:i/>
          <w:caps w:val="false"/>
          <w:smallCaps w:val="false"/>
          <w:sz w:val="20"/>
        </w:rPr>
        <w:t>Exhibits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6497"/>
        <w:gridCol w:w="60"/>
        <w:gridCol w:w="500"/>
        <w:gridCol w:w="60"/>
        <w:gridCol w:w="773"/>
        <w:gridCol w:w="60"/>
        <w:gridCol w:w="650"/>
        <w:gridCol w:w="60"/>
        <w:gridCol w:w="820"/>
      </w:tblGrid>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23"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top w:val="single" w:sz="8" w:space="0" w:color="000000"/>
            </w:tcBorders>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top w:val="single" w:sz="8" w:space="0" w:color="000000"/>
            </w:tcBorders>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op w:val="single" w:sz="8" w:space="0" w:color="000000"/>
            </w:tcBorders>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 for 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 for Debt Securities.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 for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 for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 for Units.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r:id="rId18">
              <w:r>
                <w:rPr>
                  <w:rStyle w:val="InternetLink"/>
                  <w:rFonts w:ascii="Times New Roman;Times;Serif" w:hAnsi="Times New Roman;Times;Serif"/>
                  <w:b w:val="false"/>
                  <w:i w:val="false"/>
                  <w:caps w:val="false"/>
                  <w:smallCaps w:val="false"/>
                  <w:sz w:val="20"/>
                </w:rPr>
                <w:t>4.1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r:id="rId19">
              <w:r>
                <w:rPr>
                  <w:rStyle w:val="InternetLink"/>
                  <w:rFonts w:ascii="Times New Roman;Times;Serif" w:hAnsi="Times New Roman;Times;Serif"/>
                  <w:b w:val="false"/>
                  <w:i w:val="false"/>
                  <w:caps w:val="false"/>
                  <w:smallCaps w:val="false"/>
                  <w:sz w:val="20"/>
                </w:rPr>
                <w:t>Second Amended and Restated Certificate of Incorporation of Navitas Semiconductor Corporation.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pPr>
            <w:hyperlink r:id="rId20">
              <w:r>
                <w:rPr>
                  <w:rStyle w:val="InternetLink"/>
                  <w:rFonts w:ascii="Times New Roman;Times;Serif" w:hAnsi="Times New Roman;Times;Serif"/>
                  <w:b w:val="false"/>
                  <w:i w:val="false"/>
                  <w:caps w:val="false"/>
                  <w:smallCaps w:val="false"/>
                  <w:sz w:val="20"/>
                </w:rPr>
                <w:t>8-K</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center"/>
              <w:rPr/>
            </w:pPr>
            <w:hyperlink r:id="rId21">
              <w:r>
                <w:rPr>
                  <w:rStyle w:val="InternetLink"/>
                  <w:rFonts w:ascii="Times New Roman;Times;Serif" w:hAnsi="Times New Roman;Times;Serif"/>
                  <w:b w:val="false"/>
                  <w:i w:val="false"/>
                  <w:caps w:val="false"/>
                  <w:smallCaps w:val="false"/>
                  <w:sz w:val="20"/>
                </w:rPr>
                <w:t>001-39755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pPr>
            <w:hyperlink r:id="rId22">
              <w:r>
                <w:rPr>
                  <w:rStyle w:val="InternetLink"/>
                  <w:rFonts w:ascii="Times New Roman;Times;Serif" w:hAnsi="Times New Roman;Times;Serif"/>
                  <w:b w:val="false"/>
                  <w:i w:val="false"/>
                  <w:caps w:val="false"/>
                  <w:smallCaps w:val="false"/>
                  <w:sz w:val="20"/>
                </w:rPr>
                <w:t>3.1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center"/>
              <w:rPr/>
            </w:pPr>
            <w:hyperlink r:id="rId23">
              <w:r>
                <w:rPr>
                  <w:rStyle w:val="InternetLink"/>
                  <w:rFonts w:ascii="Times New Roman;Times;Serif" w:hAnsi="Times New Roman;Times;Serif"/>
                  <w:b w:val="false"/>
                  <w:i w:val="false"/>
                  <w:caps w:val="false"/>
                  <w:smallCaps w:val="false"/>
                  <w:sz w:val="20"/>
                </w:rPr>
                <w:t>10/25/2021</w:t>
              </w:r>
            </w:hyperlink>
          </w:p>
        </w:tc>
      </w:tr>
      <w:tr>
        <w:trPr/>
        <w:tc>
          <w:tcPr>
            <w:tcW w:w="665" w:type="dxa"/>
            <w:tcBorders/>
            <w:vAlign w:val="center"/>
          </w:tcPr>
          <w:p>
            <w:pPr>
              <w:pStyle w:val="TableContents"/>
              <w:bidi w:val="0"/>
              <w:spacing w:before="0" w:after="283"/>
              <w:jc w:val="left"/>
              <w:rPr/>
            </w:pPr>
            <w:hyperlink r:id="rId24">
              <w:r>
                <w:rPr>
                  <w:rStyle w:val="InternetLink"/>
                  <w:rFonts w:ascii="Times New Roman;Times;Serif" w:hAnsi="Times New Roman;Times;Serif"/>
                  <w:b w:val="false"/>
                  <w:i w:val="false"/>
                  <w:caps w:val="false"/>
                  <w:smallCaps w:val="false"/>
                  <w:sz w:val="20"/>
                </w:rPr>
                <w:t>4.2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r:id="rId25">
              <w:r>
                <w:rPr>
                  <w:rStyle w:val="InternetLink"/>
                  <w:rFonts w:ascii="Times New Roman;Times;Serif" w:hAnsi="Times New Roman;Times;Serif"/>
                  <w:b w:val="false"/>
                  <w:i w:val="false"/>
                  <w:caps w:val="false"/>
                  <w:smallCaps w:val="false"/>
                  <w:sz w:val="20"/>
                </w:rPr>
                <w:t>Amended and Restated Bylaws of Navitas Semiconductor Corporation.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pPr>
            <w:hyperlink r:id="rId26">
              <w:r>
                <w:rPr>
                  <w:rStyle w:val="InternetLink"/>
                  <w:rFonts w:ascii="Times New Roman;Times;Serif" w:hAnsi="Times New Roman;Times;Serif"/>
                  <w:b w:val="false"/>
                  <w:i w:val="false"/>
                  <w:caps w:val="false"/>
                  <w:smallCaps w:val="false"/>
                  <w:sz w:val="20"/>
                </w:rPr>
                <w:t>8-K</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center"/>
              <w:rPr/>
            </w:pPr>
            <w:hyperlink r:id="rId27">
              <w:r>
                <w:rPr>
                  <w:rStyle w:val="InternetLink"/>
                  <w:rFonts w:ascii="Times New Roman;Times;Serif" w:hAnsi="Times New Roman;Times;Serif"/>
                  <w:b w:val="false"/>
                  <w:i w:val="false"/>
                  <w:caps w:val="false"/>
                  <w:smallCaps w:val="false"/>
                  <w:sz w:val="20"/>
                </w:rPr>
                <w:t>001-39755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pPr>
            <w:hyperlink r:id="rId28">
              <w:r>
                <w:rPr>
                  <w:rStyle w:val="InternetLink"/>
                  <w:rFonts w:ascii="Times New Roman;Times;Serif" w:hAnsi="Times New Roman;Times;Serif"/>
                  <w:b w:val="false"/>
                  <w:i w:val="false"/>
                  <w:caps w:val="false"/>
                  <w:smallCaps w:val="false"/>
                  <w:sz w:val="20"/>
                </w:rPr>
                <w:t>3.1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center"/>
              <w:rPr/>
            </w:pPr>
            <w:hyperlink r:id="rId29">
              <w:r>
                <w:rPr>
                  <w:rStyle w:val="InternetLink"/>
                  <w:rFonts w:ascii="Times New Roman;Times;Serif" w:hAnsi="Times New Roman;Times;Serif"/>
                  <w:b w:val="false"/>
                  <w:i w:val="false"/>
                  <w:caps w:val="false"/>
                  <w:smallCaps w:val="false"/>
                  <w:sz w:val="20"/>
                </w:rPr>
                <w:t>04/10/2025</w:t>
              </w:r>
            </w:hyperlink>
          </w:p>
        </w:tc>
      </w:tr>
      <w:tr>
        <w:trPr/>
        <w:tc>
          <w:tcPr>
            <w:tcW w:w="665" w:type="dxa"/>
            <w:tcBorders/>
            <w:vAlign w:val="center"/>
          </w:tcPr>
          <w:p>
            <w:pPr>
              <w:pStyle w:val="TableContents"/>
              <w:bidi w:val="0"/>
              <w:spacing w:before="0" w:after="283"/>
              <w:jc w:val="left"/>
              <w:rPr/>
            </w:pPr>
            <w:hyperlink w:anchor="tm2613239d1_ex4-3.htm">
              <w:r>
                <w:rPr>
                  <w:rStyle w:val="InternetLink"/>
                  <w:rFonts w:ascii="Times New Roman;Times;Serif" w:hAnsi="Times New Roman;Times;Serif"/>
                  <w:b w:val="false"/>
                  <w:i w:val="false"/>
                  <w:caps w:val="false"/>
                  <w:smallCaps w:val="false"/>
                  <w:sz w:val="20"/>
                </w:rPr>
                <w:t>4.3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w:anchor="tm2613239d1_ex4-3.htm">
              <w:r>
                <w:rPr>
                  <w:rStyle w:val="InternetLink"/>
                  <w:rFonts w:ascii="Times New Roman;Times;Serif" w:hAnsi="Times New Roman;Times;Serif"/>
                  <w:b w:val="false"/>
                  <w:i w:val="false"/>
                  <w:caps w:val="false"/>
                  <w:smallCaps w:val="false"/>
                  <w:sz w:val="20"/>
                </w:rPr>
                <w:t>Form of Indenture.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Designation.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Agent Agreement.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13239d1_ex5-1.htm">
              <w:r>
                <w:rPr>
                  <w:rStyle w:val="InternetLink"/>
                  <w:rFonts w:ascii="Times New Roman;Times;Serif" w:hAnsi="Times New Roman;Times;Serif"/>
                  <w:b w:val="false"/>
                  <w:i w:val="false"/>
                  <w:caps w:val="false"/>
                  <w:smallCaps w:val="false"/>
                  <w:sz w:val="20"/>
                </w:rPr>
                <w:t>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w:anchor="tm2613239d1_ex5-1.htm">
              <w:r>
                <w:rPr>
                  <w:rStyle w:val="InternetLink"/>
                  <w:rFonts w:ascii="Times New Roman;Times;Serif" w:hAnsi="Times New Roman;Times;Serif"/>
                  <w:b w:val="false"/>
                  <w:i w:val="false"/>
                  <w:caps w:val="false"/>
                  <w:smallCaps w:val="false"/>
                  <w:sz w:val="20"/>
                </w:rPr>
                <w:t>Opinion of Counsel.</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13239d1_ex5-1.htm">
              <w:r>
                <w:rPr>
                  <w:rStyle w:val="InternetLink"/>
                  <w:rFonts w:ascii="Times New Roman;Times;Serif" w:hAnsi="Times New Roman;Times;Serif"/>
                  <w:b w:val="false"/>
                  <w:i w:val="false"/>
                  <w:caps w:val="false"/>
                  <w:smallCaps w:val="false"/>
                  <w:sz w:val="20"/>
                </w:rPr>
                <w:t>23.1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w:anchor="tm2613239d1_ex5-1.htm">
              <w:r>
                <w:rPr>
                  <w:rStyle w:val="InternetLink"/>
                  <w:rFonts w:ascii="Times New Roman;Times;Serif" w:hAnsi="Times New Roman;Times;Serif"/>
                  <w:b w:val="false"/>
                  <w:i w:val="false"/>
                  <w:caps w:val="false"/>
                  <w:smallCaps w:val="false"/>
                  <w:sz w:val="20"/>
                </w:rPr>
                <w:t>Consent of Counsel (contained within 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13239d1_ex23-2.htm">
              <w:r>
                <w:rPr>
                  <w:rStyle w:val="InternetLink"/>
                  <w:rFonts w:ascii="Times New Roman;Times;Serif" w:hAnsi="Times New Roman;Times;Serif"/>
                  <w:b w:val="false"/>
                  <w:i w:val="false"/>
                  <w:caps w:val="false"/>
                  <w:smallCaps w:val="false"/>
                  <w:sz w:val="20"/>
                </w:rPr>
                <w:t>23.2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w:anchor="tm2613239d1_ex23-2.htm">
              <w:r>
                <w:rPr>
                  <w:rStyle w:val="InternetLink"/>
                  <w:rFonts w:ascii="Times New Roman;Times;Serif" w:hAnsi="Times New Roman;Times;Serif"/>
                  <w:b w:val="false"/>
                  <w:i w:val="false"/>
                  <w:caps w:val="false"/>
                  <w:smallCaps w:val="false"/>
                  <w:sz w:val="20"/>
                </w:rPr>
                <w:t>Consent of KPMG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13239d1_ex23-3.htm">
              <w:r>
                <w:rPr>
                  <w:rStyle w:val="InternetLink"/>
                  <w:rFonts w:ascii="Times New Roman;Times;Serif" w:hAnsi="Times New Roman;Times;Serif"/>
                  <w:b w:val="false"/>
                  <w:i w:val="false"/>
                  <w:caps w:val="false"/>
                  <w:smallCaps w:val="false"/>
                  <w:sz w:val="20"/>
                </w:rPr>
                <w:t>23.3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w:anchor="tm2613239d1_ex23-3.htm">
              <w:r>
                <w:rPr>
                  <w:rStyle w:val="InternetLink"/>
                  <w:rFonts w:ascii="Times New Roman;Times;Serif" w:hAnsi="Times New Roman;Times;Serif"/>
                  <w:b w:val="false"/>
                  <w:i w:val="false"/>
                  <w:caps w:val="false"/>
                  <w:smallCaps w:val="false"/>
                  <w:sz w:val="20"/>
                </w:rPr>
                <w:t>Consent of Baker Tilly US,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ss17">
              <w:r>
                <w:rPr>
                  <w:rStyle w:val="InternetLink"/>
                  <w:rFonts w:ascii="Times New Roman;Times;Serif" w:hAnsi="Times New Roman;Times;Serif"/>
                  <w:b w:val="false"/>
                  <w:i w:val="false"/>
                  <w:caps w:val="false"/>
                  <w:smallCaps w:val="false"/>
                  <w:sz w:val="20"/>
                </w:rPr>
                <w:t>24.1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w:anchor="ss17">
              <w:r>
                <w:rPr>
                  <w:rStyle w:val="InternetLink"/>
                  <w:rFonts w:ascii="Times New Roman;Times;Serif" w:hAnsi="Times New Roman;Times;Serif"/>
                  <w:b w:val="false"/>
                  <w:i w:val="false"/>
                  <w:caps w:val="false"/>
                  <w:smallCaps w:val="false"/>
                  <w:sz w:val="20"/>
                </w:rPr>
                <w:t>Powers of Attorney (included on signature page).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 under the Trust Indenture Act of 1939, as amended, of the Trustee, as Trustee under the Indenture.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13239d1_exfilingfee.htm">
              <w:r>
                <w:rPr>
                  <w:rStyle w:val="InternetLink"/>
                  <w:rFonts w:ascii="Times New Roman;Times;Serif" w:hAnsi="Times New Roman;Times;Serif"/>
                  <w:b w:val="false"/>
                  <w:i w:val="false"/>
                  <w:caps w:val="false"/>
                  <w:smallCaps w:val="false"/>
                  <w:sz w:val="20"/>
                </w:rPr>
                <w:t>107</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97" w:type="dxa"/>
            <w:tcBorders/>
            <w:vAlign w:val="center"/>
          </w:tcPr>
          <w:p>
            <w:pPr>
              <w:pStyle w:val="TableContents"/>
              <w:bidi w:val="0"/>
              <w:spacing w:before="0" w:after="283"/>
              <w:jc w:val="left"/>
              <w:rPr/>
            </w:pPr>
            <w:hyperlink w:anchor="tm2613239d1_exfilingfee.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To be filed, if necessary, by a post-effective amendment to the registration statement or as an exhibit to a document incorporated by reference herein.</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To be filed pursuant to Section 305(b)(2) of the Trust Indenture Act of 1939.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17. </w:t>
      </w:r>
      <w:r>
        <w:rPr>
          <w:rFonts w:ascii="Times New Roman;Times;Serif" w:hAnsi="Times New Roman;Times;Serif"/>
          <w:b/>
          <w:i/>
          <w:caps w:val="false"/>
          <w:smallCaps w:val="false"/>
          <w:sz w:val="20"/>
        </w:rPr>
        <w:t>Undertakings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275"/>
        <w:gridCol w:w="38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 xml:space="preserve">(a) </w:t>
            </w:r>
          </w:p>
        </w:tc>
        <w:tc>
          <w:tcPr>
            <w:tcW w:w="3800" w:type="dxa"/>
            <w:tcBorders/>
            <w:vAlign w:val="center"/>
          </w:tcPr>
          <w:p>
            <w:pPr>
              <w:pStyle w:val="TableContents"/>
              <w:bidi w:val="0"/>
              <w:spacing w:before="0" w:after="283"/>
              <w:jc w:val="left"/>
              <w:rPr>
                <w:sz w:val="20"/>
              </w:rPr>
            </w:pPr>
            <w:r>
              <w:rPr>
                <w:sz w:val="20"/>
              </w:rPr>
              <w:t>The undersigned registrant hereby undertakes: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(1)</w:t>
            </w:r>
          </w:p>
        </w:tc>
        <w:tc>
          <w:tcPr>
            <w:tcW w:w="9863"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(i)</w:t>
            </w:r>
          </w:p>
        </w:tc>
        <w:tc>
          <w:tcPr>
            <w:tcW w:w="9863" w:type="dxa"/>
            <w:tcBorders/>
            <w:vAlign w:val="center"/>
          </w:tcPr>
          <w:p>
            <w:pPr>
              <w:pStyle w:val="TableContents"/>
              <w:bidi w:val="0"/>
              <w:spacing w:before="0" w:after="283"/>
              <w:jc w:val="both"/>
              <w:rPr>
                <w:sz w:val="20"/>
              </w:rPr>
            </w:pPr>
            <w:r>
              <w:rPr>
                <w:sz w:val="20"/>
              </w:rPr>
              <w:t>To include any prospectus required by Section 10(a)(3) of the Securities Act;</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(ii)</w:t>
            </w:r>
          </w:p>
        </w:tc>
        <w:tc>
          <w:tcPr>
            <w:tcW w:w="9863"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(iii)</w:t>
            </w:r>
          </w:p>
        </w:tc>
        <w:tc>
          <w:tcPr>
            <w:tcW w:w="9863" w:type="dxa"/>
            <w:tcBorders/>
            <w:vAlign w:val="center"/>
          </w:tcPr>
          <w:p>
            <w:pPr>
              <w:pStyle w:val="TableContents"/>
              <w:bidi w:val="0"/>
              <w:spacing w:before="0" w:after="283"/>
              <w:jc w:val="both"/>
              <w:rPr>
                <w:sz w:val="20"/>
              </w:rPr>
            </w:pPr>
            <w:r>
              <w:rPr>
                <w:sz w:val="20"/>
              </w:rPr>
              <w:t xml:space="preserve">To include any material information with respect to the plan of distribution not previously disclosed in the registration statement or any material change to such information in the registration statement; </w:t>
            </w:r>
            <w:r>
              <w:rPr>
                <w:i/>
                <w:sz w:val="20"/>
              </w:rPr>
              <w:t>provided, however,</w:t>
            </w:r>
            <w:r>
              <w:rPr>
                <w:sz w:val="20"/>
              </w:rPr>
              <w:t xml:space="preserve"> that paragraphs (i), (ii) and (iii)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(2)</w:t>
            </w:r>
          </w:p>
        </w:tc>
        <w:tc>
          <w:tcPr>
            <w:tcW w:w="9863" w:type="dxa"/>
            <w:tcBorders/>
            <w:vAlign w:val="center"/>
          </w:tcPr>
          <w:p>
            <w:pPr>
              <w:pStyle w:val="TableContents"/>
              <w:bidi w:val="0"/>
              <w:spacing w:before="0" w:after="283"/>
              <w:jc w:val="both"/>
              <w:rPr>
                <w:sz w:val="20"/>
              </w:rPr>
            </w:pPr>
            <w:r>
              <w:rPr>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(3)</w:t>
            </w:r>
          </w:p>
        </w:tc>
        <w:tc>
          <w:tcPr>
            <w:tcW w:w="9863"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(4)</w:t>
            </w:r>
          </w:p>
        </w:tc>
        <w:tc>
          <w:tcPr>
            <w:tcW w:w="9863" w:type="dxa"/>
            <w:tcBorders/>
            <w:vAlign w:val="center"/>
          </w:tcPr>
          <w:p>
            <w:pPr>
              <w:pStyle w:val="TableContents"/>
              <w:bidi w:val="0"/>
              <w:spacing w:before="0" w:after="283"/>
              <w:jc w:val="both"/>
              <w:rPr>
                <w:sz w:val="20"/>
              </w:rPr>
            </w:pPr>
            <w:r>
              <w:rPr>
                <w:sz w:val="20"/>
              </w:rPr>
              <w:t>That, for the purpose of determining liability under the Securities Act of 1933 to any purchaser:</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sz w:val="20"/>
              </w:rPr>
            </w:pPr>
            <w:r>
              <w:rPr>
                <w:sz w:val="20"/>
              </w:rPr>
              <w:t xml:space="preserve">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i/>
                <w:sz w:val="20"/>
              </w:rPr>
              <w:t>Provided, however,</w:t>
            </w:r>
            <w:r>
              <w:rPr>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(5)</w:t>
            </w:r>
          </w:p>
        </w:tc>
        <w:tc>
          <w:tcPr>
            <w:tcW w:w="9863"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(i)</w:t>
            </w:r>
          </w:p>
        </w:tc>
        <w:tc>
          <w:tcPr>
            <w:tcW w:w="9863" w:type="dxa"/>
            <w:tcBorders/>
            <w:vAlign w:val="center"/>
          </w:tcPr>
          <w:p>
            <w:pPr>
              <w:pStyle w:val="TableContents"/>
              <w:bidi w:val="0"/>
              <w:spacing w:before="0" w:after="283"/>
              <w:jc w:val="both"/>
              <w:rPr>
                <w:sz w:val="20"/>
              </w:rPr>
            </w:pPr>
            <w:r>
              <w:rPr>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(ii)</w:t>
            </w:r>
          </w:p>
        </w:tc>
        <w:tc>
          <w:tcPr>
            <w:tcW w:w="9863" w:type="dxa"/>
            <w:tcBorders/>
            <w:vAlign w:val="center"/>
          </w:tcPr>
          <w:p>
            <w:pPr>
              <w:pStyle w:val="TableContents"/>
              <w:bidi w:val="0"/>
              <w:spacing w:before="0" w:after="283"/>
              <w:jc w:val="both"/>
              <w:rPr>
                <w:sz w:val="20"/>
              </w:rPr>
            </w:pPr>
            <w:r>
              <w:rPr>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(iii)</w:t>
            </w:r>
          </w:p>
        </w:tc>
        <w:tc>
          <w:tcPr>
            <w:tcW w:w="9863" w:type="dxa"/>
            <w:tcBorders/>
            <w:vAlign w:val="center"/>
          </w:tcPr>
          <w:p>
            <w:pPr>
              <w:pStyle w:val="TableContents"/>
              <w:bidi w:val="0"/>
              <w:spacing w:before="0" w:after="283"/>
              <w:jc w:val="both"/>
              <w:rPr>
                <w:sz w:val="20"/>
              </w:rPr>
            </w:pPr>
            <w:r>
              <w:rPr>
                <w:sz w:val="20"/>
              </w:rPr>
              <w:t>the portion of any other free writing prospectus relating to the offering containing material information about the undersigned registrant or its securities provided by or on behalf of an undersigned registrant; and</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sz w:val="20"/>
              </w:rPr>
            </w:pPr>
            <w:r>
              <w:rPr>
                <w:sz w:val="20"/>
              </w:rPr>
              <w:t>(iv)</w:t>
            </w:r>
          </w:p>
        </w:tc>
        <w:tc>
          <w:tcPr>
            <w:tcW w:w="9863" w:type="dxa"/>
            <w:tcBorders/>
            <w:vAlign w:val="center"/>
          </w:tcPr>
          <w:p>
            <w:pPr>
              <w:pStyle w:val="TableContents"/>
              <w:bidi w:val="0"/>
              <w:spacing w:before="0" w:after="283"/>
              <w:jc w:val="both"/>
              <w:rPr>
                <w:sz w:val="20"/>
              </w:rPr>
            </w:pPr>
            <w:r>
              <w:rPr>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20"/>
              </w:rPr>
            </w:pPr>
            <w:r>
              <w:rPr>
                <w:sz w:val="20"/>
              </w:rPr>
              <w:t>(b)</w:t>
            </w:r>
          </w:p>
        </w:tc>
        <w:tc>
          <w:tcPr>
            <w:tcW w:w="9939" w:type="dxa"/>
            <w:tcBorders/>
            <w:vAlign w:val="center"/>
          </w:tcPr>
          <w:p>
            <w:pPr>
              <w:pStyle w:val="TableContents"/>
              <w:bidi w:val="0"/>
              <w:spacing w:before="0" w:after="283"/>
              <w:jc w:val="both"/>
              <w:rPr>
                <w:sz w:val="20"/>
              </w:rPr>
            </w:pPr>
            <w:r>
              <w:rPr>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20"/>
              </w:rPr>
            </w:pPr>
            <w:r>
              <w:rPr>
                <w:sz w:val="20"/>
              </w:rPr>
              <w:t>(c)</w:t>
            </w:r>
          </w:p>
        </w:tc>
        <w:tc>
          <w:tcPr>
            <w:tcW w:w="9939" w:type="dxa"/>
            <w:tcBorders/>
            <w:vAlign w:val="center"/>
          </w:tcPr>
          <w:p>
            <w:pPr>
              <w:pStyle w:val="TableContents"/>
              <w:bidi w:val="0"/>
              <w:spacing w:before="0" w:after="283"/>
              <w:jc w:val="both"/>
              <w:rPr>
                <w:sz w:val="20"/>
              </w:rPr>
            </w:pPr>
            <w:r>
              <w:rPr>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Torrance, State of California on May 11, 2026.</w:t>
      </w:r>
    </w:p>
    <w:p>
      <w:pPr>
        <w:pStyle w:val="TextBody"/>
        <w:bidi w:val="0"/>
        <w:spacing w:before="0" w:after="0"/>
        <w:ind w:left="0" w:right="0" w:hanging="0"/>
        <w:jc w:val="both"/>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440"/>
        <w:gridCol w:w="3734"/>
      </w:tblGrid>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b/>
                <w:sz w:val="20"/>
              </w:rPr>
            </w:pPr>
            <w:r>
              <w:rPr>
                <w:b/>
                <w:sz w:val="20"/>
              </w:rPr>
              <w:t>NAVITAS SEMICONDUCTOR CORPORATION</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7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20"/>
              </w:rPr>
            </w:pPr>
            <w:r>
              <w:rPr>
                <w:sz w:val="20"/>
              </w:rPr>
              <w:t xml:space="preserve">By: </w:t>
            </w:r>
          </w:p>
        </w:tc>
        <w:tc>
          <w:tcPr>
            <w:tcW w:w="373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Chris Allexandre</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734" w:type="dxa"/>
            <w:tcBorders/>
            <w:vAlign w:val="center"/>
          </w:tcPr>
          <w:p>
            <w:pPr>
              <w:pStyle w:val="TableContents"/>
              <w:bidi w:val="0"/>
              <w:spacing w:before="0" w:after="283"/>
              <w:jc w:val="left"/>
              <w:rPr>
                <w:sz w:val="20"/>
              </w:rPr>
            </w:pPr>
            <w:r>
              <w:rPr>
                <w:sz w:val="20"/>
              </w:rPr>
              <w:t>Chris Allexandre</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734"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s17"/>
      <w:bookmarkEnd w:id="17"/>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appoints Chris Allexandre, Tonya Stevens and Matthew Sant, and each of them acting alone, as his or her true and lawful attorney-in-fact, with full power of substitution, and with the authority to execute in the name of each such person, any and all amendments (including without limitation, post-effective amendments) to this registration statement on Form S-3, to sign any and all additional registration statements relating to the same offering of securities as this registration statement that are filed pursuant to Rule 462(b) of the Securities Act of 1933, and to file such registration statements with the Securities and Exchange Commission, together with any exhibits thereto and other documents therewith, necessary or advisable to enable the registrant to comply with the Securities Act of 1933, and any rules, regulations and requirements of the Securities and Exchange Commission in respect thereof, which amendments may make such other changes in the registration statement as the aforesaid attorney-in-fact executing the same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indicated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2165"/>
        <w:gridCol w:w="60"/>
        <w:gridCol w:w="5015"/>
        <w:gridCol w:w="60"/>
        <w:gridCol w:w="1370"/>
      </w:tblGrid>
      <w:tr>
        <w:trPr/>
        <w:tc>
          <w:tcPr>
            <w:tcW w:w="2165" w:type="dxa"/>
            <w:tcBorders>
              <w:bottom w:val="single" w:sz="8" w:space="0" w:color="000000"/>
            </w:tcBorders>
            <w:vAlign w:val="center"/>
          </w:tcPr>
          <w:p>
            <w:pPr>
              <w:pStyle w:val="TableContents"/>
              <w:bidi w:val="0"/>
              <w:spacing w:before="0" w:after="283"/>
              <w:jc w:val="left"/>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01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left"/>
              <w:rPr>
                <w:sz w:val="20"/>
              </w:rPr>
            </w:pPr>
            <w:r>
              <w:rPr>
                <w:sz w:val="20"/>
              </w:rPr>
              <w:t>/s/ Chris Allexandre</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left"/>
              <w:rPr>
                <w:sz w:val="20"/>
              </w:rPr>
            </w:pPr>
            <w:r>
              <w:rPr>
                <w:sz w:val="20"/>
              </w:rPr>
              <w:t>Chris Allexandre</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left"/>
              <w:rPr>
                <w:sz w:val="20"/>
              </w:rPr>
            </w:pPr>
            <w:r>
              <w:rPr>
                <w:sz w:val="20"/>
              </w:rPr>
              <w:t>/s/ Tonya Stevens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Chief Financial Officer and Treasurer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both"/>
              <w:rPr>
                <w:sz w:val="20"/>
              </w:rPr>
            </w:pPr>
            <w:r>
              <w:rPr>
                <w:sz w:val="20"/>
              </w:rPr>
              <w:t>Tonya Stevens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left"/>
              <w:rPr>
                <w:sz w:val="20"/>
              </w:rPr>
            </w:pPr>
            <w:r>
              <w:rPr>
                <w:sz w:val="20"/>
              </w:rPr>
              <w:t>/s/ Richard J. Hendrix</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Director and Chairman of the Board</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both"/>
              <w:rPr>
                <w:sz w:val="20"/>
              </w:rPr>
            </w:pPr>
            <w:r>
              <w:rPr>
                <w:sz w:val="20"/>
              </w:rPr>
              <w:t>Richard J. Hendrix</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left"/>
              <w:rPr>
                <w:sz w:val="20"/>
              </w:rPr>
            </w:pPr>
            <w:r>
              <w:rPr>
                <w:sz w:val="20"/>
              </w:rPr>
              <w:t>/s/ Cristiano Amoruso</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both"/>
              <w:rPr>
                <w:sz w:val="20"/>
              </w:rPr>
            </w:pPr>
            <w:r>
              <w:rPr>
                <w:sz w:val="20"/>
              </w:rPr>
              <w:t>Cristiano Amoruso</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left"/>
              <w:rPr>
                <w:sz w:val="20"/>
              </w:rPr>
            </w:pPr>
            <w:r>
              <w:rPr>
                <w:sz w:val="20"/>
              </w:rPr>
              <w:t>/s/ Gregory M. Fischer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both"/>
              <w:rPr>
                <w:sz w:val="20"/>
              </w:rPr>
            </w:pPr>
            <w:r>
              <w:rPr>
                <w:sz w:val="20"/>
              </w:rPr>
              <w:t>Gregory M. Fischer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both"/>
              <w:rPr>
                <w:sz w:val="20"/>
              </w:rPr>
            </w:pPr>
            <w:r>
              <w:rPr>
                <w:sz w:val="20"/>
              </w:rPr>
              <w:t>/s/ Davin D. Lee</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both"/>
              <w:rPr>
                <w:sz w:val="20"/>
              </w:rPr>
            </w:pPr>
            <w:r>
              <w:rPr>
                <w:sz w:val="20"/>
              </w:rPr>
              <w:t>Davin D. Lee</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left"/>
              <w:rPr>
                <w:sz w:val="20"/>
              </w:rPr>
            </w:pPr>
            <w:r>
              <w:rPr>
                <w:sz w:val="20"/>
              </w:rPr>
              <w:t>/s/ Brian Long</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both"/>
              <w:rPr>
                <w:sz w:val="20"/>
              </w:rPr>
            </w:pPr>
            <w:r>
              <w:rPr>
                <w:sz w:val="20"/>
              </w:rPr>
              <w:t>Brian Long</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left"/>
              <w:rPr>
                <w:sz w:val="20"/>
              </w:rPr>
            </w:pPr>
            <w:r>
              <w:rPr>
                <w:sz w:val="20"/>
              </w:rPr>
              <w:t>/s/ David Moxam</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both"/>
              <w:rPr>
                <w:sz w:val="20"/>
              </w:rPr>
            </w:pPr>
            <w:r>
              <w:rPr>
                <w:sz w:val="20"/>
              </w:rPr>
              <w:t>David Moxam</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both"/>
              <w:rPr>
                <w:sz w:val="20"/>
              </w:rPr>
            </w:pPr>
            <w:r>
              <w:rPr>
                <w:sz w:val="20"/>
              </w:rPr>
              <w:t>/s/ Dipender Saluja</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left"/>
              <w:rPr>
                <w:sz w:val="20"/>
              </w:rPr>
            </w:pPr>
            <w:r>
              <w:rPr>
                <w:sz w:val="20"/>
              </w:rPr>
              <w:t xml:space="preserve">Dipender Saluja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left"/>
              <w:rPr/>
            </w:pPr>
            <w:r>
              <w:rPr/>
              <w:t>/s/ Ranbir Singh</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May 11, 2026</w:t>
            </w:r>
          </w:p>
        </w:tc>
      </w:tr>
      <w:tr>
        <w:trPr/>
        <w:tc>
          <w:tcPr>
            <w:tcW w:w="2165" w:type="dxa"/>
            <w:tcBorders/>
            <w:tcMar>
              <w:bottom w:w="0" w:type="dxa"/>
            </w:tcMar>
            <w:vAlign w:val="center"/>
          </w:tcPr>
          <w:p>
            <w:pPr>
              <w:pStyle w:val="TableContents"/>
              <w:bidi w:val="0"/>
              <w:spacing w:before="0" w:after="283"/>
              <w:jc w:val="left"/>
              <w:rPr>
                <w:sz w:val="20"/>
              </w:rPr>
            </w:pPr>
            <w:r>
              <w:rPr>
                <w:sz w:val="20"/>
              </w:rPr>
              <w:t xml:space="preserve">Ranbir Singh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both"/>
              <w:rPr>
                <w:sz w:val="20"/>
              </w:rPr>
            </w:pPr>
            <w:r>
              <w:rPr>
                <w:sz w:val="20"/>
              </w:rPr>
              <w:t>/s/ Gary K. Wunderlich, Jr.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sz w:val="20"/>
              </w:rPr>
            </w:pPr>
            <w:r>
              <w:rPr>
                <w:sz w:val="20"/>
              </w:rPr>
              <w:t>May 11, 2026</w:t>
            </w:r>
          </w:p>
        </w:tc>
      </w:tr>
      <w:tr>
        <w:trPr/>
        <w:tc>
          <w:tcPr>
            <w:tcW w:w="2165" w:type="dxa"/>
            <w:tcBorders/>
            <w:tcMar>
              <w:bottom w:w="0" w:type="dxa"/>
            </w:tcMar>
            <w:vAlign w:val="center"/>
          </w:tcPr>
          <w:p>
            <w:pPr>
              <w:pStyle w:val="TableContents"/>
              <w:bidi w:val="0"/>
              <w:spacing w:before="0" w:after="283"/>
              <w:jc w:val="both"/>
              <w:rPr>
                <w:sz w:val="20"/>
              </w:rPr>
            </w:pPr>
            <w:r>
              <w:rPr>
                <w:sz w:val="20"/>
              </w:rPr>
              <w:t>Gary K. Wunderlich, Jr.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tm2613239d1_ex4-3.htm"/>
      <w:bookmarkStart w:id="19" w:name="kstm2613239d1_ex43"/>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w:t>
        <w:br/>
        <w:t>INDENTURE, DATED AS OF___________, 20__</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245"/>
        <w:gridCol w:w="60"/>
        <w:gridCol w:w="1925"/>
      </w:tblGrid>
      <w:tr>
        <w:trPr/>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Trust Indenture Act of 1939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Section(s) of Indenture</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608, 610</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 702 (a)</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702(b)</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702(b)</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703(a)</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703(a)</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703(a)</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703(b)</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704, 1005</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601(a)</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601(b)</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601(c)</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(c) (1)</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(c) (2)</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(c) (3)</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§316(a)(1)(A)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(a)(last sentence)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This reconciliation and tie shall not, for any purpose, be deemed to be a part of the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8"/>
        <w:gridCol w:w="8721"/>
        <w:gridCol w:w="246"/>
      </w:tblGrid>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 - DEFINITIONS AND OTHER PROVISIONS OF GENERAL APPLICATION</w:t>
            </w:r>
          </w:p>
        </w:tc>
        <w:tc>
          <w:tcPr>
            <w:tcW w:w="246" w:type="dxa"/>
            <w:tcBorders/>
            <w:shd w:fill="CCEEFF" w:val="clear"/>
            <w:vAlign w:val="center"/>
          </w:tcPr>
          <w:p>
            <w:pPr>
              <w:pStyle w:val="TableContents"/>
              <w:bidi w:val="0"/>
              <w:spacing w:before="0" w:after="283"/>
              <w:jc w:val="right"/>
              <w:rPr/>
            </w:pPr>
            <w:r>
              <w:rPr/>
              <w:t> </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BY REFERENCE OF TRUST INDENTURE ACT.</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CERTIFICATES AND OPINIONS.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DOCUMENTS DELIVERED TO TRUSTEE.</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ACTS OF HOLDERS; RECORD DATES.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ETC., TO TRUSTEE AND COMPANY.</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HOLDERS; WAIVER.</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 WITH TRUST INDENTURE ACT.</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HEADINGS AND TABLE OF CONTENTS.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SEPARABILITY CLAUSE.</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INDENTURE.</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114.</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HOLIDAYS.</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115.</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OBLIGATION.</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116.</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TRIAL JURY.</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117.</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38" w:type="dxa"/>
            <w:tcBorders/>
            <w:shd w:fill="CCEEFF" w:val="clear"/>
            <w:vAlign w:val="center"/>
          </w:tcPr>
          <w:p>
            <w:pPr>
              <w:pStyle w:val="TableContents"/>
              <w:bidi w:val="0"/>
              <w:spacing w:before="0" w:after="283"/>
              <w:jc w:val="left"/>
              <w:rPr/>
            </w:pPr>
            <w:r>
              <w:rPr/>
              <w:t> </w:t>
            </w:r>
          </w:p>
        </w:tc>
        <w:tc>
          <w:tcPr>
            <w:tcW w:w="8721"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 </w:t>
            </w:r>
          </w:p>
        </w:tc>
      </w:tr>
      <w:tr>
        <w:trPr/>
        <w:tc>
          <w:tcPr>
            <w:tcW w:w="9959"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II - SECURITY FORMS</w:t>
            </w:r>
          </w:p>
        </w:tc>
        <w:tc>
          <w:tcPr>
            <w:tcW w:w="246" w:type="dxa"/>
            <w:tcBorders/>
            <w:shd w:fill="FFFFFF" w:val="clear"/>
            <w:vAlign w:val="center"/>
          </w:tcPr>
          <w:p>
            <w:pPr>
              <w:pStyle w:val="TableContents"/>
              <w:bidi w:val="0"/>
              <w:spacing w:before="0" w:after="283"/>
              <w:jc w:val="right"/>
              <w:rPr/>
            </w:pPr>
            <w:r>
              <w:rPr/>
              <w:t> </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FORMS GENERALLY.</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TRUSTEE’S CERTIFICATE OF AUTHENTICATION.</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IN GLOBAL FORM.</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BOOK-ENTRY SECURITIES.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38" w:type="dxa"/>
            <w:tcBorders/>
            <w:shd w:fill="CCEEFF" w:val="clear"/>
            <w:vAlign w:val="center"/>
          </w:tcPr>
          <w:p>
            <w:pPr>
              <w:pStyle w:val="TableContents"/>
              <w:bidi w:val="0"/>
              <w:spacing w:before="0" w:after="283"/>
              <w:jc w:val="left"/>
              <w:rPr/>
            </w:pPr>
            <w:r>
              <w:rPr/>
              <w:t> </w:t>
            </w:r>
          </w:p>
        </w:tc>
        <w:tc>
          <w:tcPr>
            <w:tcW w:w="8721"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 </w:t>
            </w:r>
          </w:p>
        </w:tc>
      </w:tr>
      <w:tr>
        <w:trPr/>
        <w:tc>
          <w:tcPr>
            <w:tcW w:w="9959"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III - THE SECURITIES</w:t>
            </w:r>
          </w:p>
        </w:tc>
        <w:tc>
          <w:tcPr>
            <w:tcW w:w="246" w:type="dxa"/>
            <w:tcBorders/>
            <w:shd w:fill="FFFFFF" w:val="clear"/>
            <w:vAlign w:val="center"/>
          </w:tcPr>
          <w:p>
            <w:pPr>
              <w:pStyle w:val="TableContents"/>
              <w:bidi w:val="0"/>
              <w:spacing w:before="0" w:after="283"/>
              <w:jc w:val="right"/>
              <w:rPr/>
            </w:pPr>
            <w:r>
              <w:rPr/>
              <w:t> </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UNLIMITED; ISSUABLE IN SERIES.</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AUTHENTICATION, DELIVERY AND DATING.</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REGISTRATION OF TRANSFER AND EXCHANGE.</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AND STOLEN SECURITIES.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INTEREST; INTEREST RIGHTS PRESERVED.</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DEEMED OWNERS.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COMPUTATION OF INTEREST.</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38" w:type="dxa"/>
            <w:tcBorders/>
            <w:shd w:fill="FFFFFF" w:val="clear"/>
            <w:vAlign w:val="center"/>
          </w:tcPr>
          <w:p>
            <w:pPr>
              <w:pStyle w:val="TableContents"/>
              <w:bidi w:val="0"/>
              <w:spacing w:before="0" w:after="283"/>
              <w:jc w:val="left"/>
              <w:rPr/>
            </w:pPr>
            <w:r>
              <w:rPr/>
              <w:t> </w:t>
            </w:r>
          </w:p>
        </w:tc>
        <w:tc>
          <w:tcPr>
            <w:tcW w:w="872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r>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IV - SATISFACTION AND DISCHARGE; LEGAL DEFEASANCE AND COVENANT DEFEASANCE</w:t>
            </w:r>
          </w:p>
        </w:tc>
        <w:tc>
          <w:tcPr>
            <w:tcW w:w="246" w:type="dxa"/>
            <w:tcBorders/>
            <w:shd w:fill="CCEEFF" w:val="clear"/>
            <w:vAlign w:val="center"/>
          </w:tcPr>
          <w:p>
            <w:pPr>
              <w:pStyle w:val="TableContents"/>
              <w:bidi w:val="0"/>
              <w:spacing w:before="0" w:after="283"/>
              <w:jc w:val="right"/>
              <w:rPr/>
            </w:pPr>
            <w:r>
              <w:rPr/>
              <w:t> </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TO EFFECT LEGAL DEFEASANCE OR COVENANT DEFEASANCE.</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DEFEASANCE AND DISCHARGE.</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87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LEGAL OR COVENANT DEFEASANCE.</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87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DEPOSITED MONEY AND U.S. GOVERNMENT OBLIGATIONS TO BE HELD IN TRUST; OTHER MISCELLANEOUS PROVISIONS.</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145" w:type="dxa"/>
        <w:jc w:val="left"/>
        <w:tblInd w:w="0" w:type="dxa"/>
        <w:tblLayout w:type="fixed"/>
        <w:tblCellMar>
          <w:top w:w="0" w:type="dxa"/>
          <w:left w:w="0" w:type="dxa"/>
          <w:bottom w:w="0" w:type="dxa"/>
          <w:right w:w="0" w:type="dxa"/>
        </w:tblCellMar>
      </w:tblPr>
      <w:tblGrid>
        <w:gridCol w:w="1250"/>
        <w:gridCol w:w="6620"/>
        <w:gridCol w:w="275"/>
      </w:tblGrid>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50" w:type="dxa"/>
            <w:tcBorders/>
            <w:shd w:fill="CCEEFF" w:val="clear"/>
            <w:vAlign w:val="center"/>
          </w:tcPr>
          <w:p>
            <w:pPr>
              <w:pStyle w:val="TableContents"/>
              <w:bidi w:val="0"/>
              <w:spacing w:before="0" w:after="283"/>
              <w:jc w:val="left"/>
              <w:rPr/>
            </w:pPr>
            <w:r>
              <w:rPr/>
              <w:t> </w:t>
            </w:r>
          </w:p>
        </w:tc>
        <w:tc>
          <w:tcPr>
            <w:tcW w:w="662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87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V - REMEDIES</w:t>
            </w:r>
          </w:p>
        </w:tc>
        <w:tc>
          <w:tcPr>
            <w:tcW w:w="275" w:type="dxa"/>
            <w:tcBorders/>
            <w:shd w:fill="FFFFFF" w:val="clear"/>
            <w:vAlign w:val="center"/>
          </w:tcPr>
          <w:p>
            <w:pPr>
              <w:pStyle w:val="TableContents"/>
              <w:bidi w:val="0"/>
              <w:spacing w:before="0" w:after="283"/>
              <w:jc w:val="right"/>
              <w:rPr/>
            </w:pPr>
            <w:r>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REMEDIES.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MAJORITY.</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HOLDERS OF SECURITIES TO RECEIVE PAYMENT.</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SUIT BY TRUSTEE.</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50" w:type="dxa"/>
            <w:tcBorders/>
            <w:shd w:fill="FFFFFF" w:val="clear"/>
            <w:vAlign w:val="center"/>
          </w:tcPr>
          <w:p>
            <w:pPr>
              <w:pStyle w:val="TableContents"/>
              <w:bidi w:val="0"/>
              <w:spacing w:before="0" w:after="283"/>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87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VI - THE TRUSTEE</w:t>
            </w:r>
          </w:p>
        </w:tc>
        <w:tc>
          <w:tcPr>
            <w:tcW w:w="275" w:type="dxa"/>
            <w:tcBorders/>
            <w:shd w:fill="CCEEFF" w:val="clear"/>
            <w:vAlign w:val="center"/>
          </w:tcPr>
          <w:p>
            <w:pPr>
              <w:pStyle w:val="TableContents"/>
              <w:bidi w:val="0"/>
              <w:spacing w:before="0" w:after="283"/>
              <w:jc w:val="right"/>
              <w:rPr/>
            </w:pPr>
            <w:r>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ECTION 601.</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DUTIES AND RESPONSIBILITIES.</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TRUSTEE.</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RESPONSIBLE FOR RECITALS OR ISSUANCE OF SECURITIES.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HOLD SECURITIES.</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HELD IN TRUST.</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REIMBURSEMENT.</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DISQUALIFICATION; CONFLICTING INTERESTS.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TRUSTEE REQUIRED; ELIGIBILITY.</w:t>
            </w:r>
          </w:p>
        </w:tc>
        <w:tc>
          <w:tcPr>
            <w:tcW w:w="275" w:type="dxa"/>
            <w:tcBorders/>
            <w:shd w:fill="FFFFFF" w:val="clear"/>
            <w:vAlign w:val="center"/>
          </w:tcPr>
          <w:p>
            <w:pPr>
              <w:pStyle w:val="TableContents"/>
              <w:bidi w:val="0"/>
              <w:spacing w:before="0" w:after="283"/>
              <w:jc w:val="right"/>
              <w:rPr/>
            </w:pPr>
            <w:r>
              <w:rPr/>
              <w:t>29</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APPOINTMENT OF SUCCESSOR.</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APPOINTMENT BY SUCCESSOR.</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 CONSOLIDATION OR SUCCESSION TO BUSINESS.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COMPANY.</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AUTHENTICATING AGENT.</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50" w:type="dxa"/>
            <w:tcBorders/>
            <w:shd w:fill="FFFFFF" w:val="clear"/>
            <w:vAlign w:val="center"/>
          </w:tcPr>
          <w:p>
            <w:pPr>
              <w:pStyle w:val="TableContents"/>
              <w:bidi w:val="0"/>
              <w:spacing w:before="0" w:after="283"/>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87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VII - HOLDER’S LISTS AND REPORTS BY TRUSTEE AND COMPANY</w:t>
            </w:r>
          </w:p>
        </w:tc>
        <w:tc>
          <w:tcPr>
            <w:tcW w:w="275" w:type="dxa"/>
            <w:tcBorders/>
            <w:shd w:fill="CCEEFF" w:val="clear"/>
            <w:vAlign w:val="center"/>
          </w:tcPr>
          <w:p>
            <w:pPr>
              <w:pStyle w:val="TableContents"/>
              <w:bidi w:val="0"/>
              <w:spacing w:before="0" w:after="283"/>
              <w:jc w:val="right"/>
              <w:rPr/>
            </w:pPr>
            <w:r>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TO FURNISH TRUSTEE NAMES AND ADDRESSES OF HOLDERS.</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INFORMATION; COMMUNICATIONS TO HOLDERS.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COMPANY.</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50" w:type="dxa"/>
            <w:tcBorders/>
            <w:shd w:fill="FFFFFF" w:val="clear"/>
            <w:vAlign w:val="center"/>
          </w:tcPr>
          <w:p>
            <w:pPr>
              <w:pStyle w:val="TableContents"/>
              <w:bidi w:val="0"/>
              <w:spacing w:before="0" w:after="283"/>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87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VIII - CONSOLIDATION, MERGER, CONVEYANCE, TRANSFER OR LEASE</w:t>
            </w:r>
          </w:p>
        </w:tc>
        <w:tc>
          <w:tcPr>
            <w:tcW w:w="275" w:type="dxa"/>
            <w:tcBorders/>
            <w:shd w:fill="CCEEFF" w:val="clear"/>
            <w:vAlign w:val="center"/>
          </w:tcPr>
          <w:p>
            <w:pPr>
              <w:pStyle w:val="TableContents"/>
              <w:bidi w:val="0"/>
              <w:spacing w:before="0" w:after="283"/>
              <w:jc w:val="right"/>
              <w:rPr/>
            </w:pPr>
            <w:r>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CONSOLIDATE, ETC., ONLY ON CERTAIN TERMS.</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PERSON SUBSTITUTED.</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87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IX - SUPPLEMENTAL INDENTURES</w:t>
            </w:r>
          </w:p>
        </w:tc>
        <w:tc>
          <w:tcPr>
            <w:tcW w:w="275" w:type="dxa"/>
            <w:tcBorders/>
            <w:shd w:fill="FFFFFF" w:val="clear"/>
            <w:vAlign w:val="center"/>
          </w:tcPr>
          <w:p>
            <w:pPr>
              <w:pStyle w:val="TableContents"/>
              <w:bidi w:val="0"/>
              <w:spacing w:before="0" w:after="283"/>
              <w:jc w:val="right"/>
              <w:rPr/>
            </w:pPr>
            <w:r>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w:t>
            </w:r>
          </w:p>
        </w:tc>
        <w:tc>
          <w:tcPr>
            <w:tcW w:w="275" w:type="dxa"/>
            <w:tcBorders/>
            <w:shd w:fill="FFFFFF" w:val="clear"/>
            <w:vAlign w:val="center"/>
          </w:tcPr>
          <w:p>
            <w:pPr>
              <w:pStyle w:val="TableContents"/>
              <w:bidi w:val="0"/>
              <w:spacing w:before="0" w:after="283"/>
              <w:jc w:val="right"/>
              <w:rPr/>
            </w:pPr>
            <w:r>
              <w:rPr/>
              <w:t>35</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TRUST INDENTURE ACT.</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AND EFFECT OF CONSENTS.</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SECURITIES.</w:t>
            </w:r>
          </w:p>
        </w:tc>
        <w:tc>
          <w:tcPr>
            <w:tcW w:w="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TO SIGN AMENDMENTS, ETC.</w:t>
            </w:r>
          </w:p>
        </w:tc>
        <w:tc>
          <w:tcPr>
            <w:tcW w:w="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360" w:type="dxa"/>
        <w:jc w:val="left"/>
        <w:tblInd w:w="0" w:type="dxa"/>
        <w:tblLayout w:type="fixed"/>
        <w:tblCellMar>
          <w:top w:w="0" w:type="dxa"/>
          <w:left w:w="0" w:type="dxa"/>
          <w:bottom w:w="0" w:type="dxa"/>
          <w:right w:w="0" w:type="dxa"/>
        </w:tblCellMar>
      </w:tblPr>
      <w:tblGrid>
        <w:gridCol w:w="1355"/>
        <w:gridCol w:w="7715"/>
        <w:gridCol w:w="290"/>
      </w:tblGrid>
      <w:tr>
        <w:trPr/>
        <w:tc>
          <w:tcPr>
            <w:tcW w:w="907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 - COVENANTS</w:t>
            </w:r>
          </w:p>
        </w:tc>
        <w:tc>
          <w:tcPr>
            <w:tcW w:w="290" w:type="dxa"/>
            <w:tcBorders/>
            <w:shd w:fill="CCEEFF" w:val="clear"/>
            <w:vAlign w:val="center"/>
          </w:tcPr>
          <w:p>
            <w:pPr>
              <w:pStyle w:val="TableContents"/>
              <w:bidi w:val="0"/>
              <w:spacing w:before="0" w:after="283"/>
              <w:jc w:val="righ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PA3YMENT OF PRINCIPAL, PREMIUM AND INTEREST.</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FOR SECURITIES PAYMENTS TO BE HELD IN TRUST.</w:t>
            </w:r>
          </w:p>
        </w:tc>
        <w:tc>
          <w:tcPr>
            <w:tcW w:w="29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37</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 BY OFFICERS AS TO DEFAULT.</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CERTAIN COVENANTS.</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AMOUNTS.</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355" w:type="dxa"/>
            <w:tcBorders/>
            <w:shd w:fill="CCEEFF" w:val="clear"/>
            <w:vAlign w:val="center"/>
          </w:tcPr>
          <w:p>
            <w:pPr>
              <w:pStyle w:val="TableContents"/>
              <w:bidi w:val="0"/>
              <w:spacing w:before="0" w:after="283"/>
              <w:jc w:val="left"/>
              <w:rPr/>
            </w:pPr>
            <w:r>
              <w:rPr/>
              <w:t> </w:t>
            </w:r>
          </w:p>
        </w:tc>
        <w:tc>
          <w:tcPr>
            <w:tcW w:w="771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r>
      <w:tr>
        <w:trPr/>
        <w:tc>
          <w:tcPr>
            <w:tcW w:w="907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XI - REDEMPTION OF SECURITIES</w:t>
            </w:r>
          </w:p>
        </w:tc>
        <w:tc>
          <w:tcPr>
            <w:tcW w:w="290" w:type="dxa"/>
            <w:tcBorders/>
            <w:shd w:fill="FFFFFF" w:val="clear"/>
            <w:vAlign w:val="center"/>
          </w:tcPr>
          <w:p>
            <w:pPr>
              <w:pStyle w:val="TableContents"/>
              <w:bidi w:val="0"/>
              <w:spacing w:before="0" w:after="283"/>
              <w:jc w:val="righ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ARTICLE.</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TO REDEEM; NOTICE TO TRUSTEE.</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BY TRUSTEE OF SECURITIES TO BE REDEEMED.</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1106.</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PAYABLE ON REDEMPTION DATE.</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1107.</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REDEEMED IN PART.</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1108.</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SECURITIES.</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355" w:type="dxa"/>
            <w:tcBorders/>
            <w:shd w:fill="CCEEFF" w:val="clear"/>
            <w:vAlign w:val="center"/>
          </w:tcPr>
          <w:p>
            <w:pPr>
              <w:pStyle w:val="TableContents"/>
              <w:bidi w:val="0"/>
              <w:spacing w:before="0" w:after="283"/>
              <w:jc w:val="left"/>
              <w:rPr/>
            </w:pPr>
            <w:r>
              <w:rPr/>
              <w:t> </w:t>
            </w:r>
          </w:p>
        </w:tc>
        <w:tc>
          <w:tcPr>
            <w:tcW w:w="771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r>
      <w:tr>
        <w:trPr/>
        <w:tc>
          <w:tcPr>
            <w:tcW w:w="907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XII - SINKING FUNDS</w:t>
            </w:r>
          </w:p>
        </w:tc>
        <w:tc>
          <w:tcPr>
            <w:tcW w:w="290" w:type="dxa"/>
            <w:tcBorders/>
            <w:shd w:fill="FFFFFF" w:val="clear"/>
            <w:vAlign w:val="center"/>
          </w:tcPr>
          <w:p>
            <w:pPr>
              <w:pStyle w:val="TableContents"/>
              <w:bidi w:val="0"/>
              <w:spacing w:before="0" w:after="283"/>
              <w:jc w:val="righ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ARTICLE.</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OF SINKING FUND PAYMENTS WITH SECURITIES.</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SECURITIES FOR SINKING FUND.</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55" w:type="dxa"/>
            <w:tcBorders/>
            <w:shd w:fill="FFFFFF" w:val="clear"/>
            <w:vAlign w:val="center"/>
          </w:tcPr>
          <w:p>
            <w:pPr>
              <w:pStyle w:val="TableContents"/>
              <w:bidi w:val="0"/>
              <w:spacing w:before="0" w:after="283"/>
              <w:jc w:val="left"/>
              <w:rPr/>
            </w:pPr>
            <w:r>
              <w:rPr/>
              <w:t> </w:t>
            </w:r>
          </w:p>
        </w:tc>
        <w:tc>
          <w:tcPr>
            <w:tcW w:w="771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t> </w:t>
            </w:r>
          </w:p>
        </w:tc>
      </w:tr>
      <w:tr>
        <w:trPr/>
        <w:tc>
          <w:tcPr>
            <w:tcW w:w="907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XIII - MEETINGS OF HOLDERS OF SECURITIES</w:t>
            </w:r>
          </w:p>
        </w:tc>
        <w:tc>
          <w:tcPr>
            <w:tcW w:w="290" w:type="dxa"/>
            <w:tcBorders/>
            <w:shd w:fill="CCEEFF" w:val="clear"/>
            <w:vAlign w:val="center"/>
          </w:tcPr>
          <w:p>
            <w:pPr>
              <w:pStyle w:val="TableContents"/>
              <w:bidi w:val="0"/>
              <w:spacing w:before="0" w:after="283"/>
              <w:jc w:val="righ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PURPOSES FOR WHICH MEETINGS MAY BE CALLED.</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 NOTICE AND PLACE OF MEETINGS.</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VOTE AT MEETINGS.</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 ACTION.</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w:t>
            </w:r>
          </w:p>
        </w:tc>
        <w:tc>
          <w:tcPr>
            <w:tcW w:w="7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DETERMINATION OF VOTING RIGHTS; CONDUCT AND ADJOURNMENT OF MEETINGS.</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1306.</w:t>
            </w:r>
          </w:p>
        </w:tc>
        <w:tc>
          <w:tcPr>
            <w:tcW w:w="7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COUNTING VOTES AND RECORDING ACTION OF MEETINGS.</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 20___, between Navitas Semiconductor Corporation, a corporation duly organized and existing under the laws of the State of Delaware (herein called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having its principal office at 3520 Challenger Street, Torrance, California 90503, and ______________, a ___________________ banking corporation, as Trustee (herein called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the office of the Trustee at which at the date hereof its corporate trust business is principally administered being 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authorized the execution and delivery of this Indenture to provide for the issuance from time to time of its unsecured debentures, notes or other evidences of indebtedness (herein called the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to be issued in one or more series as in this Indenture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each series will be in such form as may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is subject to the provisions of the Trust Indenture Act and the rules and regulations of the SEC promulgated thereunder that are required to be part of this Indenture and, to the extent applicable, shall be governed by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things necessary to make this Indenture a valid agreement of the Company,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Securities by the Holders thereof, it is mutually covenanted and agreed, for the equal and proportionate benefit of all Holders of the Securities or of series thereof,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(1)</w:t>
            </w:r>
          </w:p>
        </w:tc>
        <w:tc>
          <w:tcPr>
            <w:tcW w:w="9893" w:type="dxa"/>
            <w:tcBorders/>
            <w:vAlign w:val="center"/>
          </w:tcPr>
          <w:p>
            <w:pPr>
              <w:pStyle w:val="TableContents"/>
              <w:bidi w:val="0"/>
              <w:spacing w:before="0" w:after="283"/>
              <w:jc w:val="both"/>
              <w:rPr/>
            </w:pPr>
            <w:r>
              <w:rPr/>
              <w:t>the terms defined in this Article have the meanings assigned to them in this Article and include the plural as well as the singular;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both"/>
              <w:rPr/>
            </w:pPr>
            <w:r>
              <w:rPr/>
              <w:t>all accounting terms not otherwise defined herein have the meanings assigned to them in accordance with generally accepted accounting principles in the United States, and, except as otherwise herein expressly provided, the term “</w:t>
            </w:r>
            <w:r>
              <w:rPr>
                <w:i/>
              </w:rPr>
              <w:t>generally accepted accounting principles</w:t>
            </w:r>
            <w:r>
              <w:rPr/>
              <w:t>” with respect to any computation required or permitted hereunder shall mean such accounting principles as are generally accepted in the United States at the date of such computation;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283"/>
              <w:jc w:val="both"/>
              <w:rPr/>
            </w:pPr>
            <w:r>
              <w:rPr/>
              <w:t>the words “</w:t>
            </w:r>
            <w:r>
              <w:rPr>
                <w:i/>
              </w:rPr>
              <w:t>herein</w:t>
            </w:r>
            <w:r>
              <w:rPr/>
              <w:t>,” “</w:t>
            </w:r>
            <w:r>
              <w:rPr>
                <w:i/>
              </w:rPr>
              <w:t>hereof</w:t>
            </w:r>
            <w:r>
              <w:rPr/>
              <w:t>” and “</w:t>
            </w:r>
            <w:r>
              <w:rPr>
                <w:i/>
              </w:rPr>
              <w:t>hereunder</w:t>
            </w:r>
            <w:r>
              <w:rPr/>
              <w:t>” and other words of similar import refer to this Indenture as a whole and not to any particular Article, Section or other subdivision.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used principally in Article V, are defined in Section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when used with respect to any Holder, has the meaning specified in Section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Additional Amounts</w:t>
      </w:r>
      <w:r>
        <w:rPr>
          <w:rFonts w:ascii="Times New Roman;Times;Serif" w:hAnsi="Times New Roman;Times;Serif"/>
          <w:b w:val="false"/>
          <w:i w:val="false"/>
          <w:caps w:val="false"/>
          <w:smallCaps w:val="false"/>
          <w:sz w:val="20"/>
        </w:rPr>
        <w:t>” means any additional amounts that are required by the express terms of a Security or by or pursuant to a Board Resolution, under circumstances specified therein or pursuant thereto, to be paid by the Company with respect to certain taxes, assessments or other governmental charges imposed on certain Holders and that are owing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when used with respect to any specified Person means the power to direct the management and policies of such Person, directly or indirectly, whether through the ownership of voting securities, by contract or otherwise; and the terms “</w:t>
      </w:r>
      <w:r>
        <w:rPr>
          <w:rFonts w:ascii="Times New Roman;Times;Serif" w:hAnsi="Times New Roman;Times;Serif"/>
          <w:b w:val="false"/>
          <w:i/>
          <w:caps w:val="false"/>
          <w:smallCaps w:val="false"/>
          <w:sz w:val="20"/>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controlled</w:t>
      </w:r>
      <w:r>
        <w:rPr>
          <w:rFonts w:ascii="Times New Roman;Times;Serif" w:hAnsi="Times New Roman;Times;Serif"/>
          <w:b w:val="false"/>
          <w:i w:val="false"/>
          <w:caps w:val="false"/>
          <w:smallCaps w:val="false"/>
          <w:sz w:val="20"/>
        </w:rPr>
        <w:t>”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Authenticating Agent</w:t>
      </w:r>
      <w:r>
        <w:rPr>
          <w:rFonts w:ascii="Times New Roman;Times;Serif" w:hAnsi="Times New Roman;Times;Serif"/>
          <w:b w:val="false"/>
          <w:i w:val="false"/>
          <w:caps w:val="false"/>
          <w:smallCaps w:val="false"/>
          <w:sz w:val="20"/>
        </w:rPr>
        <w:t>” means any Person authorized by the Trustee to act on behalf of the Trustee pursuant to Section 614 to authenticate Securities of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Authorized Newspaper</w:t>
      </w:r>
      <w:r>
        <w:rPr>
          <w:rFonts w:ascii="Times New Roman;Times;Serif" w:hAnsi="Times New Roman;Times;Serif"/>
          <w:b w:val="false"/>
          <w:i w:val="false"/>
          <w:caps w:val="false"/>
          <w:smallCaps w:val="false"/>
          <w:sz w:val="20"/>
        </w:rPr>
        <w:t>”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4"/>
        <w:gridCol w:w="9726"/>
      </w:tblGrid>
      <w:tr>
        <w:trPr/>
        <w:tc>
          <w:tcPr>
            <w:tcW w:w="5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(1)</w:t>
            </w:r>
          </w:p>
        </w:tc>
        <w:tc>
          <w:tcPr>
            <w:tcW w:w="9726" w:type="dxa"/>
            <w:tcBorders/>
            <w:vAlign w:val="center"/>
          </w:tcPr>
          <w:p>
            <w:pPr>
              <w:pStyle w:val="TableContents"/>
              <w:bidi w:val="0"/>
              <w:spacing w:before="0" w:after="283"/>
              <w:jc w:val="both"/>
              <w:rPr/>
            </w:pPr>
            <w:r>
              <w:rPr/>
              <w:t>with respect to a corporation, the board of directors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5"/>
        <w:gridCol w:w="9849"/>
      </w:tblGrid>
      <w:tr>
        <w:trPr/>
        <w:tc>
          <w:tcPr>
            <w:tcW w:w="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(2)</w:t>
            </w:r>
          </w:p>
        </w:tc>
        <w:tc>
          <w:tcPr>
            <w:tcW w:w="9849" w:type="dxa"/>
            <w:tcBorders/>
            <w:vAlign w:val="center"/>
          </w:tcPr>
          <w:p>
            <w:pPr>
              <w:pStyle w:val="TableContents"/>
              <w:bidi w:val="0"/>
              <w:spacing w:before="0" w:after="283"/>
              <w:jc w:val="both"/>
              <w:rPr/>
            </w:pPr>
            <w:r>
              <w:rPr/>
              <w:t>with respect to a partnership, the board of directors of the general partner of the partnership;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6"/>
        <w:gridCol w:w="9859"/>
      </w:tblGrid>
      <w:tr>
        <w:trPr/>
        <w:tc>
          <w:tcPr>
            <w:tcW w:w="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(3)</w:t>
            </w:r>
          </w:p>
        </w:tc>
        <w:tc>
          <w:tcPr>
            <w:tcW w:w="9859" w:type="dxa"/>
            <w:tcBorders/>
            <w:vAlign w:val="center"/>
          </w:tcPr>
          <w:p>
            <w:pPr>
              <w:pStyle w:val="TableContents"/>
              <w:bidi w:val="0"/>
              <w:spacing w:before="0" w:after="283"/>
              <w:jc w:val="both"/>
              <w:rPr/>
            </w:pPr>
            <w:r>
              <w:rPr/>
              <w:t>with respect to any other Person, the board or committee of such Person serving a similar function.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means, with respect to any Person, a resolution of such Person duly adopted by the Board of Directors of such Person and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Book-Entry Security</w:t>
      </w:r>
      <w:r>
        <w:rPr>
          <w:rFonts w:ascii="Times New Roman;Times;Serif" w:hAnsi="Times New Roman;Times;Serif"/>
          <w:b w:val="false"/>
          <w:i w:val="false"/>
          <w:caps w:val="false"/>
          <w:smallCaps w:val="false"/>
          <w:sz w:val="20"/>
        </w:rPr>
        <w:t>” has the meaning specified in Section 204.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when used with respect to any Place of Payment, means each Monday, Tuesday, Wednesday, Thursday and Friday that is not a day on which banking institutions in that Place of Payment or the city in which the Corporate Trust Office is located are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Lease Obligation</w:t>
      </w:r>
      <w:r>
        <w:rPr>
          <w:rFonts w:ascii="Times New Roman;Times;Serif" w:hAnsi="Times New Roman;Times;Serif"/>
          <w:b w:val="false"/>
          <w:i w:val="false"/>
          <w:caps w:val="false"/>
          <w:smallCaps w:val="false"/>
          <w:sz w:val="20"/>
        </w:rPr>
        <w:t>” means, at the time any determination thereof is to be made, the amount of the liability in respect of a capital lease that would at that time be required to be capitalized on a balance sheet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653"/>
        <w:gridCol w:w="9467"/>
      </w:tblGrid>
      <w:tr>
        <w:trPr/>
        <w:tc>
          <w:tcPr>
            <w:tcW w:w="8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pPr>
            <w:r>
              <w:rPr/>
              <w:t>(1)</w:t>
            </w:r>
          </w:p>
        </w:tc>
        <w:tc>
          <w:tcPr>
            <w:tcW w:w="9467" w:type="dxa"/>
            <w:tcBorders/>
            <w:vAlign w:val="center"/>
          </w:tcPr>
          <w:p>
            <w:pPr>
              <w:pStyle w:val="TableContents"/>
              <w:bidi w:val="0"/>
              <w:spacing w:before="0" w:after="283"/>
              <w:jc w:val="both"/>
              <w:rPr/>
            </w:pPr>
            <w:r>
              <w:rPr/>
              <w:t>in the case of a corporation, corporate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283"/>
              <w:jc w:val="both"/>
              <w:rPr/>
            </w:pPr>
            <w:r>
              <w:rPr/>
              <w:t>in the case of an association or business entity, any and all shares, interests, participations, rights or other equivalents (however designated) of corporate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(3)</w:t>
            </w:r>
          </w:p>
        </w:tc>
        <w:tc>
          <w:tcPr>
            <w:tcW w:w="9892" w:type="dxa"/>
            <w:tcBorders/>
            <w:vAlign w:val="center"/>
          </w:tcPr>
          <w:p>
            <w:pPr>
              <w:pStyle w:val="TableContents"/>
              <w:bidi w:val="0"/>
              <w:spacing w:before="0" w:after="283"/>
              <w:jc w:val="both"/>
              <w:rPr/>
            </w:pPr>
            <w:r>
              <w:rPr/>
              <w:t>in the case of a partnership or limited liability company, partnership or membership interests (whether general or limited);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(4)</w:t>
            </w:r>
          </w:p>
        </w:tc>
        <w:tc>
          <w:tcPr>
            <w:tcW w:w="9906" w:type="dxa"/>
            <w:tcBorders/>
            <w:vAlign w:val="center"/>
          </w:tcPr>
          <w:p>
            <w:pPr>
              <w:pStyle w:val="TableContents"/>
              <w:bidi w:val="0"/>
              <w:spacing w:before="0" w:after="283"/>
              <w:jc w:val="both"/>
              <w:rPr/>
            </w:pPr>
            <w:r>
              <w:rPr/>
              <w:t>any other interest or participation that confers on a Person the right to receive a share of the profits and losses of, or distributions of assets of, the issuing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the Person named as the “Company” in the first paragraph of this instrument until a successor Person shall have become such pursuant to the applicable provisions of this Indenture, and thereafter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shall mean such successor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Request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Company Order</w:t>
      </w:r>
      <w:r>
        <w:rPr>
          <w:rFonts w:ascii="Times New Roman;Times;Serif" w:hAnsi="Times New Roman;Times;Serif"/>
          <w:b w:val="false"/>
          <w:i w:val="false"/>
          <w:caps w:val="false"/>
          <w:smallCaps w:val="false"/>
          <w:sz w:val="20"/>
        </w:rPr>
        <w:t>” mean, respectively, a written request or order signed in the name of the Company by its Chairman of the Board, its President or a Vice President, and by its Treasurer, an Assistant Treasurer, its Controller, an Assistant Controller, its Secretary or an Assistant Secretary,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hereof is that indicated in the introductory paragraph of this Indenture or such other address as the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Currency Agreement</w:t>
      </w:r>
      <w:r>
        <w:rPr>
          <w:rFonts w:ascii="Times New Roman;Times;Serif" w:hAnsi="Times New Roman;Times;Serif"/>
          <w:b w:val="false"/>
          <w:i w:val="false"/>
          <w:caps w:val="false"/>
          <w:smallCaps w:val="false"/>
          <w:sz w:val="20"/>
        </w:rPr>
        <w:t>” means, with respect to any specified Person, any foreign exchange contract, currency swap agreement or other similar agreement or arrangement designed to protect such specified Person against fluctuations in currency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 event or condition the occurrence of which is, or with the lapse of time or the giving of notice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has the meaning specified in Section 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a global Security, the Person designated as Depositary by the Company pursuant to Section 301 until a successor Depositary shall have become such pursuant to the applicable provisions of this Indenture, and thereafter “</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series shall mean the Depositary with respect to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Dollar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means a dollar or other equivalent unit in such coin or currency of the United States as at the time shall be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has the meaning specified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of America, as in effect as of the date of issuance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means a guarantee (other than by endorsement of negotiable instruments for collection in the ordinary course of business), direct or indirect, in any manner (including, without limitation, by way of a pledge of assets or through letters of credit or reimbursement agreements), of all or any part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Guarantor</w:t>
      </w:r>
      <w:r>
        <w:rPr>
          <w:rFonts w:ascii="Times New Roman;Times;Serif" w:hAnsi="Times New Roman;Times;Serif"/>
          <w:b w:val="false"/>
          <w:i w:val="false"/>
          <w:caps w:val="false"/>
          <w:smallCaps w:val="false"/>
          <w:sz w:val="20"/>
        </w:rPr>
        <w:t>” means any Subsidiary that incurs a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Hedging Agreement</w:t>
      </w:r>
      <w:r>
        <w:rPr>
          <w:rFonts w:ascii="Times New Roman;Times;Serif" w:hAnsi="Times New Roman;Times;Serif"/>
          <w:b w:val="false"/>
          <w:i w:val="false"/>
          <w:caps w:val="false"/>
          <w:smallCaps w:val="false"/>
          <w:sz w:val="20"/>
        </w:rPr>
        <w:t>” means, with respect to any Person, any agreement with respect to the hedging of price risk associated with the purchase of commodities used in the business of such Person, so long as any such agreement has been entered into in the ordinary course of business and not for purposes of speculation.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when used with respect to any Security, means the Person in whose name the Security is registered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with respect to any specified Person, any indebtedness of such Person, whether or not contingent, in respect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1449"/>
        <w:gridCol w:w="8567"/>
      </w:tblGrid>
      <w:tr>
        <w:trPr/>
        <w:tc>
          <w:tcPr>
            <w:tcW w:w="18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pPr>
            <w:r>
              <w:rPr/>
              <w:t>(1)</w:t>
            </w:r>
          </w:p>
        </w:tc>
        <w:tc>
          <w:tcPr>
            <w:tcW w:w="8567" w:type="dxa"/>
            <w:tcBorders/>
            <w:vAlign w:val="center"/>
          </w:tcPr>
          <w:p>
            <w:pPr>
              <w:pStyle w:val="TableContents"/>
              <w:bidi w:val="0"/>
              <w:spacing w:before="0" w:after="283"/>
              <w:jc w:val="both"/>
              <w:rPr/>
            </w:pPr>
            <w:r>
              <w:rPr/>
              <w:t>borrowed money;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obligations evidenced by bonds, notes, debentures or similar instruments or letters of credit (or reimbursement agreements in respect thereof) (other than obligations with respect to letters of credit securing obligations (other than obligations described in clause (1), (2) and (4) of this definition) entered into in the ordinary course of business of such Person to the extent that such letters of credit are not drawn upon);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1224"/>
        <w:gridCol w:w="8821"/>
      </w:tblGrid>
      <w:tr>
        <w:trPr/>
        <w:tc>
          <w:tcPr>
            <w:tcW w:w="16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pPr>
            <w:r>
              <w:rPr/>
              <w:t>(3)</w:t>
            </w:r>
          </w:p>
        </w:tc>
        <w:tc>
          <w:tcPr>
            <w:tcW w:w="8821" w:type="dxa"/>
            <w:tcBorders/>
            <w:vAlign w:val="center"/>
          </w:tcPr>
          <w:p>
            <w:pPr>
              <w:pStyle w:val="TableContents"/>
              <w:bidi w:val="0"/>
              <w:spacing w:before="0" w:after="283"/>
              <w:jc w:val="both"/>
              <w:rPr/>
            </w:pPr>
            <w:r>
              <w:rPr/>
              <w:t>banker’s acceptances;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904"/>
        <w:gridCol w:w="9183"/>
      </w:tblGrid>
      <w:tr>
        <w:trPr/>
        <w:tc>
          <w:tcPr>
            <w:tcW w:w="1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pPr>
            <w:r>
              <w:rPr/>
              <w:t>(4)</w:t>
            </w:r>
          </w:p>
        </w:tc>
        <w:tc>
          <w:tcPr>
            <w:tcW w:w="9183" w:type="dxa"/>
            <w:tcBorders/>
            <w:vAlign w:val="center"/>
          </w:tcPr>
          <w:p>
            <w:pPr>
              <w:pStyle w:val="TableContents"/>
              <w:bidi w:val="0"/>
              <w:spacing w:before="0" w:after="283"/>
              <w:jc w:val="both"/>
              <w:rPr/>
            </w:pPr>
            <w:r>
              <w:rPr/>
              <w:t>any Capital Lease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(5)</w:t>
            </w:r>
          </w:p>
        </w:tc>
        <w:tc>
          <w:tcPr>
            <w:tcW w:w="9915" w:type="dxa"/>
            <w:tcBorders/>
            <w:vAlign w:val="center"/>
          </w:tcPr>
          <w:p>
            <w:pPr>
              <w:pStyle w:val="TableContents"/>
              <w:bidi w:val="0"/>
              <w:spacing w:before="0" w:after="283"/>
              <w:jc w:val="both"/>
              <w:rPr/>
            </w:pPr>
            <w:r>
              <w:rPr/>
              <w:t>the balance deferred and unpaid of the purchase price of any property, except any such balance that constitutes an accrued expense or trade payable incurred in the ordinary course of business;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038"/>
        <w:gridCol w:w="9032"/>
      </w:tblGrid>
      <w:tr>
        <w:trPr/>
        <w:tc>
          <w:tcPr>
            <w:tcW w:w="1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(6)</w:t>
            </w:r>
          </w:p>
        </w:tc>
        <w:tc>
          <w:tcPr>
            <w:tcW w:w="9032" w:type="dxa"/>
            <w:tcBorders/>
            <w:vAlign w:val="center"/>
          </w:tcPr>
          <w:p>
            <w:pPr>
              <w:pStyle w:val="TableContents"/>
              <w:bidi w:val="0"/>
              <w:spacing w:before="0" w:after="283"/>
              <w:jc w:val="both"/>
              <w:rPr/>
            </w:pPr>
            <w:r>
              <w:rPr/>
              <w:t>any Hedging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any of the preceding items (other than letters of credit and Hedging Agreements) would appear as a liability upon a balance sheet of the specified Person prepared in accordance with GAAP. In addition, the term “</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Indebtedness outstanding as of any date shall be: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8"/>
        <w:gridCol w:w="9857"/>
      </w:tblGrid>
      <w:tr>
        <w:trPr/>
        <w:tc>
          <w:tcPr>
            <w:tcW w:w="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(1)</w:t>
            </w:r>
          </w:p>
        </w:tc>
        <w:tc>
          <w:tcPr>
            <w:tcW w:w="9857" w:type="dxa"/>
            <w:tcBorders/>
            <w:vAlign w:val="center"/>
          </w:tcPr>
          <w:p>
            <w:pPr>
              <w:pStyle w:val="TableContents"/>
              <w:bidi w:val="0"/>
              <w:spacing w:before="0" w:after="283"/>
              <w:jc w:val="both"/>
              <w:rPr/>
            </w:pPr>
            <w:r>
              <w:rPr/>
              <w:t>the accreted value thereof, in the case of any Indebtedness issued with original issue discount;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w:t>
            </w:r>
          </w:p>
        </w:tc>
        <w:tc>
          <w:tcPr>
            <w:tcW w:w="9898" w:type="dxa"/>
            <w:tcBorders/>
            <w:vAlign w:val="center"/>
          </w:tcPr>
          <w:p>
            <w:pPr>
              <w:pStyle w:val="TableContents"/>
              <w:bidi w:val="0"/>
              <w:spacing w:before="0" w:after="283"/>
              <w:jc w:val="both"/>
              <w:rPr/>
            </w:pPr>
            <w:r>
              <w:rPr/>
              <w:t>the principal amount thereof, together with any interest thereon that is more than 30 days past due, in the case of any other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and the provisions of the Trust Indenture Act that are deemed to be a part of and govern this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means the Stated Maturity of an installment of interest 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Swap Obligations</w:t>
      </w:r>
      <w:r>
        <w:rPr>
          <w:rFonts w:ascii="Times New Roman;Times;Serif" w:hAnsi="Times New Roman;Times;Serif"/>
          <w:b w:val="false"/>
          <w:i w:val="false"/>
          <w:caps w:val="false"/>
          <w:smallCaps w:val="false"/>
          <w:sz w:val="20"/>
        </w:rPr>
        <w:t>”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other Person calculated by applying a fixed or a floating rate of interest on the same notional amount and shall include, without limitation, interest rate swaps, options, caps, floors, collars and similar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lien, mortgage, deed of trust, pledge, security interest, charge or encumbrance of any kind (including any conditional sale or other title retention agreement, any lease in the nature thereof and any agreement to give any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Chairman of the Board, the President or a Vice President, and by the Treasurer, the Controller, the Secretary or an Assistant Treasurer, Assistant Controller or Assistant Secretary, of the Company, and delivered to the Trustee, which certificate shall be in compliance with Section 103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of counsel, who may be counsel for or an employee of the Company, rendered, if applicable, in accordance with Section 314(c) of the Trust Indenture Act, which opinion shall be in compliance with Section 103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when used with respect to Securities, means, as of the date of determination, all Securities theretofore authenticated and delivered under this Indenture, except: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6"/>
        <w:gridCol w:w="9826"/>
      </w:tblGrid>
      <w:tr>
        <w:trPr/>
        <w:tc>
          <w:tcPr>
            <w:tcW w:w="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(1)</w:t>
            </w:r>
          </w:p>
        </w:tc>
        <w:tc>
          <w:tcPr>
            <w:tcW w:w="9826" w:type="dxa"/>
            <w:tcBorders/>
            <w:vAlign w:val="center"/>
          </w:tcPr>
          <w:p>
            <w:pPr>
              <w:pStyle w:val="TableContents"/>
              <w:bidi w:val="0"/>
              <w:spacing w:before="0" w:after="283"/>
              <w:jc w:val="both"/>
              <w:rPr/>
            </w:pPr>
            <w:r>
              <w:rPr/>
              <w:t>Securities theretofore cancelled by the Trustee or delivered to the Trustee for cancellation;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Securities for whose payment or redemption money in the necessary amount has been theretofore irrevocably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283"/>
              <w:jc w:val="both"/>
              <w:rPr/>
            </w:pPr>
            <w:r>
              <w:rPr/>
              <w:t>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determining whether the Holders of the requisite principal amount of the Outstanding Securities have given any request, demand, authorization, direction, notice, consent or waiver hereunder, or whether a quorum is present at a meeting of Holders of Securities, (a) the principal amount of an Original Issue Discount Security that shall be deemed to be Outstanding for such purposes shall be the principal amount thereof that would be due and payable as of the date of such determination upon acceleration of the Maturity thereof pursuant to Section 502, (b) the principal amount of a Security denominated in a foreign currency shall be the U.S. Dollar equivalent, determined by the Company on the date of original issuance of such Security, of the principal amount (or, in the case of an Original Issue Discount Security, the U.S. Dollar equivalent, determined on the date of original issuance of such Security, of the amount determined as provided in (a) above), of such Security and (c)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means any Person, which may include the Company, authorized by the Company to pay the principal of (and premium, if any) or interest on any one or more series of Securities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unincorporated organization, trust or joint venture, or a governmental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Place of Payment</w:t>
      </w:r>
      <w:r>
        <w:rPr>
          <w:rFonts w:ascii="Times New Roman;Times;Serif" w:hAnsi="Times New Roman;Times;Serif"/>
          <w:b w:val="false"/>
          <w:i w:val="false"/>
          <w:caps w:val="false"/>
          <w:smallCaps w:val="false"/>
          <w:sz w:val="20"/>
        </w:rPr>
        <w:t>” when used with respect to the Securities of any series, means the place or places where the principal of (and premium, if any) and interest on the Securities of that series are payable as specified in accordance with Section 301 subject to the provisions of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Post-Petition Interest</w:t>
      </w:r>
      <w:r>
        <w:rPr>
          <w:rFonts w:ascii="Times New Roman;Times;Serif" w:hAnsi="Times New Roman;Times;Serif"/>
          <w:b w:val="false"/>
          <w:i w:val="false"/>
          <w:caps w:val="false"/>
          <w:smallCaps w:val="false"/>
          <w:sz w:val="20"/>
        </w:rPr>
        <w:t>” means any interest that accrues after the commencement of any case, proceeding or other action relating to the bankruptcy, insolvency or reorganization of the Company (or would accrue but for the operation of applicable bankruptcy or insolvency laws), whether or not such interest is allowed or allowable as a claim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when used with respect to any Security to be redeemed, means the date fixed for such redemption by or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Redemption Price”</w:t>
      </w:r>
      <w:r>
        <w:rPr>
          <w:rFonts w:ascii="Times New Roman;Times;Serif" w:hAnsi="Times New Roman;Times;Serif"/>
          <w:b w:val="false"/>
          <w:i w:val="false"/>
          <w:caps w:val="false"/>
          <w:smallCaps w:val="false"/>
          <w:sz w:val="20"/>
        </w:rPr>
        <w:t xml:space="preserve"> when used with respect to any Security to be redeemed, means the price at which it is to be redeemed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Registered Security</w:t>
      </w:r>
      <w:r>
        <w:rPr>
          <w:rFonts w:ascii="Times New Roman;Times;Serif" w:hAnsi="Times New Roman;Times;Serif"/>
          <w:b w:val="false"/>
          <w:i w:val="false"/>
          <w:caps w:val="false"/>
          <w:smallCaps w:val="false"/>
          <w:sz w:val="20"/>
        </w:rPr>
        <w:t>” means any Security in the form established pursuant to Section 201 which is registered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Regular Record Date</w:t>
      </w:r>
      <w:r>
        <w:rPr>
          <w:rFonts w:ascii="Times New Roman;Times;Serif" w:hAnsi="Times New Roman;Times;Serif"/>
          <w:b w:val="false"/>
          <w:i w:val="false"/>
          <w:caps w:val="false"/>
          <w:smallCaps w:val="false"/>
          <w:sz w:val="20"/>
        </w:rPr>
        <w:t>” for the interest payable on any Interest Payment Date on the Registered Securities of any series means the date specified for that purpose as contemplated by Section 301, or, if not so specified, the last day of the calendar month preceding such Interest Payment Date if such Interest Payment Date is the fifteenth day of the calendar month or the fifteenth day of the calendar month preceding such Interest Payment Date if such Interest Payment Date is the first day of a calendar month, whether or not such day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including any vice-president, assistant vice-president, assistant treasurer, trust officer or any other officer who customarily performs functions similar to those performed by the Persons who at the time shall be such officers who have direct responsibility for the administration of the Indenture and also means, with respect to a particular corporate trust matter, any other officer to whom such matter is referred because of his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Security Registrar</w:t>
      </w:r>
      <w:r>
        <w:rPr>
          <w:rFonts w:ascii="Times New Roman;Times;Serif" w:hAnsi="Times New Roman;Times;Serif"/>
          <w:b w:val="false"/>
          <w:i w:val="false"/>
          <w:caps w:val="false"/>
          <w:smallCaps w:val="false"/>
          <w:sz w:val="20"/>
        </w:rPr>
        <w:t>” have the respective meanings specified in Section 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Special Record Date</w:t>
      </w:r>
      <w:r>
        <w:rPr>
          <w:rFonts w:ascii="Times New Roman;Times;Serif" w:hAnsi="Times New Roman;Times;Serif"/>
          <w:b w:val="false"/>
          <w:i w:val="false"/>
          <w:caps w:val="false"/>
          <w:smallCaps w:val="false"/>
          <w:sz w:val="20"/>
        </w:rPr>
        <w:t>” for the payment of any Defaulted Interest on the Registered Securities of any series means a date fixed by the Trustee pursuant to Section 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with respect to any specified Person: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283"/>
              <w:jc w:val="both"/>
              <w:rPr/>
            </w:pPr>
            <w:r>
              <w:rPr/>
              <w:t>any corporation of which the outstanding Capital Stock having at least a majority of the votes entitled to be cast in the election of directors under ordinary circumstances shall at the time be owned, directly or indirectly by such Person;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283"/>
              <w:jc w:val="both"/>
              <w:rPr/>
            </w:pPr>
            <w:r>
              <w:rPr/>
              <w:t>any other Person of which at least a majority of the voting interest under ordinary circumstances is at the time, directly or indirectly, owned by such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shall mean or include each Person who is then a Trustee hereunder, and if at any time there is more than one such Person,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as used with respect to the Securities of any series shall mean the Trustee with respect to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in force at the date as of which this instrument was executed, except as provided in Section 903.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United States</w:t>
      </w:r>
      <w:r>
        <w:rPr>
          <w:rFonts w:ascii="Times New Roman;Times;Serif" w:hAnsi="Times New Roman;Times;Serif"/>
          <w:b w:val="false"/>
          <w:i w:val="false"/>
          <w:caps w:val="false"/>
          <w:smallCaps w:val="false"/>
          <w:sz w:val="20"/>
        </w:rPr>
        <w:t>” means the United States of America (including the States and the District of Columbia) and its “possessions,” which include Puerto Rico, the U.S. Virgin Islands, Guam, American Samoa, Wake Island and the Northern Mariana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United States Alien</w:t>
      </w:r>
      <w:r>
        <w:rPr>
          <w:rFonts w:ascii="Times New Roman;Times;Serif" w:hAnsi="Times New Roman;Times;Serif"/>
          <w:b w:val="false"/>
          <w:i w:val="false"/>
          <w:caps w:val="false"/>
          <w:smallCaps w:val="false"/>
          <w:sz w:val="20"/>
        </w:rPr>
        <w:t>” means any Person who, for United States federal income tax purposes, is a foreign corporation, a nonresident alien individual, a nonresident alien or foreign fiduciary of an estate or trust, or a foreign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U.S. Government Obligations</w:t>
      </w:r>
      <w:r>
        <w:rPr>
          <w:rFonts w:ascii="Times New Roman;Times;Serif" w:hAnsi="Times New Roman;Times;Serif"/>
          <w:b w:val="false"/>
          <w:i w:val="false"/>
          <w:caps w:val="false"/>
          <w:smallCaps w:val="false"/>
          <w:sz w:val="20"/>
        </w:rPr>
        <w:t>” means direct noncallable obligations of, or noncallable obligations the payment of principal of and interest on which is guaranteed by, the United States of America, or to the payment of which obligations or guarantees the full faith and credit of the United States of America is pledged, or beneficial interests in a trust the corpus of which consists exclusively of money or such obligations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Vice President</w:t>
      </w:r>
      <w:r>
        <w:rPr>
          <w:rFonts w:ascii="Times New Roman;Times;Serif" w:hAnsi="Times New Roman;Times;Serif"/>
          <w:b w:val="false"/>
          <w:i w:val="false"/>
          <w:caps w:val="false"/>
          <w:smallCaps w:val="false"/>
          <w:sz w:val="20"/>
        </w:rPr>
        <w:t>”, when used with respect to the Company or the Trustee, means any vice president, whether or not designated by a number or a word or words added before or after the 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Wholly Owned Subsidiary</w:t>
      </w:r>
      <w:r>
        <w:rPr>
          <w:rFonts w:ascii="Times New Roman;Times;Serif" w:hAnsi="Times New Roman;Times;Serif"/>
          <w:b w:val="false"/>
          <w:i w:val="false"/>
          <w:caps w:val="false"/>
          <w:smallCaps w:val="false"/>
          <w:sz w:val="20"/>
        </w:rPr>
        <w:t>” of any Person means any Subsidiary of such Person of which all the outstanding voting securities (other than in the case of a Restricted Subsidiary that is incorporated in a jurisdiction other than a State in the United States of America or the District of Columbia, directors’ qualifying shares or an immaterial amount of shares required to be owned by other Persons pursuant to applicable law) are owned by such Person or any Wholly Owned Subsidiary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Yield to Maturity</w:t>
      </w:r>
      <w:r>
        <w:rPr>
          <w:rFonts w:ascii="Times New Roman;Times;Serif" w:hAnsi="Times New Roman;Times;Serif"/>
          <w:b w:val="false"/>
          <w:i w:val="false"/>
          <w:caps w:val="false"/>
          <w:smallCaps w:val="false"/>
          <w:sz w:val="20"/>
        </w:rPr>
        <w:t>”, when used with respect to any Original Issue Discount Security, means the yield to maturity, if any, set forth on the face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INCORPORATION BY REFERENCE OF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Trust Indenture Act, the provision is incorporated by reference in and made a part of this Indenture. The following Trust Indenture Act terms used in this Indenture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Bankruptcy Act</w:t>
      </w:r>
      <w:r>
        <w:rPr>
          <w:rFonts w:ascii="Times New Roman;Times;Serif" w:hAnsi="Times New Roman;Times;Serif"/>
          <w:b w:val="false"/>
          <w:i w:val="false"/>
          <w:caps w:val="false"/>
          <w:smallCaps w:val="false"/>
          <w:sz w:val="20"/>
        </w:rPr>
        <w:t>” means the Bankruptcy Act or Title 11 of the United States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securityholder</w:t>
      </w:r>
      <w:r>
        <w:rPr>
          <w:rFonts w:ascii="Times New Roman;Times;Serif" w:hAnsi="Times New Roman;Times;Serif"/>
          <w:b w:val="false"/>
          <w:i w:val="false"/>
          <w:caps w:val="false"/>
          <w:smallCaps w:val="false"/>
          <w:sz w:val="20"/>
        </w:rPr>
        <w:t>” means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trustee</w:t>
      </w:r>
      <w:r>
        <w:rPr>
          <w:rFonts w:ascii="Times New Roman;Times;Serif" w:hAnsi="Times New Roman;Times;Serif"/>
          <w:b w:val="false"/>
          <w:i w:val="false"/>
          <w:caps w:val="false"/>
          <w:smallCaps w:val="false"/>
          <w:sz w:val="20"/>
        </w:rPr>
        <w:t>” or “institutional trustee” means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obligor</w:t>
      </w:r>
      <w:r>
        <w:rPr>
          <w:rFonts w:ascii="Times New Roman;Times;Serif" w:hAnsi="Times New Roman;Times;Serif"/>
          <w:b w:val="false"/>
          <w:i w:val="false"/>
          <w:caps w:val="false"/>
          <w:smallCaps w:val="false"/>
          <w:sz w:val="20"/>
        </w:rPr>
        <w:t>” on the indenture securities means the Company or any other obligor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Indenture that are defined by the Trust Indenture Act, defined by Trust Indenture Act reference to another statute or defined by SEC rule under the Trust Indenture Act and not otherwise defined herein have the meanings assigned to them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COMPLIANCE CERTIFICATES AND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by this Indenture, upon any application or request by the Company to the Trustee to take any action under any provision of this Indenture, the Company shall furnish to the Trustee an Officers’ Certificate stating that all conditions precedent, if any (including any covenants the compliance with which constitutes a condition precedent), provided for in this Indenture relating to the proposed action have been complied with and an Opinion of Counsel stating that in the opinion of such counsel all such conditions precedent, if any (including any covenants the compliance with which constitutes a condition precedent),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or opinion with respect to compliance with a condition or covenant provided for in this Indenture shall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(1)</w:t>
            </w:r>
          </w:p>
        </w:tc>
        <w:tc>
          <w:tcPr>
            <w:tcW w:w="9900" w:type="dxa"/>
            <w:tcBorders/>
            <w:vAlign w:val="center"/>
          </w:tcPr>
          <w:p>
            <w:pPr>
              <w:pStyle w:val="TableContents"/>
              <w:bidi w:val="0"/>
              <w:spacing w:before="0" w:after="283"/>
              <w:jc w:val="both"/>
              <w:rPr/>
            </w:pPr>
            <w:r>
              <w:rPr/>
              <w:t>a statement that each Person signing such certificate or opinion has read such covenant or condition and the definitions herein relating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(2)</w:t>
            </w:r>
          </w:p>
        </w:tc>
        <w:tc>
          <w:tcPr>
            <w:tcW w:w="9909" w:type="dxa"/>
            <w:tcBorders/>
            <w:vAlign w:val="center"/>
          </w:tcPr>
          <w:p>
            <w:pPr>
              <w:pStyle w:val="TableContents"/>
              <w:bidi w:val="0"/>
              <w:spacing w:before="0" w:after="283"/>
              <w:jc w:val="both"/>
              <w:rPr/>
            </w:pPr>
            <w:r>
              <w:rPr/>
              <w:t>a brief statement as to the nature and scope of the examination or investigation upon which the statements or opinions contained in such certificate or opinion are based;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283"/>
              <w:jc w:val="both"/>
              <w:rPr/>
            </w:pPr>
            <w:r>
              <w:rPr/>
              <w:t>a statement that, in the opinion of each such Person, such Person has made such examination or investigation as is necessary to enable such Person to express an informed opinion as to whether or not such covenant or condition has been complied with;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(4)</w:t>
            </w:r>
          </w:p>
        </w:tc>
        <w:tc>
          <w:tcPr>
            <w:tcW w:w="9889" w:type="dxa"/>
            <w:tcBorders/>
            <w:vAlign w:val="center"/>
          </w:tcPr>
          <w:p>
            <w:pPr>
              <w:pStyle w:val="TableContents"/>
              <w:bidi w:val="0"/>
              <w:spacing w:before="0" w:after="283"/>
              <w:jc w:val="both"/>
              <w:rPr/>
            </w:pPr>
            <w:r>
              <w:rPr/>
              <w:t>a statement as to whether or not, in the opinion of each such Person, such condition or covenant has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 FORM OF DOCUMENTS DELIVERED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105. ACTS OF HOLDERS; RECORD DATES.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283"/>
              <w:jc w:val="both"/>
              <w:rPr/>
            </w:pPr>
            <w:r>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w:t>
            </w:r>
            <w:r>
              <w:rPr>
                <w:i/>
              </w:rPr>
              <w:t>Act</w:t>
            </w:r>
            <w:r>
              <w:rPr/>
              <w:t>” of the Holders signing such instrument or instruments and so voting at any such meeting. Proof of execution of any such instrument or of a writing appointing any such agent, or the holding of any Person of a Security, shall be sufficient for any purpose of this Indenture and (subject to Section 601) conclusive in favor of the Trustee and the Company, if made in the manner provided in this Section. The record of any meeting of Holders of Securities shall be proved in the manner provided in Section 1306. The Company may set in advance a record date for purposes of determining the identity of Holders of Registered Securities entitled to vote or consent to any action by vote or consent authorized or permitted under this Indenture. If not set by the Company prior to the first solicitation of a Holder of Registered Securities of such series made by any Person in respect of any such action, or in the case of any such vote, prior to such vote, the record date for any such action or vote shall be the later of 30 days prior to such first solicitation of such consent or the date of the most recent list of Holders furnished to the Trustee prior to such solicitation. If a record date is fixed, those Persons who were Holders of Outstanding Registered Securities at such record date (or their duly designated proxies), and only those Persons, shall be entitled with respect to such Securities to take such action by vote or consent or to revoke any vote or consent previously given, whether or not such Persons continue to be Holders after such record date. Promptly after any record date is set pursuant to this paragraph, the Company, at its own expense, shall cause notice thereof to be given to the Trustee in writing in the manner provided in Section 106 and to the relevant Holders as set forth in Section 107.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283"/>
              <w:jc w:val="both"/>
              <w:rPr/>
            </w:pPr>
            <w:r>
              <w:rPr/>
              <w:t>The principal amount and serial numbers of Registered Securities held by any Person, and the date of holding the same, shall be proved by the Security Register.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283"/>
              <w:jc w:val="both"/>
              <w:rPr/>
            </w:pPr>
            <w:r>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Any Holder or subsequent Holder may revoke the request, demand, authorization, direction, notice, consent or other Act as to his Security or portion of his Security; </w:t>
            </w:r>
            <w:r>
              <w:rPr>
                <w:i/>
              </w:rPr>
              <w:t>provided</w:t>
            </w:r>
            <w:r>
              <w:rPr/>
              <w:t>, </w:t>
            </w:r>
            <w:r>
              <w:rPr>
                <w:i/>
              </w:rPr>
              <w:t>however</w:t>
            </w:r>
            <w:r>
              <w:rPr/>
              <w:t>, that such revocation shall be effective only if the Trustee receives the notice of revocation before the date the Act becomes effective.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106. NOTICES, ETC., TO TRUSTEE AND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Act of Holders or other document provided or permitted by this Indenture to be made upon, given or furnished to, or filed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283"/>
              <w:jc w:val="both"/>
              <w:rPr/>
            </w:pPr>
            <w:r>
              <w:rPr/>
              <w:t>the Trustee by any Holder or by the Company shall be sufficient for every purpose hereunder if made, given, furnished or filed in writing to or with the Trustee at its Corporate Trust Office, Attention: Corporate Trust Administration,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the Trustee)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next-day delivery. All notices and communications to the Trustee shall be deemed duly given and effective only upon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Holder shall be mailed by first class mail, certified or registered, return receipt requested, or by overnight air courier guaranteeing next-day delivery to its address shown on the Security Register. Any notice or communication shall also be so mailed to any Person described in TIA Section 313(c), to the extent required by the TIA. Failure to mail a notice or communication to a Holder or any defect in it shall not affect its sufficiency with respect to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in the manner provided above within the time prescribed, it is duly given, whether or not the addressee receives it. If the Company mails a notice or communication to Holders, it shall mail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107. NOTICE TO HOLDERS;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of Securities of any event, such notice shall be sufficiently given (unless otherwise herein expressly provided) if in writing and mailed, first-class postage prepaid, to each Holder affected by such event, at the address of such Holder as it appears in the Security Register, not later than the latest date, and not earlier than the earliest date, prescribed for the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to Holders of Registered Securities by mail, then such notification as shall be made with the approval of the Trustee shall constitute a sufficient notification for every purpose hereunder. In any case in which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108. CONFLICT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hereof limits, qualifies or conflicts with any provision of the Trust Indenture Act or another provision hereof required to be included in this Indenture by any of the provisions of the Trust Indenture Act, such provision of the Trust Indenture Act shall control. If any provision of this Indenture modifies or excludes any provision of the Trust Indenture Act that may be so modified or excluded, the former provision shall be deemed to apply to this Indenture as so modified or to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109. EFFECT OF HEADINGS AND 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 and Section headings herein and the Table of Contents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and agreements in this Indenture by the Company shall bind its successors and assigns, whether or not so expressed.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 SEPARABILITY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112. BENEFITS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to any Person, other than the parties hereto and their successors hereunder, any Authenticating Agent, Paying Agent and Security Registrar, and the Holders,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113.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and construed in accordance with the laws of the State of New York, but without giving effect to applicable principles of conflicts of law to the extent the application of the laws of another jurisdiction would be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114. LEGAL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any Interest Payment Date, Redemption Date or Stated Maturity of any Security shall not be a Business Day at any Place of Payment, then (notwithstanding any other provision of this Indenture or of the Securities) payment of principal and interest (and premium and Additional Amounts, if any) need not be made at such Place of Payment on such date, but may be made on the next succeeding Business Day at such Place of Payment with the same force and effect as if made on the Interest Payment Date or Redemption Date, or at the Stated Maturity,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no interest shall accrue for the period from and after such Interest Payment Date, Redemption Date or Stated Maturity,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115. CORPORATE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may be taken, directly or indirectly, against any incorporator, subscriber to the capital stock, stockholder, officer, director or employee of the Company or the Trustee or of any predecessor or successor of the Company or the Trustee with respect to the Company’s obligations on the Securities or the obligations of the Company or the Trustee under this Indenture or any certificate or other writing delivered in connection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116. WAIVER OF TRIAL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117. 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SECURITY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 FORMS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each series shall be Registered Securities and shall be in substantially such form or forms (including temporary or permanent global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If temporary Securities of any series are issued in global form as permitted by Section 304, the form thereof shall be established as provided in the preceding sentence. A copy of the Board Resolution establishing the form or forms of Securities of any series (or any such temporary global Security) shall be delivered to the Trustee at or prior to the delivery of the Company Order contemplated by Section 303 for the authentication and delivery of such Securities (or any such temporary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FORM OF 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certificate of authentication shall be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897"/>
        <w:gridCol w:w="1882"/>
        <w:gridCol w:w="60"/>
      </w:tblGrid>
      <w:tr>
        <w:trPr/>
        <w:tc>
          <w:tcPr>
            <w:tcW w:w="897" w:type="dxa"/>
            <w:tcBorders/>
            <w:vAlign w:val="center"/>
          </w:tcPr>
          <w:p>
            <w:pPr>
              <w:pStyle w:val="TableContents"/>
              <w:bidi w:val="0"/>
              <w:spacing w:before="0" w:after="283"/>
              <w:ind w:left="0" w:right="0" w:hanging="200"/>
              <w:jc w:val="left"/>
              <w:rPr/>
            </w:pPr>
            <w:r>
              <w:rPr/>
              <w:t>By:</w:t>
            </w:r>
          </w:p>
        </w:tc>
        <w:tc>
          <w:tcPr>
            <w:tcW w:w="1882" w:type="dxa"/>
            <w:tcBorders>
              <w:bottom w:val="single" w:sz="8" w:space="0" w:color="000000"/>
            </w:tcBorders>
            <w:tcMar>
              <w:bottom w:w="28" w:type="dxa"/>
            </w:tcMar>
            <w:vAlign w:val="center"/>
          </w:tcPr>
          <w:p>
            <w:pPr>
              <w:pStyle w:val="TableContents"/>
              <w:bidi w:val="0"/>
              <w:spacing w:before="0" w:after="283"/>
              <w:ind w:left="0" w:right="0" w:hanging="200"/>
              <w:jc w:val="left"/>
              <w:rPr/>
            </w:pPr>
            <w:r>
              <w:rPr/>
              <w:t>              </w:t>
            </w:r>
          </w:p>
        </w:tc>
        <w:tc>
          <w:tcPr>
            <w:tcW w:w="60" w:type="dxa"/>
            <w:tcBorders/>
            <w:vAlign w:val="center"/>
          </w:tcPr>
          <w:p>
            <w:pPr>
              <w:pStyle w:val="TableContents"/>
              <w:bidi w:val="0"/>
              <w:spacing w:before="0" w:after="283"/>
              <w:ind w:left="0" w:right="0" w:hanging="200"/>
              <w:jc w:val="left"/>
              <w:rPr/>
            </w:pPr>
            <w:r>
              <w:rPr/>
              <w:t> </w:t>
            </w:r>
          </w:p>
        </w:tc>
      </w:tr>
      <w:tr>
        <w:trPr/>
        <w:tc>
          <w:tcPr>
            <w:tcW w:w="2779" w:type="dxa"/>
            <w:gridSpan w:val="2"/>
            <w:tcBorders/>
            <w:vAlign w:val="center"/>
          </w:tcPr>
          <w:p>
            <w:pPr>
              <w:pStyle w:val="TableContents"/>
              <w:bidi w:val="0"/>
              <w:spacing w:before="0" w:after="283"/>
              <w:ind w:left="0" w:right="0" w:hanging="200"/>
              <w:jc w:val="left"/>
              <w:rPr/>
            </w:pPr>
            <w:r>
              <w:rPr/>
              <w:t>AUTHORIZED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SECURITIES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of a series are issuable in global form, as contemplated by Section 301, then, notwithstanding clause (10)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in such Security or in a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in such Security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last sentence of Section 303 shall apply to any Security in global form if such Security was never issued and sold by the Company and the Company delivers to the Trustee the Security in global form together with written instructions (which need not comply with Section 103 and need not be accompanied by an Opinion of Counsel) with regard to the reduction in the principal amount of Securities represented thereby, together with the written statement contemplated by the last sentence of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Sections 201 and 307, unless otherwise specified as contemplated by Section 301, payment of principal of (and premium, if any) and interest on any Security in permanent global form shall be made to the Person or Persons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308 and except as provided in the preceding paragraph, the Company, the Trustee and any agent of the Company or of the Trustee shall treat a Person as the Holder of such principal amount of Outstanding Securities represented by a global Security as shall be specified in a written statement, if any, of the Holder of such global Security, which is produced to the Security Registrar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Securities may be issued in either temporary or permanent form. Permanent global Securities will be issued in definitive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 BOOK-ENTRY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this Indenture to the contrary: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At the discretion of the Company, any Registered Security may be issued from time to time, in whole or in part, in permanent global form registered in the name of a Depositary, or its nominee. Each such Registered Security in permanent global form is hereafter referred to as a “</w:t>
            </w:r>
            <w:r>
              <w:rPr>
                <w:i/>
              </w:rPr>
              <w:t>Book-Entry Security.</w:t>
            </w:r>
            <w:r>
              <w:rPr/>
              <w:t>” Subject to Section 303, upon such election, the Company shall execute, and the Trustee or an Authenticating Agent shall authenticate and deliver, one or more Book-Entry Securities that (i) are denominated in an amount equal to the aggregate principal amount of the Outstanding Securities of such series if elected in whole or such lesser amount if elected in part, (ii) are registered in the name of the Depositary or its nominee, (iii) are delivered by the Trustee or an Authenticating Agent to the Depositary or pursuant to the Depositary’s instructions and (iv) bear a legend in substantially the following form (or such other form as the Depositary and the Company may agree upon):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DEPOSITARY], TO THE COMPANY OR ITS AGENT FOR REGISTRATION OF TRANSFER, EXCHANGE OR PAYMENT, AND ANY CERTIFICATE ISSUED IS REGISTERED IN THE NAME OF [NOMINEE OF THE DEPOSITARY] OR IN SUCH OTHER NAME AS IS REQUESTED BY AN AUTHORIZED REPRESENTATIVE OF [THE DEPOSITARY] (AND ANY PAYMENT IS MADE TO [NOMINEE OF THE DEPOSITARY] OR TO SUCH OTHER ENTITY AS IS REQUESTED BY AN AUTHORIZED REPRESENTATIVE OF [THE DEPOSITARY]), ANY TRANSFER, PLEDGE OR OTHER USE HEREOF FOR VALUE OR OTHERWISE BY OR TO ANY PERSON IS WRONGFUL INASMUCH AS THE REGISTERED OWNER HEREOF, [NOMINEE OF THE DEPOSITARY], HAS AN INTEREST 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Any Book-Entry Security shall be initially executed and delivered as provided in Section 303. Notwithstanding any other provision of this Indenture, unless and until it is exchanged in whole or in part for Registered Securities not issued in global form, a Book-Entry Security may not be transferred except as a whole by the Depositary to a nominee of such Depositary, by a nominee of such Depositary to such Depositary or another nominee of such Depositary, or by such Depositary or any such nominee to a successor Depositary or a nominee of such successor Depositary.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If at any time the Depositary notifies the Company or the Trustee that it is unwilling or unable to continue as Depositary for any Book-Entry Securities, the Company shall appoint a successor Depositary, whereupon the retiring Depositary shall surrender or cause the surrender of its Book-Entry Security or Securities to the Trustee. The Trustee shall promptly notify the Company upon receipt of such notice. If a successor Depositary has not been so appointed by the effective date of the resignation of the Depositary, the Book-Entry Securities will be issued as Registered Securities not issued in global form, in an aggregate principal amount equal to the principal amount of the Book-Entry Security or Securities theretofore held by the Depositary.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and in its sole discretion determine that the Securities shall no longer be Book-Entry Securities represented by a global certificate or certificates, and will so notify the Depositary. Upon receipt of such notice, the Depositary shall promptly surrender or cause the surrender of its Book-Entry Security or Securities to the Trustee. Concurrently therewith, Registered Securities not issued in global form will be issued in an aggregate principal amount equal to the principal amount of the Book-Entry Security or Securities theretofore held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exchange of Book-Entry Securities for Registered Securities not issued in global form as set forth in this Section 204(c), such Book-Entry Securities shall be cancelled by the Trustee, and Securities issued in exchange for such Book-Entry Securities pursuant to this Section shall be registered in such names and in such authorized denominations as the Depositary for such Book-Entry Securities, pursuant to instructions from its direct or indirect participants or otherwise, shall instruct the Trustee. The Trustee or any Authenticating Agent shall deliver such Securities to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both"/>
              <w:rPr/>
            </w:pPr>
            <w:r>
              <w:rPr/>
              <w:t>The Company and the Trustee shall be entitled to treat the Person in whose name any Book-Entry Security is registered as the Holder thereof for all purposes of the Indenture and any applicable laws, notwithstanding any notice to the contrary received by the Trustee or the Company; and the Trustee and the Company shall have no responsibility for transmitting payments to, communication with, notifying, or otherwise dealing with any beneficial owners of any Book-Entry Security. Neither the Company nor the Trustee shall have any responsibility or obligations, legal or otherwise, to the beneficial owners or to any other party including the Depositary, except for the Holder of any Book-Entry Security; </w:t>
            </w:r>
            <w:r>
              <w:rPr>
                <w:i/>
              </w:rPr>
              <w:t>provided however</w:t>
            </w:r>
            <w:r>
              <w:rPr/>
              <w:t>, notwithstanding anything herein to the contrary, (i) for the purposes of determining whether the requisite principal amount of Outstanding Securities have given, made or taken any request, demand, authorization, direction, notice, consent, waiver, instruction or other action hereunder as of any date, the Trustee shall treat any Person specified in a written statement of the Depositary with respect to any Book-Entry Securities as the Holder of the principal amount of such Securities set forth therein and (ii) nothing herein shall prevent the Company, the Trustee, or any agent of the Company or Trustee, from giving effect to any written certification, proxy or other authorization furnished by a Depositary with respect to any Book-Entry Securities, or impair, as between a Depositary and holders of beneficial interests in such Securities, the operation of customary practices governing the exercise of the rights of the Depositary as Holder of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So long as any Book-Entry Security is registered in the name of a Depositary or its nominee, all payments of the principal of (and premium, if any) and interest on such Book-Entry Security and redemption thereof and all notices with respect to such Book-Entry Security shall be made and given, respectively, in the manner provided in the arrangements of the Company with such Depositary.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 AMOUNT UNLIMITED;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w:t>
            </w:r>
          </w:p>
        </w:tc>
        <w:tc>
          <w:tcPr>
            <w:tcW w:w="9885" w:type="dxa"/>
            <w:tcBorders/>
            <w:vAlign w:val="center"/>
          </w:tcPr>
          <w:p>
            <w:pPr>
              <w:pStyle w:val="TableContents"/>
              <w:bidi w:val="0"/>
              <w:spacing w:before="0" w:after="283"/>
              <w:jc w:val="both"/>
              <w:rPr/>
            </w:pPr>
            <w:r>
              <w:rPr/>
              <w:t>the title of the Securities of the series (which shall distinguish the Securities of the series from all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283"/>
              <w:jc w:val="both"/>
              <w:rPr/>
            </w:pPr>
            <w:r>
              <w:rPr/>
              <w:t>any limit, if any, upon the aggregate principal amount of the Securities of the series that may be authenticated and delivered under this Indenture (except for Securities authenticated and delivered upon registration or transfer of, or in exchange for, or in lieu of, other Securities of the series pursuant to Section 304, 305, 306, 905 or 1107);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283"/>
              <w:jc w:val="both"/>
              <w:rPr/>
            </w:pPr>
            <w:r>
              <w:rPr/>
              <w:t>whether Securities of the series are to be issuable as Registered Securities, whether any Securities of the series are to be issuable initially in temporary global form and whether any Securities of the series are to be issuable in permanent global form, as Book-Entry Securities or otherwise,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Depositary for any global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283"/>
              <w:jc w:val="both"/>
              <w:rPr/>
            </w:pPr>
            <w:r>
              <w:rPr/>
              <w:t>the manner in which any interest payable on a temporary global Security on any Interest Payment Date will be paid if other than in the manner provided in Section 304;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(5)</w:t>
            </w:r>
          </w:p>
        </w:tc>
        <w:tc>
          <w:tcPr>
            <w:tcW w:w="9902" w:type="dxa"/>
            <w:tcBorders/>
            <w:vAlign w:val="center"/>
          </w:tcPr>
          <w:p>
            <w:pPr>
              <w:pStyle w:val="TableContents"/>
              <w:bidi w:val="0"/>
              <w:spacing w:before="0" w:after="283"/>
              <w:jc w:val="both"/>
              <w:rPr/>
            </w:pPr>
            <w:r>
              <w:rPr/>
              <w:t>the date or dates on which the principal of (and premium, if any, on) the Securities of the series is payable or the method of determination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(6)</w:t>
            </w:r>
          </w:p>
        </w:tc>
        <w:tc>
          <w:tcPr>
            <w:tcW w:w="9940" w:type="dxa"/>
            <w:tcBorders/>
            <w:vAlign w:val="center"/>
          </w:tcPr>
          <w:p>
            <w:pPr>
              <w:pStyle w:val="TableContents"/>
              <w:bidi w:val="0"/>
              <w:spacing w:before="0" w:after="283"/>
              <w:jc w:val="both"/>
              <w:rPr/>
            </w:pPr>
            <w:r>
              <w:rPr/>
              <w:t>the rate or rates, or the method of determination thereof, at which the Securities of the series shall bear interest, if any, whether and under what circumstances Additional Amounts with respect to such Securities shall be payable, the date or dates from which such interest shall accrue, the Interest Payment Dates on which such interest shall be payable and, if other than as set forth in Section 101, the Regular Record Date for the interest payable on any Registered Securities on any Interest Payment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283"/>
              <w:jc w:val="both"/>
              <w:rPr/>
            </w:pPr>
            <w:r>
              <w:rPr/>
              <w:t>if other than the Corporate Trust Office of the Trustee, the place or places where, subject to the provisions of Section 1002, the principal of (and premium, if any), any interest on and any Additional Amounts with respect to the Securities of the series shall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(8)</w:t>
            </w:r>
          </w:p>
        </w:tc>
        <w:tc>
          <w:tcPr>
            <w:tcW w:w="9934" w:type="dxa"/>
            <w:tcBorders/>
            <w:vAlign w:val="center"/>
          </w:tcPr>
          <w:p>
            <w:pPr>
              <w:pStyle w:val="TableContents"/>
              <w:bidi w:val="0"/>
              <w:spacing w:before="0" w:after="283"/>
              <w:jc w:val="both"/>
              <w:rPr/>
            </w:pPr>
            <w:r>
              <w:rPr/>
              <w:t>the period or periods within which, the price or prices (whether denominated in cash, securities or otherwise) at which and the terms and conditions upon which Securities of the series may be redeemed, in whole or in part, at the option of the Company, if the Company is to have that option, and the manner in which the Company must exercise any such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(9)</w:t>
            </w:r>
          </w:p>
        </w:tc>
        <w:tc>
          <w:tcPr>
            <w:tcW w:w="9937" w:type="dxa"/>
            <w:tcBorders/>
            <w:vAlign w:val="center"/>
          </w:tcPr>
          <w:p>
            <w:pPr>
              <w:pStyle w:val="TableContents"/>
              <w:bidi w:val="0"/>
              <w:spacing w:before="0" w:after="283"/>
              <w:jc w:val="both"/>
              <w:rPr/>
            </w:pPr>
            <w:r>
              <w:rPr/>
              <w:t>the obligation, if any, of the Company to redeem or purchase Securities of the series pursuant to any sinking fund or analogous provisions or at the option of a Holder thereof and the period or periods within which, the price or prices (whether denominated in cash, securities or otherwise) at which and the terms and conditions upon which Securities of the series shall be redeemed or purchased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6"/>
        <w:gridCol w:w="9792"/>
      </w:tblGrid>
      <w:tr>
        <w:trPr/>
        <w:tc>
          <w:tcPr>
            <w:tcW w:w="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(10)</w:t>
            </w:r>
          </w:p>
        </w:tc>
        <w:tc>
          <w:tcPr>
            <w:tcW w:w="9792" w:type="dxa"/>
            <w:tcBorders/>
            <w:vAlign w:val="center"/>
          </w:tcPr>
          <w:p>
            <w:pPr>
              <w:pStyle w:val="TableContents"/>
              <w:bidi w:val="0"/>
              <w:spacing w:before="0" w:after="283"/>
              <w:jc w:val="both"/>
              <w:rPr/>
            </w:pPr>
            <w:r>
              <w:rPr/>
              <w:t>the denomination in which any Registered Securities of that series shall be issuable, if other than denominations of $2,000 and any integral multiple of $1,000 in excess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(11)</w:t>
            </w:r>
          </w:p>
        </w:tc>
        <w:tc>
          <w:tcPr>
            <w:tcW w:w="9808" w:type="dxa"/>
            <w:tcBorders/>
            <w:vAlign w:val="center"/>
          </w:tcPr>
          <w:p>
            <w:pPr>
              <w:pStyle w:val="TableContents"/>
              <w:bidi w:val="0"/>
              <w:spacing w:before="0" w:after="283"/>
              <w:jc w:val="both"/>
              <w:rPr/>
            </w:pPr>
            <w:r>
              <w:rPr/>
              <w:t>the currency or currencies (including composite currencies) in which payment of the principal of (and premium, if any), any interest on and any Additional Amounts with respect to the Securities of the series shall be payable if other than the currency of the 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(12)</w:t>
            </w:r>
          </w:p>
        </w:tc>
        <w:tc>
          <w:tcPr>
            <w:tcW w:w="9822" w:type="dxa"/>
            <w:tcBorders/>
            <w:vAlign w:val="center"/>
          </w:tcPr>
          <w:p>
            <w:pPr>
              <w:pStyle w:val="TableContents"/>
              <w:bidi w:val="0"/>
              <w:spacing w:before="0" w:after="283"/>
              <w:jc w:val="both"/>
              <w:rPr/>
            </w:pPr>
            <w:r>
              <w:rPr/>
              <w:t>if the principal of (and premium, if any) or interest on the Securities of the series are to be payable, at the election of the Company or a Holder thereof, in a currency or currencies (including composite currencies) other than that in which the Securities are stated to be payable, the currency or currencies (including composite currencies) in which payment of the principal of (and premium, if any) and interest on and any Additional Amounts with respect to Securities of such series as to which such election is made shall be payable, and the periods within which and the terms and conditions upon which such election is to be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(13)</w:t>
            </w:r>
          </w:p>
        </w:tc>
        <w:tc>
          <w:tcPr>
            <w:tcW w:w="9811" w:type="dxa"/>
            <w:tcBorders/>
            <w:vAlign w:val="center"/>
          </w:tcPr>
          <w:p>
            <w:pPr>
              <w:pStyle w:val="TableContents"/>
              <w:bidi w:val="0"/>
              <w:spacing w:before="0" w:after="283"/>
              <w:jc w:val="both"/>
              <w:rPr/>
            </w:pPr>
            <w:r>
              <w:rPr/>
              <w:t>if the amount of payments of principal of (and premium, if any), any interest on and any Additional Amounts with respect to the Securities of the series may be determined with reference to any commodities, currencies or indices, or values, rates or prices, the manner in which such amounts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9"/>
        <w:gridCol w:w="9799"/>
      </w:tblGrid>
      <w:tr>
        <w:trPr/>
        <w:tc>
          <w:tcPr>
            <w:tcW w:w="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(14)</w:t>
            </w:r>
          </w:p>
        </w:tc>
        <w:tc>
          <w:tcPr>
            <w:tcW w:w="9799" w:type="dxa"/>
            <w:tcBorders/>
            <w:vAlign w:val="center"/>
          </w:tcPr>
          <w:p>
            <w:pPr>
              <w:pStyle w:val="TableContents"/>
              <w:bidi w:val="0"/>
              <w:spacing w:before="0" w:after="283"/>
              <w:jc w:val="both"/>
              <w:rPr/>
            </w:pPr>
            <w:r>
              <w:rPr/>
              <w:t>if other than the entire principal amount thereof, the portion of the principal amount of Securities of the series that shall be payable upon declaration of acceleration of the Maturity thereof pursuant to Section 502;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1"/>
        <w:gridCol w:w="9807"/>
      </w:tblGrid>
      <w:tr>
        <w:trPr/>
        <w:tc>
          <w:tcPr>
            <w:tcW w:w="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(15)</w:t>
            </w:r>
          </w:p>
        </w:tc>
        <w:tc>
          <w:tcPr>
            <w:tcW w:w="9807" w:type="dxa"/>
            <w:tcBorders/>
            <w:vAlign w:val="center"/>
          </w:tcPr>
          <w:p>
            <w:pPr>
              <w:pStyle w:val="TableContents"/>
              <w:bidi w:val="0"/>
              <w:spacing w:before="0" w:after="283"/>
              <w:jc w:val="both"/>
              <w:rPr/>
            </w:pPr>
            <w:r>
              <w:rPr/>
              <w:t>any additional means of satisfaction and discharge of this Indenture with respect to Securities of the series pursuant to Section 401, any additional conditions to discharge pursuant to Section 401, 402, 403, 404, or 405, and the application, if any, of Section 403 and 404;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(16)</w:t>
            </w:r>
          </w:p>
        </w:tc>
        <w:tc>
          <w:tcPr>
            <w:tcW w:w="9813" w:type="dxa"/>
            <w:tcBorders/>
            <w:vAlign w:val="center"/>
          </w:tcPr>
          <w:p>
            <w:pPr>
              <w:pStyle w:val="TableContents"/>
              <w:bidi w:val="0"/>
              <w:spacing w:before="0" w:after="283"/>
              <w:jc w:val="both"/>
              <w:rPr/>
            </w:pPr>
            <w:r>
              <w:rPr/>
              <w:t>any deletions or modifications of or additions to the Events of Default set forth in Section 501, the right of the Trustee or the requisite Holders of such Securities to declare the principal amount thereof due and payable pursuant to Section 502, or the covenants of the Company set forth in Article X pertaining to the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(17)</w:t>
            </w:r>
          </w:p>
        </w:tc>
        <w:tc>
          <w:tcPr>
            <w:tcW w:w="9808" w:type="dxa"/>
            <w:tcBorders/>
            <w:vAlign w:val="center"/>
          </w:tcPr>
          <w:p>
            <w:pPr>
              <w:pStyle w:val="TableContents"/>
              <w:bidi w:val="0"/>
              <w:spacing w:before="0" w:after="283"/>
              <w:jc w:val="both"/>
              <w:rPr/>
            </w:pPr>
            <w:r>
              <w:rPr/>
              <w:t>the terms, if any, on which the Securities of any series may be converted into or exchanged for stock or other securities of the Company or other entities, any specific terms relating to the adjustment thereof and the period during which such Securities may be so converted or exchanged;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6"/>
        <w:gridCol w:w="9782"/>
      </w:tblGrid>
      <w:tr>
        <w:trPr/>
        <w:tc>
          <w:tcPr>
            <w:tcW w:w="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(18)</w:t>
            </w:r>
          </w:p>
        </w:tc>
        <w:tc>
          <w:tcPr>
            <w:tcW w:w="9782" w:type="dxa"/>
            <w:tcBorders/>
            <w:vAlign w:val="center"/>
          </w:tcPr>
          <w:p>
            <w:pPr>
              <w:pStyle w:val="TableContents"/>
              <w:bidi w:val="0"/>
              <w:spacing w:before="0" w:after="283"/>
              <w:jc w:val="both"/>
              <w:rPr/>
            </w:pPr>
            <w:r>
              <w:rPr/>
              <w:t>whether the Securities of a series will be issued as part of units consisting of Securities and other securities of the Company or another issuer;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85"/>
        <w:gridCol w:w="9676"/>
      </w:tblGrid>
      <w:tr>
        <w:trPr/>
        <w:tc>
          <w:tcPr>
            <w:tcW w:w="4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(19)</w:t>
            </w:r>
          </w:p>
        </w:tc>
        <w:tc>
          <w:tcPr>
            <w:tcW w:w="9676" w:type="dxa"/>
            <w:tcBorders/>
            <w:vAlign w:val="center"/>
          </w:tcPr>
          <w:p>
            <w:pPr>
              <w:pStyle w:val="TableContents"/>
              <w:bidi w:val="0"/>
              <w:spacing w:before="0" w:after="283"/>
              <w:jc w:val="both"/>
              <w:rPr/>
            </w:pPr>
            <w:r>
              <w:rPr/>
              <w:t>any other terms of the series permitted under the provisions of the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in the case of Registered Securities,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unless otherwise provided in such Board Resolution or supplemental indenture, a series may be reopened for issuances of additional Securities of such series pursuant to a Board Resolution or in any indenture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Company, interest on the Registered Securities of any series that bears interest may be paid by mailing a check or otherwise transmitting payment to the address of any Holder as such address shall appear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a copy of an appropriate record of such action together with such Board Resolution shall be certified by the Secretary or an Assistant Secretary of the Company and delivered to the Trustee at or prior to the delivery of the Officers’ Certificate setting forth the terms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each series shall be issuable in such denominations as shall be specified as contemplated by Section 301. In the absence of any such provisions with respect to the Securities of any series, the Registered Securities of such series denominated in Dollars shall be issuable in denominations of $2,000 and any integral multiple of $1,000 in excess thereof. Unless otherwise provided as contemplated by Section 301 with respect to any series of Securities, any Securities of a series denominated in a currency other than Dollars shall be issuable in denominations that are the equivalent, as determined by the Company by reference to the noon buying rate in the City of New York for cable transfers for such currency, as such rate is reported or otherwise made available by the Federal Reserve Bank of New York, on the applicable issue date for such Securities, of $2,000 and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EXECUTION, AUTHENTICATION, DELIVERY AND DATING.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executed on behalf of the Company by its Chairman of the Board, its Chief Executive Officer, its President, its Chief Financial Officer, its Treasurer or one of its Vice Presidents, under its corporate seal reproduced thereon or affixed thereto attested by its Secretary or one of its Assistant Secretaries. The signature of any of these officers on the Securities may be manual or facsimile. Coupons shall bear the facsimile signature of the Chairman of the Board, President, Treasurer or any Vice President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as in this Indenture provided and not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or terms of the Securities of the series have been established in or pursuant to one or more Board Resolutions or Officer’s Certificate as permitted by Sections 201 and 301, in authenticating such Securities, and accepting the additional responsibilities under this Indenture in relation to such Securities, the Trustee shall be given (in addition to the other documents required by Section 103 hereof), and (subject to Section 601) shall be fully protected in relying upon, an Opinion of Counsel stating,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if the form of such Securities has been established by or pursuant to Board Resolution as permitted by Section 201, that such form has been established in conformity with the provisions of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if the terms of such Securities have been established by or pursuant to Board Resolution as permitted by Section 301, that such terms have been established in conformity with the provisions of this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that such Securities, when authenticated and delivered by the Trustee and issued by the Company in the manner and subject to any conditions specified in such Opinion of Counsel, will constitute legal, valid and binding obligations of the Company, enforceable in accordance with their terms, except as such enforcement is subject to the effect of bankruptcy, insolvency, fraudulent conveyance, reorganization or other laws relating to or affecting creditors’ rights, and general principles of equity (regardless of whether such enforcement is considered in a proceeding in equity or at law); </w:t>
            </w:r>
            <w:r>
              <w:rPr>
                <w:i/>
              </w:rPr>
              <w:t>provided </w:t>
            </w:r>
            <w:r>
              <w:rPr/>
              <w:t>that such Opinion of Counsel need express no opinion as to whether a court in the United States would render a money judgment in currency other than that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304. TEMPORARY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of the Company executing such Securities may determine, as evidenced by their execution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temporary Securities of any series shall in all respects be entitled to the same benefits under this Indenture as definitive Securities of the same series and of like tenor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305. REGISTRATION, REGISTRATION OF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to be kept for each series of Securities at one of the offices or agencies maintained pursuant to Section 1002 a register (the register maintained in such office and in any other office or agency of the Company in a Place of Payment being herein sometimes collectively referred to as the “</w:t>
      </w:r>
      <w:r>
        <w:rPr>
          <w:rFonts w:ascii="Times New Roman;Times;Serif" w:hAnsi="Times New Roman;Times;Serif"/>
          <w:b w:val="false"/>
          <w:i/>
          <w:caps w:val="false"/>
          <w:smallCaps w:val="false"/>
          <w:sz w:val="20"/>
        </w:rPr>
        <w:t>Security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Registered Securities and of transfers of Registered Securities of such series. The Trustee is hereby initially appointed “</w:t>
      </w:r>
      <w:r>
        <w:rPr>
          <w:rFonts w:ascii="Times New Roman;Times;Serif" w:hAnsi="Times New Roman;Times;Serif"/>
          <w:b w:val="false"/>
          <w:i/>
          <w:caps w:val="false"/>
          <w:smallCaps w:val="false"/>
          <w:sz w:val="20"/>
        </w:rPr>
        <w:t>Security Registrar</w:t>
      </w:r>
      <w:r>
        <w:rPr>
          <w:rFonts w:ascii="Times New Roman;Times;Serif" w:hAnsi="Times New Roman;Times;Serif"/>
          <w:b w:val="false"/>
          <w:i w:val="false"/>
          <w:caps w:val="false"/>
          <w:smallCaps w:val="false"/>
          <w:sz w:val="20"/>
        </w:rPr>
        <w:t>” for the purpose of registering Securities and transfers of Securities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Registered Security of any series at the office or agency in a Place of Payment for that series, the Company shall execute, and the Trustee shall authenticate and deliver, in the name of the designated transferee or transferees, one or more new Registered Securities of the same series and of like tenor, of any authorized denominations and of a like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Registered Securities of any series may be exchanged for other Registered Securities of the same series and of like tenor, of any authorized denominations and of a like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except as otherwise specified as contemplated by Section 301, any permanent global Security shall be exchangeable only as provided in this paragraph. If the beneficial owners of interests in a permanent global Security are entitled to exchange such interest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103 or be accompanied by an Opinion of Counsel)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other definitive Securities of the same series of authorized denominations and of like tenor as the portion of such permanent global Security to be exchanged;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exchanges may occur during a period beginning at the opening of business 15 days before any selection of Securities of that series is to be redeemed and ending on the relevant Redemption Date. Promptly following any such exchange in part, such permanent global Security marked to evidence the partial exchange shall be returned by the Trustee to the Depositary or such other depositary referred to above in accordance with the instructions of the Company referred to above.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Registered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 pursuant to Section 304, 905 or 1107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(i) to issue, register the transfer of or exchange Securities of any series during a period beginning at the opening of business 15 days before the day of the mailing of a notice of redemption of Securities of such series selected for redemption and ending at the close of business on the day of the mailing of the relevant notice of redemption or (ii) to register the transfer of or exchange any Registered Security so selected for redemption in whole or in part, except the unredeemed portion of any Security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306. MUTILATED, DESTROYED, LOST AND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deliver, in lieu of any such destroyed, lost or stolen Security, a new Security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the payment of a sum sufficient to cover any tax or other governmental charge that may be imposed in relation thereto and any other expenses (including the fee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307. PAYMENT OF INTEREST; INTEREST RIGHTS PRESERVED.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provided with respect to the Securities of any series, payment of interest may be made at the option of the Company by check mailed or delivered to the address of any Person entitled thereto as such address shall appear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Registered Security of any series which is payable, but is not punctually paid or duly provided for, on any Interest Payment Date (herein called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relevant Regular Record Date by virtue of having been such Holder, and such Defaulted Interest may be paid by the Company, at its election in each case, as provided in clause (1) or (2)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283"/>
              <w:jc w:val="both"/>
              <w:rPr/>
            </w:pPr>
            <w:r>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but such publication shall not be a condition precedent to the establishment of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both"/>
              <w:rPr/>
            </w:pPr>
            <w:r>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delivered under this Indenture, upon registration of transfer of, in exchange for or in lieu of, any other Security, shall carry the rights to interest accrued and unpaid, and to accrue, which were carried by such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308. PERSONS DEEMED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on such Registered Security and for all other purposes whatsoever, whether or not such Security be overdue, and neither the Company, the Trustee nor any agent of the Company or the Trustee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309.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payment, redemption, registration of transfer or exchange or for credit against any sinking fund payment shall, if surrendered to any Person other than the Trustee, be delivered to the Trustee. All Registered Securities so delivered shall be promptly cancelled by the Trustee.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its customary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310. COMPUTATION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as contemplated by Section 301 for Securities of any series, interest on the Securities of each series shall be computed on the basis of a year comprising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311.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Holders;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SATISFACTION AND DISCHARGE; 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Request cease to be of further effect with respect to Securities of any series (except as to any surviving rights of registration of transfer, exchange or replacement of such series of Securities herein expressly provided for), and the Trustee, at the expense of the Company, shall execute proper instruments acknowledging satisfaction and discharge of this Indenture with respect to such Securities, when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283"/>
              <w:jc w:val="both"/>
              <w:rPr/>
            </w:pPr>
            <w:r>
              <w:rPr/>
              <w:t>Either: (A) all such Securities of such series theretofore authenticated and delivered (other than (i) such Securities which have been destroyed, lost or stolen and which have been replaced or paid as provided in Section 306 and (ii) such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 (B) all such Securities of such series not theretofore delivered to the Trustee for cancellation (i) 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(B)(i), (ii) or (iii) above, has deposited or caused to be deposited with the Trustee, as funds in trust for such purpose, an amount in the currency or currencies or currency unit or units in which such Securities of such series are payable or U.S. Government Obligations maturing as to principal and interest in such amounts and at such times as will, together with any interest thereon, be sufficient to pay and discharge the entire indebtedness on such Securities of such series not theretofore delivered to the Trustee for cancellation, for principal and any premium and interest to the date of such deposit (in the case of Securities which have become due and payable) or to the Stated Maturity or Redemption Date, as the case may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6"/>
        <w:gridCol w:w="9860"/>
      </w:tblGrid>
      <w:tr>
        <w:trPr/>
        <w:tc>
          <w:tcPr>
            <w:tcW w:w="3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(2)</w:t>
            </w:r>
          </w:p>
        </w:tc>
        <w:tc>
          <w:tcPr>
            <w:tcW w:w="9860" w:type="dxa"/>
            <w:tcBorders/>
            <w:vAlign w:val="center"/>
          </w:tcPr>
          <w:p>
            <w:pPr>
              <w:pStyle w:val="TableContents"/>
              <w:bidi w:val="0"/>
              <w:spacing w:before="0" w:after="283"/>
              <w:jc w:val="both"/>
              <w:rPr/>
            </w:pPr>
            <w:r>
              <w:rPr/>
              <w:t>the Company has paid or caused to be paid all other sums payable hereunder by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283"/>
              <w:jc w:val="both"/>
              <w:rPr/>
            </w:pPr>
            <w:r>
              <w:rPr/>
              <w:t>the Company has delivered to the Trustee an Officers’ Certificate and an Opinion of Counsel, each stating that all conditions precedent herein provided for relating to the satisfaction and discharge of this Indenture with respect to such series of Securities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with respect to the Outstanding Securities of such series pursuant to this Section 401, the obligations of the Company to the Trustee under Section 607 and to any Authenticating Agent under Section 614 and, if money or U.S. Government Obligations shall have been deposited with the Trustee pursuant to subclause (B) of Clause (1) of this Section, the obligations of the Trustee under Section 406, Article VI and the last paragraph of Section 1003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 OPTION TO EFFECT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rights under Section 401 (which shall not be affected by this Section 402), the Company may, at the option of its Board of Directors evidenced by a resolution set forth in an Officers’ Certificate, at any time, elect to have either Section 403 or 404 hereof applied to all Outstanding Securities of any series upon compliance with the conditions set forth in Sections 403 through 406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403. LEGAL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under Section 402 hereof of the option applicable to this Section 403, the Company and the Guarantors shall, subject to the satisfaction of the conditions set forth in Section 405 hereof, be deemed to have been discharged from their obligations with respect to all Outstanding Securities of a series on the date the conditions set forth below are satisfied (hereinafter, “</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For this purpose, Legal Defeasance means that the Company shall be deemed to have paid and discharged the entire Indebtedness represented by the Outstanding Securities of a series, which shall thereafter be deemed to be “outstanding” only for the purposes of Section 406 hereof and the other Sections of this Indenture referred to in (a) and (b) below,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(a) the rights of Holders of Outstanding Securities of any series to receive payments in respect of the principal of, premium, if any, and interest, if any, on such Securities when such payments are due from the trust referred to in Section 405, (b) the Company’s obligations with respect to such Securities under Sections 304, 305, 306 and 1002 of this Indenture, (c) the rights, powers, trusts, duties and immunities of the Trustee hereunder and the Company’s obligations in connection therewith and (d) this Article IV. Subject to compliance with Sections 402 through 406 hereof, the Company may exercise its option under this Section 403 notwithstanding the prior exercise of its option under Section 404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404.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under Section 402 hereof of the option applicable to this Section 404, the Company shall, subject to the satisfaction of the conditions set forth in Section 405 hereof, be released from the operation of Section 801 hereof with respect to the Outstanding Securities of a series and any other covenant contained in the Board Resolution or supplemental indenture relating to such series on and after the date the conditions set forth in Section 405 are satisfied (hereinafter,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Securities shall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 hereof, but, except as specified above, the remainder of this Indenture and such series of Securities shall be unaffected thereby. In addition, upon the Company’s exercise under Section 402 hereof of the option applicable to this Section 404 hereof, subject to the satisfaction of the conditions set forth in Section 405 hereof, Sections 501(3) through 501(6) and Section 501(9) hereof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405. CONDITIONS TO LEGAL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be the conditions to the application of either Section 403 or 404 hereof to the Outstanding Securities of any series: In order to exercise either Legal Defeasance or Covenant Defeasance: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the Company must irrevocably deposit with the Trustee, in trust, for the benefit of the Holders of the Securities, cash in United States dollars, U.S. Government Obligations, or a combination thereof, in such amounts as will be sufficient, to pay the principal of, or interest and premium, if any, on the Outstanding Securities of such series on the Stated Maturity or on the applicable redemption date, as the case may be, and the Company must specify whether the Securities are being defeased to maturity or to a particular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in the case of Legal Defeasance, the Company shall have delivered to the Trustee an Opinion of Counsel reasonably acceptable to the Trustee confirming that (i) the Company has received from, or there has been published by, the Internal Revenue Service a ruling or (ii) since the date of this Indenture,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t>in the case of Covenant Defeasance, the Company shall have delivered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(d)</w:t>
            </w:r>
          </w:p>
        </w:tc>
        <w:tc>
          <w:tcPr>
            <w:tcW w:w="9934" w:type="dxa"/>
            <w:tcBorders/>
            <w:vAlign w:val="center"/>
          </w:tcPr>
          <w:p>
            <w:pPr>
              <w:pStyle w:val="TableContents"/>
              <w:bidi w:val="0"/>
              <w:spacing w:before="0" w:after="283"/>
              <w:jc w:val="both"/>
              <w:rPr/>
            </w:pPr>
            <w:r>
              <w:rPr/>
              <w:t>no Default or Event of Default shall have occurred and be continuing either: (i) on the date of such deposit (other than a Default or Event of Default resulting from the borrowing of funds to be applied to such deposit); or (ii) insofar as Events of Default from bankruptcy or insolvency events are concerned, at any time in the period ending on the 91st day after the date of deposit;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(e)</w:t>
            </w:r>
          </w:p>
        </w:tc>
        <w:tc>
          <w:tcPr>
            <w:tcW w:w="9939" w:type="dxa"/>
            <w:tcBorders/>
            <w:vAlign w:val="center"/>
          </w:tcPr>
          <w:p>
            <w:pPr>
              <w:pStyle w:val="TableContents"/>
              <w:bidi w:val="0"/>
              <w:spacing w:before="0" w:after="283"/>
              <w:jc w:val="both"/>
              <w:rPr/>
            </w:pPr>
            <w:r>
              <w:rPr/>
              <w:t>such Legal Defeasance or Covenant Defeasance will not result in a breach or violation of, or constitute a default under any material agreement or instrument (other than this Indenture) to which the Company is a party or by which the Company is bound;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(f)</w:t>
            </w:r>
          </w:p>
        </w:tc>
        <w:tc>
          <w:tcPr>
            <w:tcW w:w="9985" w:type="dxa"/>
            <w:tcBorders/>
            <w:vAlign w:val="center"/>
          </w:tcPr>
          <w:p>
            <w:pPr>
              <w:pStyle w:val="TableContents"/>
              <w:bidi w:val="0"/>
              <w:spacing w:before="0" w:after="283"/>
              <w:jc w:val="both"/>
              <w:rPr/>
            </w:pPr>
            <w:r>
              <w:rPr/>
              <w:t>the Company must have delivered to the Trustee an Opinion of Counsel to the effect that, assuming no intervening bankruptcy of the Company or any Guarantor between the date of deposit and the 91st day following the deposit and assuming that no Holder is an “insider” of the Company under applicable bankruptcy law, after the 91st day following the deposit, the trust funds will not be subject to the effect of any applicable bankruptcy, insolvency, reorganization or similar laws affecting creditors’ rights generally;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283"/>
              <w:jc w:val="both"/>
              <w:rPr/>
            </w:pPr>
            <w:r>
              <w:rPr/>
              <w:t>the Company must deliver to the Trustee an Officers’ Certificate stating that the deposit was not made by the Company with the intent of preferring the Holders of Securities over the other creditors of the Company with the intent of defeating, hindering, delaying or defrauding creditors of the Company or others;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(h)</w:t>
            </w:r>
          </w:p>
        </w:tc>
        <w:tc>
          <w:tcPr>
            <w:tcW w:w="9920" w:type="dxa"/>
            <w:tcBorders/>
            <w:vAlign w:val="center"/>
          </w:tcPr>
          <w:p>
            <w:pPr>
              <w:pStyle w:val="TableContents"/>
              <w:bidi w:val="0"/>
              <w:spacing w:before="0" w:after="283"/>
              <w:jc w:val="both"/>
              <w:rPr/>
            </w:pPr>
            <w:r>
              <w:rPr/>
              <w:t>the Company must deliver to the Trustee an Officers’ Certificate and an Opinion of Counsel, each stating that all conditions precedent relating to the Legal Defeasance or the Covenant Defeasance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406. DEPOSITED MONEY AND U.S. GOVERNMENT OBLIGATIONS TO BE HELD IN TRUST; OTHER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407 hereof, all money and non-callable U.S. Government Obligations (including the proceeds thereof) deposited with the Trustee (or other qualifying trustee, collectively for purposes of this Section 406,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pursuant to Section 401 or 404 hereof in respect of the Outstanding Securities of any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on , if any,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and indemnify the Trustee against any tax, fee or other charge imposed on or assessed against the cash or non-callable U.S. Government Obligations deposited pursuant to Section 401 or 404 hereof or the principal and interest received in respect thereof other than any such tax, fee or other charge which by law is for the account of the Holders of the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IV to the contrary notwithstanding, the Trustee shall deliver or pay to the Company from time to time upon the written request of the Company any money or non-callable U.S. Government Obligations held by it as provided in Section 401 or 404 hereof which, in the opinion of a nationally recognized firm of independent public accountants expressed in a written certification thereof delivered to the Trustee, are in excess of the amount thereof that would then be required to be deposited to effect an equivalent Legal Defeasance or Covenant Defeasance or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407. REPAYMENT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deposited with the Trustee or any paying agent, or then held by the Company, in trust for the payment of the principal of, premium on, if any, or interest on any Securities and remaining unclaimed for two years after such principal, and premium, if any, or interest has become due and payable shall be paid to the Company on its written request or (if then held by the Company) shall be discharged from such trust; and the Holder of such Securities shall thereafter, as an unsecured creditor, look only to the Company for payment thereof, and all liability of the Trustee or such paying agent with respect to such trust money, and all liability of the Company as trustee thereof, shall thereupon cease;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will be repaid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408. 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Paying Agent is unable to apply any money or U.S. Government Obligations deposited with respect to Securities of any series in accordance with Section 401, 403 or 404 hereof, as the case may be, by reason of any order or judgment of any court or governmental authority enjoining, restraining or otherwise prohibiting such application, then the Company’s obligations under this Indenture with respect to the Securities of such series and the Securities of such series shall be revived and reinstated as though no deposit had occurred pursuant to Section 401, 403 or 404 hereof until such time as the Trustee or Paying Agent is permitted to apply all such money or U.S. Government Obligations in accordance with Section 401, 403 or 404 hereof,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makes any payment of principal of, premium on, if any, or interest on any Securities following the reinstatement of its obligations, the Company shall be subrogated to the rights of the Holders of such Securities to receive such payment from the money or U.S.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on a series occurs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283"/>
              <w:jc w:val="both"/>
              <w:rPr/>
            </w:pPr>
            <w:r>
              <w:rPr/>
              <w:t>the Company defaults in the payment of interest on any Security of such series when the same becomes due and payable and the Default continues for a period of 30 days;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(2)</w:t>
            </w:r>
          </w:p>
        </w:tc>
        <w:tc>
          <w:tcPr>
            <w:tcW w:w="9909" w:type="dxa"/>
            <w:tcBorders/>
            <w:vAlign w:val="center"/>
          </w:tcPr>
          <w:p>
            <w:pPr>
              <w:pStyle w:val="TableContents"/>
              <w:bidi w:val="0"/>
              <w:spacing w:before="0" w:after="283"/>
              <w:jc w:val="both"/>
              <w:rPr/>
            </w:pPr>
            <w:r>
              <w:rPr/>
              <w:t>the Company defaults in the payment of the principal of any Security of such series when the same becomes due and payable at maturity, upon redemption or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both"/>
              <w:rPr/>
            </w:pPr>
            <w:r>
              <w:rPr/>
              <w:t>the Company fails to comply with any of its other agreements in the Securities of such series or this Indenture (as they relate thereto) and the Default continues for the period and after the notice specified below (except in the case of a default with respect to any Change of Control Provisions or Article VIII (or any replacement provisions contemplated by Article VIII), which will constitute Events of Default with notice but without passage of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283"/>
              <w:jc w:val="both"/>
              <w:rPr/>
            </w:pPr>
            <w:r>
              <w:rPr/>
              <w:t>the acceleration of any Indebtedness of the Company in an amount of $50 million or more, individually or in the aggregate, and such acceleration does not cease to exist, or such Indebtedness is not satisfied, in either case within five days after such acceleration;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(5)</w:t>
            </w:r>
          </w:p>
        </w:tc>
        <w:tc>
          <w:tcPr>
            <w:tcW w:w="9934" w:type="dxa"/>
            <w:tcBorders/>
            <w:vAlign w:val="center"/>
          </w:tcPr>
          <w:p>
            <w:pPr>
              <w:pStyle w:val="TableContents"/>
              <w:bidi w:val="0"/>
              <w:spacing w:before="0" w:after="283"/>
              <w:jc w:val="both"/>
              <w:rPr/>
            </w:pPr>
            <w:r>
              <w:rPr/>
              <w:t>the failure by the Company to make any principal or interest payment in an amount of $50 million or more, individually or in the aggregate, in respect of Indebtedness of the Company within five days of such principal or interest becoming due and payable (after giving effect to any applicable grace period set forth in the documents governing such Indebtedness);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(6)</w:t>
            </w:r>
          </w:p>
        </w:tc>
        <w:tc>
          <w:tcPr>
            <w:tcW w:w="9931" w:type="dxa"/>
            <w:tcBorders/>
            <w:vAlign w:val="center"/>
          </w:tcPr>
          <w:p>
            <w:pPr>
              <w:pStyle w:val="TableContents"/>
              <w:bidi w:val="0"/>
              <w:spacing w:before="0" w:after="283"/>
              <w:jc w:val="both"/>
              <w:rPr/>
            </w:pPr>
            <w:r>
              <w:rPr/>
              <w:t>a final judgment or judgments in an amount of $50 million or more, individually or in the aggregate, for the payment of money having been entered by a court or courts of competent jurisdiction against the Company and such judgment or judgments is not satisfied, stayed, annulled or rescinded within 90 days after being entered;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(7)</w:t>
            </w:r>
          </w:p>
        </w:tc>
        <w:tc>
          <w:tcPr>
            <w:tcW w:w="9933" w:type="dxa"/>
            <w:tcBorders/>
            <w:vAlign w:val="center"/>
          </w:tcPr>
          <w:p>
            <w:pPr>
              <w:pStyle w:val="TableContents"/>
              <w:bidi w:val="0"/>
              <w:spacing w:before="0" w:after="283"/>
              <w:jc w:val="both"/>
              <w:rPr/>
            </w:pPr>
            <w:r>
              <w:rPr/>
              <w:t>the Company pursuant to or within the meaning of any Bankruptcy Law: (a) commences a voluntary case, (b) consents to the entry of an order for relief against it in an involuntary case, (c) consents to the appointment of a Custodian of it or for all or substantially all of its property, or (d) makes a general assignment for the benefit of creditors;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(8)</w:t>
            </w:r>
          </w:p>
        </w:tc>
        <w:tc>
          <w:tcPr>
            <w:tcW w:w="9933" w:type="dxa"/>
            <w:tcBorders/>
            <w:vAlign w:val="center"/>
          </w:tcPr>
          <w:p>
            <w:pPr>
              <w:pStyle w:val="TableContents"/>
              <w:bidi w:val="0"/>
              <w:spacing w:before="0" w:after="283"/>
              <w:jc w:val="both"/>
              <w:rPr/>
            </w:pPr>
            <w:r>
              <w:rPr/>
              <w:t>a court of competent jurisdiction enters into an order or decree under any Bankruptcy Law that: (a) is for relief against the Company in an involuntary case, (b) appoints a Custodian of the Company or for all or substantially all of its property, or (c) orders the liquidation of the Company, and the order or decree remains unstayed and in effect for 60 days;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(9)</w:t>
            </w:r>
          </w:p>
        </w:tc>
        <w:tc>
          <w:tcPr>
            <w:tcW w:w="9911" w:type="dxa"/>
            <w:tcBorders/>
            <w:vAlign w:val="center"/>
          </w:tcPr>
          <w:p>
            <w:pPr>
              <w:pStyle w:val="TableContents"/>
              <w:bidi w:val="0"/>
              <w:spacing w:before="0" w:after="283"/>
              <w:jc w:val="both"/>
              <w:rPr/>
            </w:pPr>
            <w:r>
              <w:rPr/>
              <w:t>any other Event of Default occurs with respect to Securities of that series as provided in the supplemental indenture or Board Resolutions establishing such series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caps w:val="false"/>
          <w:smallCaps w:val="false"/>
          <w:sz w:val="20"/>
        </w:rPr>
        <w:t>Bankruptcy Law</w:t>
      </w:r>
      <w:r>
        <w:rPr>
          <w:rFonts w:ascii="Times New Roman;Times;Serif" w:hAnsi="Times New Roman;Times;Serif"/>
          <w:b w:val="false"/>
          <w:i w:val="false"/>
          <w:caps w:val="false"/>
          <w:smallCaps w:val="false"/>
          <w:sz w:val="20"/>
        </w:rPr>
        <w:t>” means the Bankruptcy Act or any similar Federal or State law for the relief of debtors. The term “</w:t>
      </w:r>
      <w:r>
        <w:rPr>
          <w:rFonts w:ascii="Times New Roman;Times;Serif" w:hAnsi="Times New Roman;Times;Serif"/>
          <w:b w:val="false"/>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clause (3) above is not an Event of Default until the Trustee notifies the Company, or the Holders of at least 25% in principal amount of the Securities of the applicable series notify the Company and the Trustee of the Default and (except in the case of a default with respect to any provisions of any supplemental indenture or Board Resolution establishing such series of Securities giving the Holders of Securities of such series the right to require the Company to repurchase or redeem such Securities of such series upon the occurrence of a change of control prior to the final maturity date of such Securities of such series (“</w:t>
      </w:r>
      <w:r>
        <w:rPr>
          <w:rFonts w:ascii="Times New Roman;Times;Serif" w:hAnsi="Times New Roman;Times;Serif"/>
          <w:b w:val="false"/>
          <w:i/>
          <w:caps w:val="false"/>
          <w:smallCaps w:val="false"/>
          <w:sz w:val="20"/>
        </w:rPr>
        <w:t>Change of Control Provisions</w:t>
      </w:r>
      <w:r>
        <w:rPr>
          <w:rFonts w:ascii="Times New Roman;Times;Serif" w:hAnsi="Times New Roman;Times;Serif"/>
          <w:b w:val="false"/>
          <w:i w:val="false"/>
          <w:caps w:val="false"/>
          <w:smallCaps w:val="false"/>
          <w:sz w:val="20"/>
        </w:rPr>
        <w:t>”) or Article VIII (or any replacement provisions contemplated by Article VIII)) the Company does not cure the Default within 90 days after receipt of the notice. The notice must specify the Default, demand that it be remedied and state that the notice is a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specified in clause (7) or (8) of Section 501 hereof) with respect to Securities of any series occurs and is continuing, either the Trustee or the Holders of at least 25% in principal amount of the then Outstanding Securities of that series may declare all the Securities of that series to be due and payable immediately. Upon any such declaration, the Securities of that series shall become due and payable immediately, by a notice in writing to the Company (and to the Trustee if given by Holders). Notwithstanding the foregoing, if an Event of Default specified in clause (7) or (8) of Section 501 hereof occurs with respect to any series of Securities, all outstanding Securities of that series shall become due and payable without further action or notice. The Holders of a majority in aggregate principal amount of Securities of any series then Outstanding by notice to the Trustee may on behalf of the Holders of all of the Securities of that series waive any existing Default or Event of Default and its consequences under this Indenture except a continuing Default or Event of Default in the payment of interest or premium, if any, on, or the principal of,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 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occurs and is continuing, the Trustee may pursue any available remedy to collect the payment of principal, premium, if any, and interest on the Securities of that series or to enforce the performance of any provision of the Securities of that series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in a series or does not produce any of them in the proceeding. A delay or omission by the Trustee or any Holder of a Security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504. 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not less than a majority in aggregate principal amount of the then outstanding Securities in any series by notice to the Trustee may on behalf of the Holders of all of the Securities of that series waive any existing Default or Event of Default and its consequences hereunder, except a continuing Default or Event of Default in the payment of the principal of, premium, if any, or interest on, the Securities of that series (including in connection with an offer to purchase)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Holders of a majority in aggregate principal amount of the then outstanding Securities of any series may rescind an acceleration and its consequences, including any related payment default that resulted from such acceleration, with respect to that series).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 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series of Securities, Holders of a majority in principal amount of the then outstanding Securities of that series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Securities of any series or that may involve the Trustee in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506. 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Security of any series may pursue a remedy with respect to this Indenture or the Securities of that series only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both"/>
              <w:rPr/>
            </w:pPr>
            <w:r>
              <w:rPr/>
              <w:t>the Holder of a Security of that series gives to the Trustee written notice of a continuing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the Holders of at least 25% in principal amount of the then outstanding Securities of that series make a written request to the Trustee to pursue the remedy;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both"/>
              <w:rPr/>
            </w:pPr>
            <w:r>
              <w:rPr/>
              <w:t>such Holder of a Security or Holders of Securities offer and, if requested, provide to the Trustee indemnity satisfactory to the Trustee against any loss, liability or expense;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(d)</w:t>
            </w:r>
          </w:p>
        </w:tc>
        <w:tc>
          <w:tcPr>
            <w:tcW w:w="9903" w:type="dxa"/>
            <w:tcBorders/>
            <w:vAlign w:val="center"/>
          </w:tcPr>
          <w:p>
            <w:pPr>
              <w:pStyle w:val="TableContents"/>
              <w:bidi w:val="0"/>
              <w:spacing w:before="0" w:after="283"/>
              <w:jc w:val="both"/>
              <w:rPr/>
            </w:pPr>
            <w:r>
              <w:rPr/>
              <w:t>the Trustee does not comply with the request within 60 days after receipt of the request and the offer and, if requested, the provision of indemnity;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(e)</w:t>
            </w:r>
          </w:p>
        </w:tc>
        <w:tc>
          <w:tcPr>
            <w:tcW w:w="9928" w:type="dxa"/>
            <w:tcBorders/>
            <w:vAlign w:val="center"/>
          </w:tcPr>
          <w:p>
            <w:pPr>
              <w:pStyle w:val="TableContents"/>
              <w:bidi w:val="0"/>
              <w:spacing w:before="0" w:after="283"/>
              <w:jc w:val="both"/>
              <w:rPr/>
            </w:pPr>
            <w:r>
              <w:rPr/>
              <w:t>during such 60-day period the Holders of a majority in principal amount of the then outstanding Securities of that series do not give the Trustee a direction inconsistent with the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Security may not use this Indenture to prejudice the rights of another Holder of a Security or to obtain a preference or priority over another Holder of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507. RIGHTS OF HOLDERS OF SECURITIES TO RECEIVE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of a Security of any series to receive payment of principal, premium, if any, and interest on the Security, on or after the respective due dates expressed in the Security (including in connection with an offer to purchase),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508. 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Securities of any series, if an Event of Default specified in clause (1) or (2) of Section 501 hereof occurs and is continuing, the Trustee is authorized to recover judgment in its own name and as trustee of an express trust against the Company for the whole amount of principal of, premium on, if any, and interest remaining unpaid on the Securities of that series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509. 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Securities of any series allowed in any judicial proceedings relative to the Company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of that series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 of this Indenture. To the extent that the payment of any such compensation, expenses, disbursements and advances of the Trustee, its agents and counsel, and any other amounts due the Trustee under Section 607 of this Indenture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of any series of Securities any plan of reorganization, arrangement, adjustment or composition affecting the Securities of that series or the rights of any Holder,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510.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collects any money pursuant to this Article,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First: to the Trustee, its agents and attorneys for amounts due under Section 607 of this Indenture, including payment of all compensation, expense and liabilities incurred, and all advances made, by the Trustee and the costs and expenses of collection;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Second: to Holders of Securities for amounts due and unpaid on the Securities for principal, premium, if any, and interest, ratably, without preference or priority of any kind, according to the amounts due and payable on the Securities for principal, premium, if any, and interest, respectively;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28"/>
        <w:gridCol w:w="9832"/>
      </w:tblGrid>
      <w:tr>
        <w:trPr/>
        <w:tc>
          <w:tcPr>
            <w:tcW w:w="4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(c)</w:t>
            </w:r>
          </w:p>
        </w:tc>
        <w:tc>
          <w:tcPr>
            <w:tcW w:w="9832" w:type="dxa"/>
            <w:tcBorders/>
            <w:vAlign w:val="center"/>
          </w:tcPr>
          <w:p>
            <w:pPr>
              <w:pStyle w:val="TableContents"/>
              <w:bidi w:val="0"/>
              <w:spacing w:before="0" w:after="283"/>
              <w:jc w:val="both"/>
              <w:rPr/>
            </w:pPr>
            <w:r>
              <w:rPr/>
              <w:t>Third: to the Company or to such party as a court of competent jurisdiction shall direct.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of Securities pursuant to this Section 510.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511. 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of a Security pursuant to Section 507 hereof, or a suit by Holders of more than 10% in principal amount of the then outstanding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CERTAIN DUTIES AND RESPONSIBILITIES.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7"/>
        <w:gridCol w:w="9868"/>
      </w:tblGrid>
      <w:tr>
        <w:trPr/>
        <w:tc>
          <w:tcPr>
            <w:tcW w:w="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(a)</w:t>
            </w:r>
          </w:p>
        </w:tc>
        <w:tc>
          <w:tcPr>
            <w:tcW w:w="9868" w:type="dxa"/>
            <w:tcBorders/>
            <w:vAlign w:val="center"/>
          </w:tcPr>
          <w:p>
            <w:pPr>
              <w:pStyle w:val="TableContents"/>
              <w:bidi w:val="0"/>
              <w:spacing w:before="0" w:after="283"/>
              <w:jc w:val="both"/>
              <w:rPr/>
            </w:pPr>
            <w:r>
              <w:rPr/>
              <w:t>Except during the continuance of an Event of Default with respect to the Securities of any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283"/>
              <w:jc w:val="both"/>
              <w:rPr/>
            </w:pPr>
            <w:r>
              <w:rPr/>
              <w:t>the Trustee undertakes to perform such duties and only such duties as are specifically set forth in this Indenture, and no implied covenants or obligations shall be read into this Indenture against the Trustee;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283"/>
              <w:jc w:val="both"/>
              <w:rPr/>
            </w:pPr>
            <w:r>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they conform to the requirements of this Indenture (but need not confirm or investigate the accuracy of mathematical calculation or other facts stated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In case an Event of Default has occurred and is continuing with respect to the Securities of any series, the Trustee shall exercise such of the rights and powers vested in it by this Indenture, and use the same degree of care and skill in their exercise, as a prudent person would exercise or use under the circumstances in the conduct of his or her own affairs.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t>No provision of this Indenture shall be construed to relieve the Trustee from liability for its own negligent action, its own negligent failure to act or its own willful misconduct, except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41"/>
        <w:gridCol w:w="9820"/>
      </w:tblGrid>
      <w:tr>
        <w:trPr/>
        <w:tc>
          <w:tcPr>
            <w:tcW w:w="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(1)</w:t>
            </w:r>
          </w:p>
        </w:tc>
        <w:tc>
          <w:tcPr>
            <w:tcW w:w="9820" w:type="dxa"/>
            <w:tcBorders/>
            <w:vAlign w:val="center"/>
          </w:tcPr>
          <w:p>
            <w:pPr>
              <w:pStyle w:val="TableContents"/>
              <w:bidi w:val="0"/>
              <w:spacing w:before="0" w:after="283"/>
              <w:jc w:val="both"/>
              <w:rPr/>
            </w:pPr>
            <w:r>
              <w:rPr/>
              <w:t>this Subsection shall not be construed to limit the effect of Subsection (a) of this Section;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283"/>
              <w:jc w:val="both"/>
              <w:rPr/>
            </w:pPr>
            <w:r>
              <w:rPr/>
              <w:t>the Trustee shall not be liable for any error of judgment made in good faith by a Responsible Officer, unless it shall be proved that the Trustee was negligent in ascertaining the pertinent facts;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both"/>
              <w:rPr/>
            </w:pPr>
            <w:r>
              <w:rPr/>
              <w:t>the Trustee shall not be liable with respect to any action it takes or omits to take in good faith in accordance with the direction of the Holders of a majority in principal amount of the Outstanding Securities of any series or of all series, determined as provided in Section 505, relating to the time, method and place of conducting any proceeding for any remedy available to the Trustee, or exercising any trust or power conferred upon the Trustee, under this Indenture with respect to the Securities of such series;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283"/>
              <w:jc w:val="both"/>
              <w:rPr/>
            </w:pPr>
            <w:r>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indemnity satisfactory to it against such risk or liability is not assured to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both"/>
              <w:rPr/>
            </w:pPr>
            <w:r>
              <w:rPr/>
              <w:t>Whether or not therein expressly so provided, every provision of this Indenture relating to the conduct or affecting the liability of or affording protection to the Trustee shall be subject to the provisions of this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602. 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90 days after the occurrence of any Default or Event of Default with respect to the Securities of any series, the Trustee shall give notice of such Default or Event of Default known to the Trustee to all Holders of Securities of such series in the manner provided in Section 107 and in compliance with the Trust Indenture Act, unless such Default or Event of Default shall have been cured or waived;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a Default or Event of Default in the payment of the principal of (or premium, if any) or interest on or any Additional Amounts with respect to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Securities of such series;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the case of any Default or Event of Default of the character specified in Section 501(3) with respect to Securities of such series, no such notice to Holders shall be given until at least 30 days after the occurrence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 CERTAIN 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601: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the Trustee may conclusively rely and shall be protected in acting or refraining from acting upon any resolution, certificate, statement, instrument, opinion, report, notice, request, direction, consent, order, bond, debenture, note, coupon, other evidence of indebtedness or other paper or document believed by it to be genuine and to have been signed or presented by the proper party or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any request or direction of the Company mentioned herein shall be sufficiently evidenced by a Company Request or Company Order and any resolution of the Board of Directors may be sufficiently evidenced by a Board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the costs, expenses and liabilities that might be incurred by it in compliance with such request or direction;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both"/>
              <w:rPr/>
            </w:pPr>
            <w:r>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(g)</w:t>
            </w:r>
          </w:p>
        </w:tc>
        <w:tc>
          <w:tcPr>
            <w:tcW w:w="9932" w:type="dxa"/>
            <w:tcBorders/>
            <w:vAlign w:val="center"/>
          </w:tcPr>
          <w:p>
            <w:pPr>
              <w:pStyle w:val="TableContents"/>
              <w:bidi w:val="0"/>
              <w:spacing w:before="0" w:after="283"/>
              <w:jc w:val="both"/>
              <w:rPr/>
            </w:pPr>
            <w:r>
              <w:rPr/>
              <w:t>the Trustee may execute any of the trusts or powers hereunder or perform any duties hereunder either directly or by or through agents or attorneys and, except for any Affiliates of the Trustee, the Trustee shall not be responsible for any misconduct or negligence on the part of any agent or attorney appointed with due care by it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(h)</w:t>
            </w:r>
          </w:p>
        </w:tc>
        <w:tc>
          <w:tcPr>
            <w:tcW w:w="9941" w:type="dxa"/>
            <w:tcBorders/>
            <w:vAlign w:val="center"/>
          </w:tcPr>
          <w:p>
            <w:pPr>
              <w:pStyle w:val="TableContents"/>
              <w:bidi w:val="0"/>
              <w:spacing w:before="0" w:after="283"/>
              <w:jc w:val="both"/>
              <w:rPr/>
            </w:pPr>
            <w:r>
              <w:rPr/>
              <w:t>the Trustee shall not be charged with knowledge of any Default or Event of Default with respect to the Securities of any series for which it is acting as Trustee unless either (1) a Responsible Officer shall have actual knowledge of such Default or Event of Default or (2) written notice of such Default or Event of Default which is in fact such a default shall have been received by the Trustee at the Corporate Trust Office of the Trustee and such notice references the Securities and this Indenture by the Company or any other obligor on such Securities or by any Holder of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the Trustee shall not be liable for any action taken, suffered or omitted by it in good faith and believed by it to be authorized or within the discretion or rights or powers conferred upon it by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(j)</w:t>
            </w:r>
          </w:p>
        </w:tc>
        <w:tc>
          <w:tcPr>
            <w:tcW w:w="9990" w:type="dxa"/>
            <w:tcBorders/>
            <w:vAlign w:val="center"/>
          </w:tcPr>
          <w:p>
            <w:pPr>
              <w:pStyle w:val="TableContents"/>
              <w:bidi w:val="0"/>
              <w:spacing w:before="0" w:after="283"/>
              <w:jc w:val="both"/>
              <w:rPr/>
            </w:pPr>
            <w:r>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(k)</w:t>
            </w:r>
          </w:p>
        </w:tc>
        <w:tc>
          <w:tcPr>
            <w:tcW w:w="9930" w:type="dxa"/>
            <w:tcBorders/>
            <w:vAlign w:val="center"/>
          </w:tcPr>
          <w:p>
            <w:pPr>
              <w:pStyle w:val="TableContents"/>
              <w:bidi w:val="0"/>
              <w:spacing w:before="0" w:after="283"/>
              <w:jc w:val="both"/>
              <w:rPr/>
            </w:pPr>
            <w:r>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(l)</w:t>
            </w:r>
          </w:p>
        </w:tc>
        <w:tc>
          <w:tcPr>
            <w:tcW w:w="9976" w:type="dxa"/>
            <w:tcBorders/>
            <w:vAlign w:val="center"/>
          </w:tcPr>
          <w:p>
            <w:pPr>
              <w:pStyle w:val="TableContents"/>
              <w:bidi w:val="0"/>
              <w:spacing w:before="0" w:after="283"/>
              <w:jc w:val="both"/>
              <w:rPr/>
            </w:pPr>
            <w:r>
              <w:rPr/>
              <w:t>the Trustee may request that the Company deliver a certificate setting forth the names of individuals and/or titles of officers authorized at such time to take specified actions pursuant to this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604. NOT RESPONSIBLE FOR RECITALS OR ISSUANCE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605. MAY HOLD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the Trustee, Authenticating Agent, Paying Agent, Security Registrar or such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606. MONEY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607. COMPENSATION AND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both"/>
              <w:rPr/>
            </w:pPr>
            <w:r>
              <w:rPr/>
              <w:t>to pay to the Trustee from time to time compensation for all services rendered by it hereunder (which compensation shall not be limited by any provision of law in regard to the compensation of a trustee of an express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both"/>
              <w:rPr/>
            </w:pPr>
            <w:r>
              <w:rPr/>
              <w:t>except as otherwise expressly provided herein, to reimburse the Trustee upon its request for all reasonable expenses, disbursements and advances incurred or made by the Trustee in accordance with any provision of this Indenture (including the compensation and the reasonable expenses and disbursements of its agents and counsel), except any such expense, disbursement or advance as shall be determined to have been caused by its own negligence or willful misconduct;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both"/>
              <w:rPr/>
            </w:pPr>
            <w:r>
              <w:rPr/>
              <w:t>to indemnify the Trustee and each of its directors, officers, employees, agents and/or representatives for, and to hold each of them harmless against, any loss, liability or expense incurred without negligence or willful misconduct on each of their part, arising out of or in connection with the acceptance or administration of the trust or trusts hereunder, including the costs and expenses of defending themselves against any claim or liability in connection with the exercise or performance of any of the Trustee’s powers or duties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security for the performance of the obligations of the Company under this Section 607, the Trustee shall have a lien prior to the Securities on all property and funds held or collected by the Trustee as such, except funds held in trust for the payment of principal of, premium, if any, or interest, if any, on or any Additional Amounts with respect to particular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and compensation for any services rendered by the Trustee after the occurrence of an Event of Default (including the reasonable charges and expenses of its counsel) specified in clause (7) or (8) of Section 501 shall constitute expenses and compensation for services of administration under all applicable federal or state bankruptcy, insolvency, reorganization or other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607 and any lien arising hereunder shall survive the resignation or removal of the Trustee or the discharge of the Company’s obligations under this Indenture and the termination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608. DISQUALIFICATION; CONFLICTING INTERESTS.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If the Trustee has or shall acquire any conflicting interest, as defined in this Section 608, with respect to the Securities of any series, it shall, within 90 days after ascertaining that it has such conflicting interest, either eliminate such conflicting interest or resign with respect to the Securities of that series in the manner and with the effect hereinafter specified in this Article.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In the event that the Trustee shall fail to comply with the provisions of Subsection (a) of this Section 608 with respect to the Securities of any series, the Trustee shall, within 10 days after the expiration of such 90-day period, transmit by mail to all Holders of Securities of that series, as their names and addresses appear in the Security Register, notice of such failure in compliance with the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For the purposes of this Section, the term “</w:t>
            </w:r>
            <w:r>
              <w:rPr>
                <w:i/>
              </w:rPr>
              <w:t>conflicting interest</w:t>
            </w:r>
            <w:r>
              <w:rPr/>
              <w:t>” shall have the meaning specified in Section 310(b) of the Trust Indenture Act and the Trustee shall comply with Section 310(b) of the Trust Indenture Act; </w:t>
            </w:r>
            <w:r>
              <w:rPr>
                <w:i/>
              </w:rPr>
              <w:t>provided</w:t>
            </w:r>
            <w:r>
              <w:rPr/>
              <w:t>, that there shall be excluded from the operation of Section 310(b)(1) of the Trust Indenture Act with respect to the Securities of any series any indenture or indentures under which other securities, or certificates of interest or participation in other securities, of the Company are outstanding, if the requirements for such exclusion set forth in Section 310(b)(1) of the Trust Indenture Act are met. For purposes of the preceding sentence, the optional provision permitted by the second sentence of Section 310(b)(1) of the Trust Indenture Act shall be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609. CORPORATE TRUSTEE REQUIRED;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$50 million and subject to supervision or examination by Federal or State (or the District of Columbia) authority.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shall always have a Trustee who satisfies the requirements of Sections 310(a)(1), 310(a)(2) and 310(a)(5)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610. RESIGNATION AND REMOVAL; APPOINTMENT OF SUCCESSOR.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No resignation or removal of the Trustee and no appointment of a successor Trustee pursuant to this Article shall become effective until the acceptance of appointment by the successor Trustee in accordance with the applicable requirements of Section 611.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The Trustee may resign at any time with respect to the Securities of one or more series by giving written notice thereof to the Company. If the instrument of acceptance by a successor Trustee required by Section 611 shall not have been delivered to the resigning Trustee within 30 days after the giving of such notice of resignation, the resigning Trustee may petition at the expense of the Company any court of competent jurisdiction for the appointment of a successor Trustee with respect to the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both"/>
              <w:rPr/>
            </w:pPr>
            <w:r>
              <w:rPr/>
              <w:t>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611 shall not have been delivered to the resigning Trustee within 30 days after the giving of such notice of resignation, the resigning Trustee may petition at the expense of the Company any court of competent jurisdiction for the appointment of a successor Trustee with respect to the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774"/>
        <w:gridCol w:w="8199"/>
      </w:tblGrid>
      <w:tr>
        <w:trPr/>
        <w:tc>
          <w:tcPr>
            <w:tcW w:w="23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pPr>
            <w:r>
              <w:rPr/>
              <w:t>(d)</w:t>
            </w:r>
          </w:p>
        </w:tc>
        <w:tc>
          <w:tcPr>
            <w:tcW w:w="8199" w:type="dxa"/>
            <w:tcBorders/>
            <w:vAlign w:val="center"/>
          </w:tcPr>
          <w:p>
            <w:pPr>
              <w:pStyle w:val="TableContents"/>
              <w:bidi w:val="0"/>
              <w:spacing w:before="0" w:after="283"/>
              <w:jc w:val="both"/>
              <w:rPr/>
            </w:pPr>
            <w:r>
              <w:rPr/>
              <w:t>If at any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283"/>
              <w:jc w:val="both"/>
              <w:rPr/>
            </w:pPr>
            <w:r>
              <w:rPr/>
              <w:t>the Trustee shall fail to comply with Section 608(a) after written request therefor by the Company or by any Holder who has been a bona fide Holder of a Security for at least six months,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w:t>
            </w:r>
          </w:p>
        </w:tc>
        <w:tc>
          <w:tcPr>
            <w:tcW w:w="9908" w:type="dxa"/>
            <w:tcBorders/>
            <w:vAlign w:val="center"/>
          </w:tcPr>
          <w:p>
            <w:pPr>
              <w:pStyle w:val="TableContents"/>
              <w:bidi w:val="0"/>
              <w:spacing w:before="0" w:after="283"/>
              <w:jc w:val="both"/>
              <w:rPr/>
            </w:pPr>
            <w:r>
              <w:rPr/>
              <w:t>the Trustee shall cease to be eligible under Section 609 and shall fail to resign after written request therefor by the Company or by any such Holder of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both"/>
              <w:rPr/>
            </w:pPr>
            <w:r>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a Board Resolution may remove the Trustee with respect to all Securities, or (ii) subject to Section 505,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(e)</w:t>
            </w:r>
          </w:p>
        </w:tc>
        <w:tc>
          <w:tcPr>
            <w:tcW w:w="9962" w:type="dxa"/>
            <w:tcBorders/>
            <w:vAlign w:val="center"/>
          </w:tcPr>
          <w:p>
            <w:pPr>
              <w:pStyle w:val="TableContents"/>
              <w:bidi w:val="0"/>
              <w:spacing w:before="0" w:after="283"/>
              <w:jc w:val="both"/>
              <w:rPr/>
            </w:pPr>
            <w:r>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such successor Trustee or Trustees shall comply with the applicable requirements of Section 611. If no successor Trustee with respect to the Securities of any series shall have been so appointed by the Company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(f)</w:t>
            </w:r>
          </w:p>
        </w:tc>
        <w:tc>
          <w:tcPr>
            <w:tcW w:w="9985" w:type="dxa"/>
            <w:tcBorders/>
            <w:vAlign w:val="center"/>
          </w:tcPr>
          <w:p>
            <w:pPr>
              <w:pStyle w:val="TableContents"/>
              <w:bidi w:val="0"/>
              <w:spacing w:before="0" w:after="283"/>
              <w:jc w:val="both"/>
              <w:rPr/>
            </w:pPr>
            <w:r>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611. ACCEPTANCE OF APPOINTMENT BY SUCCESSOR.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No successor Trustee shall accept its appointment unless at the time of such acceptance such successor Trustee shall be qualified and eligible under this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612. MERGER, CONVERSION, CONSOLIDATION OR SUCCESSION TO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a corporation succeeding to all or substantially all the corporate trust business of the Trustee, such successor corporation shall expressly assume all of the Trustee’s liabilities hereunder.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613. PREFERENTIAL COLLECTION OF CLAIMS AGAINST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who has resigned or been removed shall be subject to Section 311(a) of the Trust Indenture Act to the extent indicated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614. APPOINTMENT OF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or Agents that shall be authorized to act on behalf of the Trustee to authenticate Securities issued upon original issue and upon exchange, registration of transfer or partial redemption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having a combined capital and surplus of not less than $50 million or equivalent amount expressed in a foreign currency and subject to supervision or examination by Federal or State (or the District of Columbia) authority or authority of such country.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such corporation shall be otherwise eligible under this Section 614, without the execution or filing of any paper or any further act on the part of the Trustee or the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may appoint a successor Authenticating Agent which shall be acceptable to the Company and shall mail written notice of such appointment by first-class mail, postage prepaid, to all Holders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agrees to pay to each Authenticating Agent from time to time reasonable compensation for its services under this Section 614, and the Trustee shall be entitled to be reimbursed for such payments, subject to the provisions of Section 607.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appointment is made pursuant to this Section 614, the Securities may have endorsed thereon, in addition to the Trustee’s certificate of authentication, an alternate certificate of authentication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one of the Securities of the series designated therein referred to in the within mentioned Indenture.</w:t>
      </w:r>
    </w:p>
    <w:p>
      <w:pPr>
        <w:pStyle w:val="TextBody"/>
        <w:bidi w:val="0"/>
        <w:spacing w:before="0" w:after="0"/>
        <w:ind w:left="0" w:right="0" w:hanging="0"/>
        <w:jc w:val="left"/>
        <w:rPr>
          <w:caps w:val="false"/>
          <w:smallCaps w:val="false"/>
        </w:rPr>
      </w:pPr>
      <w:r>
        <w:rPr>
          <w:caps w:val="false"/>
          <w:smallCaps w:val="false"/>
        </w:rPr>
        <w:t> </w:t>
      </w:r>
    </w:p>
    <w:tbl>
      <w:tblPr>
        <w:tblW w:w="120" w:type="dxa"/>
        <w:jc w:val="left"/>
        <w:tblInd w:w="0" w:type="dxa"/>
        <w:tblLayout w:type="fixed"/>
        <w:tblCellMar>
          <w:top w:w="0" w:type="dxa"/>
          <w:left w:w="0" w:type="dxa"/>
          <w:bottom w:w="28" w:type="dxa"/>
          <w:right w:w="0" w:type="dxa"/>
        </w:tblCellMar>
      </w:tblPr>
      <w:tblGrid>
        <w:gridCol w:w="60"/>
        <w:gridCol w:w="60"/>
      </w:tblGrid>
      <w:tr>
        <w:trPr/>
        <w:tc>
          <w:tcPr>
            <w:tcW w:w="60" w:type="dxa"/>
            <w:tcBorders>
              <w:bottom w:val="single" w:sz="8" w:space="0" w:color="000000"/>
            </w:tcBorders>
            <w:vAlign w:val="center"/>
          </w:tcPr>
          <w:p>
            <w:pPr>
              <w:pStyle w:val="TableContents"/>
              <w:bidi w:val="0"/>
              <w:spacing w:before="0" w:after="283"/>
              <w:ind w:left="0" w:right="0" w:hanging="200"/>
              <w:jc w:val="both"/>
              <w:rPr/>
            </w:pPr>
            <w:r>
              <w:rPr/>
              <w:t> </w:t>
            </w:r>
          </w:p>
        </w:tc>
        <w:tc>
          <w:tcPr>
            <w:tcW w:w="6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120" w:type="dxa"/>
        <w:jc w:val="left"/>
        <w:tblInd w:w="0" w:type="dxa"/>
        <w:tblLayout w:type="fixed"/>
        <w:tblCellMar>
          <w:top w:w="0" w:type="dxa"/>
          <w:left w:w="0" w:type="dxa"/>
          <w:bottom w:w="28" w:type="dxa"/>
          <w:right w:w="0" w:type="dxa"/>
        </w:tblCellMar>
      </w:tblPr>
      <w:tblGrid>
        <w:gridCol w:w="60"/>
        <w:gridCol w:w="60"/>
      </w:tblGrid>
      <w:tr>
        <w:trPr/>
        <w:tc>
          <w:tcPr>
            <w:tcW w:w="60" w:type="dxa"/>
            <w:tcBorders>
              <w:bottom w:val="single" w:sz="8" w:space="0" w:color="000000"/>
            </w:tcBorders>
            <w:vAlign w:val="center"/>
          </w:tcPr>
          <w:p>
            <w:pPr>
              <w:pStyle w:val="TableContents"/>
              <w:bidi w:val="0"/>
              <w:spacing w:before="0" w:after="283"/>
              <w:ind w:left="0" w:right="0" w:hanging="200"/>
              <w:jc w:val="both"/>
              <w:rPr/>
            </w:pPr>
            <w:r>
              <w:rPr/>
              <w:t> </w:t>
            </w:r>
          </w:p>
        </w:tc>
        <w:tc>
          <w:tcPr>
            <w:tcW w:w="6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AUTHENTICATING AGENT</w:t>
      </w:r>
    </w:p>
    <w:p>
      <w:pPr>
        <w:pStyle w:val="TextBody"/>
        <w:bidi w:val="0"/>
        <w:spacing w:before="0" w:after="0"/>
        <w:ind w:left="0" w:right="0" w:hanging="0"/>
        <w:jc w:val="left"/>
        <w:rPr>
          <w:caps w:val="false"/>
          <w:smallCaps w:val="false"/>
        </w:rPr>
      </w:pPr>
      <w:r>
        <w:rPr>
          <w:caps w:val="false"/>
          <w:smallCaps w:val="false"/>
        </w:rPr>
        <w:t> </w:t>
      </w:r>
    </w:p>
    <w:tbl>
      <w:tblPr>
        <w:tblW w:w="120" w:type="dxa"/>
        <w:jc w:val="left"/>
        <w:tblInd w:w="0" w:type="dxa"/>
        <w:tblLayout w:type="fixed"/>
        <w:tblCellMar>
          <w:top w:w="0" w:type="dxa"/>
          <w:left w:w="0" w:type="dxa"/>
          <w:bottom w:w="28" w:type="dxa"/>
          <w:right w:w="0" w:type="dxa"/>
        </w:tblCellMar>
      </w:tblPr>
      <w:tblGrid>
        <w:gridCol w:w="60"/>
        <w:gridCol w:w="60"/>
      </w:tblGrid>
      <w:tr>
        <w:trPr/>
        <w:tc>
          <w:tcPr>
            <w:tcW w:w="60" w:type="dxa"/>
            <w:tcBorders>
              <w:bottom w:val="single" w:sz="8" w:space="0" w:color="000000"/>
            </w:tcBorders>
            <w:vAlign w:val="center"/>
          </w:tcPr>
          <w:p>
            <w:pPr>
              <w:pStyle w:val="TableContents"/>
              <w:bidi w:val="0"/>
              <w:spacing w:before="0" w:after="283"/>
              <w:ind w:left="0" w:right="0" w:hanging="200"/>
              <w:jc w:val="both"/>
              <w:rPr/>
            </w:pPr>
            <w:r>
              <w:rPr/>
              <w:t> </w:t>
            </w:r>
          </w:p>
        </w:tc>
        <w:tc>
          <w:tcPr>
            <w:tcW w:w="6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br/>
        <w:t>AS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this Section 614 to the contrary, if at any time any Authenticating Agent appointed hereunder with respect to any series of Securities shall not also be acting as the Security Registrar hereunder with respect to any series of Securities, then, in addition to all other duties of an Authenticating Agent hereunder, such Authenticating Agent shall also be obligated (i) to furnish to the Security Registrar promptly all information necessary to enable the Security Registrar to maintain at all times an accurate and current Security Register and (ii) prior to authenticating any Security denominated in a foreign currency, to ascertain from the Company the units of such foreign currency that are required to be determined by the Company pursuant to Section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HOLDER’S LISTS AND REPORTS BY TRUSTEE AND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COMPANY TO FURNISH TRUSTEE NAMES AND ADDRESSES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series of Securities, the Company will furnish or cause to be furnished to the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semi-annually, not more than 15 days after each Regular Record Date relating to that series (or, if there is no Regular Record Date relating to that series, on January 1 and July 1), a list, in such form as the Trustee may reasonably require, of the names and addresses of the Holders of that series as of such dates,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at such other times as the Trustee may request in writing, within 30 days after the receipt by the Company of any such request, a list of similar form and content, such list to be dated as of a date not more than 15 days prior to the time such list is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so long as the Trustee is the Security Registrar, the Company shall not be required to furnish or cause to be furnished such a list to the Trustee. The Company shall otherwise comply with Section 312(a)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PRESERVATION OF INFORMATION; COMMUNICATIONS TO HOLDERS.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The Trustee shall preserve, in as current a form as is reasonably practicable, the names and addresses of Holders of each series contained in the most recent list furnished to the Trustee as provided in Section 701 and the names and addresses of Holders of each series received by the Trustee in its capacity as Security Registrar. The Trustee may destroy any list furnished to it as provided in Section 701 upon receipt of a new list so furnished. The Trustee shall otherwise comply with Section 312(a) of the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Holders of Securities may communicate pursuant to Section 312(b) of the Trust Indenture Act with other Holders with respect to their rights under this Indenture or under the Securities. The Company, the Trustee, the Security Registrar and any other Person shall have the protection of Section 312(c) of the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 REPORTS BY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Within 60 days after May 15 of each year commencing with the year 2018, the Trustee shall transmit by mail to Holders a brief report dated as of such May 15 that complies with Section 313(a) of the Trust Indenture Act. The Trustee shall comply with Section 313(b) of the Trust Indenture Act. The Trustee shall transmit by mail all reports as required by Sections 313(c) and 313(d) of the Trust Indenture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A copy of each report pursuant to Subsection (a) of this Section 703 shall, at the time of its transmission to Holders, be filed by the Trustee with each stock exchange upon which any Securities are listed, with the SEC and with the Company. The Company will notify the Trustee when any Securities are listed or delisted on any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 REPORTS BY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with the Trustee, within 15 days after the Company is required to file the same with the SEC, copies of the annual reports and of the information, documents and other reports (or copies of such portions of any of the foregoing as the SEC may from time to time by rules and regulations prescribe) which the Company may be required to file with the SEC pursuant to Section 13 or Section 15(d) of the Securities Exchange Act of 1934, as amended, and shall otherwise comply with Section 314(a)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CONSOLIDATION, MERGER, CONVEYANCE, TRANSFER OR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COMPANY MAY CONSOLIDATE, ETC., ONLY ON CERTAIN TERMS.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The Company shall not, directly or indirectly, in any transaction or series of related transactions: (1) consolidate or merge with or into another Person (whether or not the Company is the surviving corporation); (2) sell, assign, transfer, convey or otherwise dispose of all or substantially all of the properties or assets of the Company and its Subsidiaries taken as a whole, or (3) assign any of its obligations under the Securities and this Indenture, in one or more related transactions, to another Person; unless: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either: (A) the Company is the surviving 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the Person formed by or surviving any such consolidation or merger (if other than the Company) or the Person to which such sale, assignment, transfer, conveyance or other disposition shall have been made assumes all the obligations of the Company under the Securities and this Indenture pursuant to agreements reasonably satisfactory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94"/>
        <w:gridCol w:w="9658"/>
      </w:tblGrid>
      <w:tr>
        <w:trPr/>
        <w:tc>
          <w:tcPr>
            <w:tcW w:w="5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(iii)</w:t>
            </w:r>
          </w:p>
        </w:tc>
        <w:tc>
          <w:tcPr>
            <w:tcW w:w="9658" w:type="dxa"/>
            <w:tcBorders/>
            <w:vAlign w:val="center"/>
          </w:tcPr>
          <w:p>
            <w:pPr>
              <w:pStyle w:val="TableContents"/>
              <w:bidi w:val="0"/>
              <w:spacing w:before="0" w:after="283"/>
              <w:jc w:val="both"/>
              <w:rPr/>
            </w:pPr>
            <w:r>
              <w:rPr/>
              <w:t>immediately after such transaction no Default or Event of Default exists;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(iv)</w:t>
            </w:r>
          </w:p>
        </w:tc>
        <w:tc>
          <w:tcPr>
            <w:tcW w:w="9875" w:type="dxa"/>
            <w:tcBorders/>
            <w:vAlign w:val="center"/>
          </w:tcPr>
          <w:p>
            <w:pPr>
              <w:pStyle w:val="TableContents"/>
              <w:bidi w:val="0"/>
              <w:spacing w:before="0" w:after="283"/>
              <w:jc w:val="both"/>
              <w:rPr/>
            </w:pPr>
            <w:r>
              <w:rPr/>
              <w:t>the Company shall have delivered to the Trustee an Officers’ Certificate and an Opinion of Counsel, each stating that such merger, consolidation or sale, assignment, transfer, conveyance or other disposition of such properties or assets or assignment of its obligations under the Securities and this Indenture and such supplemental indenture, if any, comply with this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The Company shall not, directly or indirectly, lease all or substantially all of its properties or assets, in one or more related transactions, to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Notwithstanding the foregoing, this Section 801 shall not apply to a sale, assignment, transfer, conveyance or other disposition of assets between or among the Company and any of its Wholly Owned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SUCCESSOR PERSON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any sale, assignment, transfer, lease, conveyance or other disposition of all or substantially all of the assets of the Company, or any assignment of the obligations under the Securities and this Indenture in accordance with Section 801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shall refer instead to the successor corporation and not to the Company), and may exercise every right and power of the Company under this Indenture with the same effect as if such successor Person had been named as the Company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predecessor Company shall not be relieved from the obligation to pay the principal of and interest on the Securities except in the case of a sale of all of the Company’s assets that meets the requirements of Section 801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901. WITHOUT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902 of this Indenture, the Company and the Trustee may amend or supplement this Indenture or the Securities of any series without the consent of any Holder of a Security of any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592"/>
        <w:gridCol w:w="9532"/>
      </w:tblGrid>
      <w:tr>
        <w:trPr/>
        <w:tc>
          <w:tcPr>
            <w:tcW w:w="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pPr>
            <w:r>
              <w:rPr/>
              <w:t>(a)</w:t>
            </w:r>
          </w:p>
        </w:tc>
        <w:tc>
          <w:tcPr>
            <w:tcW w:w="9532" w:type="dxa"/>
            <w:tcBorders/>
            <w:vAlign w:val="center"/>
          </w:tcPr>
          <w:p>
            <w:pPr>
              <w:pStyle w:val="TableContents"/>
              <w:bidi w:val="0"/>
              <w:spacing w:before="0" w:after="283"/>
              <w:jc w:val="both"/>
              <w:rPr/>
            </w:pPr>
            <w:r>
              <w:rPr/>
              <w:t>to cure any ambiguity, defect or inconsistency;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to provide for uncertificated Securities in addition to or in place of certificated Securities or to alter the provisions of Article II of this Indenture (including the related definitions) in a manner that does not materially adversely affect any 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283"/>
              <w:jc w:val="both"/>
              <w:rPr/>
            </w:pPr>
            <w:r>
              <w:rPr/>
              <w:t>to establish the form or terms of Securities of any series as permitted by Sections 201 and 301 of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(d)</w:t>
            </w:r>
          </w:p>
        </w:tc>
        <w:tc>
          <w:tcPr>
            <w:tcW w:w="9913" w:type="dxa"/>
            <w:tcBorders/>
            <w:vAlign w:val="center"/>
          </w:tcPr>
          <w:p>
            <w:pPr>
              <w:pStyle w:val="TableContents"/>
              <w:bidi w:val="0"/>
              <w:spacing w:before="0" w:after="283"/>
              <w:jc w:val="both"/>
              <w:rPr/>
            </w:pPr>
            <w:r>
              <w:rPr/>
              <w:t>to provide for the assumption of the Company’s or any Guarantor’s obligations to the Holders of the Securities by a successor to the Company pursuant to Article VIII of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(e)</w:t>
            </w:r>
          </w:p>
        </w:tc>
        <w:tc>
          <w:tcPr>
            <w:tcW w:w="9927" w:type="dxa"/>
            <w:tcBorders/>
            <w:vAlign w:val="center"/>
          </w:tcPr>
          <w:p>
            <w:pPr>
              <w:pStyle w:val="TableContents"/>
              <w:bidi w:val="0"/>
              <w:spacing w:before="0" w:after="283"/>
              <w:jc w:val="both"/>
              <w:rPr/>
            </w:pPr>
            <w:r>
              <w:rPr/>
              <w:t>to make any change that would provide any additional rights or benefits to the Holders of the Securities or that does not adversely affect the legal rights hereunder of any such 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(f)</w:t>
            </w:r>
          </w:p>
        </w:tc>
        <w:tc>
          <w:tcPr>
            <w:tcW w:w="9942" w:type="dxa"/>
            <w:tcBorders/>
            <w:vAlign w:val="center"/>
          </w:tcPr>
          <w:p>
            <w:pPr>
              <w:pStyle w:val="TableContents"/>
              <w:bidi w:val="0"/>
              <w:spacing w:before="0" w:after="283"/>
              <w:jc w:val="both"/>
              <w:rPr/>
            </w:pPr>
            <w:r>
              <w:rPr/>
              <w:t>to comply with requirements of the SEC in order to effect or maintain the qualification of this Indenture under the Trust Indenture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(g)</w:t>
            </w:r>
          </w:p>
        </w:tc>
        <w:tc>
          <w:tcPr>
            <w:tcW w:w="9898" w:type="dxa"/>
            <w:tcBorders/>
            <w:vAlign w:val="center"/>
          </w:tcPr>
          <w:p>
            <w:pPr>
              <w:pStyle w:val="TableContents"/>
              <w:bidi w:val="0"/>
              <w:spacing w:before="0" w:after="283"/>
              <w:jc w:val="both"/>
              <w:rPr/>
            </w:pPr>
            <w:r>
              <w:rPr/>
              <w:t>to evidence and provide the acceptance of the appointment of a successor Trustee pursuant to Sections 610 and 611 of this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86"/>
        <w:gridCol w:w="9317"/>
      </w:tblGrid>
      <w:tr>
        <w:trPr/>
        <w:tc>
          <w:tcPr>
            <w:tcW w:w="10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pPr>
            <w:r>
              <w:rPr/>
              <w:t>(h)</w:t>
            </w:r>
          </w:p>
        </w:tc>
        <w:tc>
          <w:tcPr>
            <w:tcW w:w="9317" w:type="dxa"/>
            <w:tcBorders/>
            <w:vAlign w:val="center"/>
          </w:tcPr>
          <w:p>
            <w:pPr>
              <w:pStyle w:val="TableContents"/>
              <w:bidi w:val="0"/>
              <w:spacing w:before="0" w:after="283"/>
              <w:jc w:val="both"/>
              <w:rPr/>
            </w:pPr>
            <w:r>
              <w:rPr/>
              <w:t>to add a Guarantor of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resolution of its Board of Directors authorizing the execution of any such amended or supplemental indenture, and upon receipt by the Trustee of the documents described in Section 603 of this Indenture,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902. WITH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in this Section 902, the Company and the Trustee may amend or supplement this Indenture and the Securities of any series may be amended or supplemented with the consent of the Holders of at least a majority in aggregate principal amount at maturity of Securities of that series then Outstanding voting as a single class (including, without limitation, consents obtained in connection with a purchase of, or tender offer or exchange offer for, that series of Securities), and, subject to Sections 504 and 507 hereof, any existing Default or Event of Default (other than a Default or Event of Default in the payment of the principal of, premium, if any, and interest, if any, on such Securities, except a payment default resulting from an acceleration that has been rescinded) or compliance with any provision of this Indenture or such Securities may be waived with the consent of the Holders of a majority in aggregate principal amount at maturity of the then Outstanding Securities of that series voting as a single class (including without limitation, consents obtained in connection with a purchase of, or tender offer or exchange offer for, that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Board Resolution authorizing the execution of any such amended or supplemental indenture, and upon the filing with the Trustee of evidence satisfactory to the Trustee of the consent of the Holders of that series of Securities as aforesaid, and upon receipt by the Trustee of the documents described in Section 603 of this Indenture,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902 to approve the particular form of any proposed amendment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becomes effective, the Company shall mail to the Holders of Securities of any series affected thereby a notice briefly describing the amendment, supplement or waiver. Any failure of the Company to mail such notice, or any defect therein, shall not, however, in any way impair or affect the validity of any such amended or supplemental indenture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Sections 504 and 507 hereof, the Holders of a majority in aggregate principal amount at maturity of a series of Securities then Outstanding voting as a single class may waive compliance in a particular instance by the Company with any provision of this Indenture or the Securities. However, without the consent of each Holder of a series of Securities affected, an amendment or waiver under this Section 902 may not (with respect to the series of Securities held by a non-consenting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reduce the principal amount of the then Outstanding Securities whose Holders must consent to an amendment, supplement or waiver;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20" w:type="dxa"/>
            <w:tcBorders/>
            <w:vAlign w:val="center"/>
          </w:tcPr>
          <w:p>
            <w:pPr>
              <w:pStyle w:val="TableContents"/>
              <w:bidi w:val="0"/>
              <w:spacing w:before="0" w:after="283"/>
              <w:jc w:val="both"/>
              <w:rPr/>
            </w:pPr>
            <w:r>
              <w:rPr/>
              <w:t>reduce the principal of or change the fixed maturity of any Security or alter any of the provisions with respect to the redemption of the Securities unless otherwise specifically provided for in the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0"/>
        <w:gridCol w:w="9784"/>
      </w:tblGrid>
      <w:tr>
        <w:trPr/>
        <w:tc>
          <w:tcPr>
            <w:tcW w:w="5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(c)</w:t>
            </w:r>
          </w:p>
        </w:tc>
        <w:tc>
          <w:tcPr>
            <w:tcW w:w="9784" w:type="dxa"/>
            <w:tcBorders/>
            <w:vAlign w:val="center"/>
          </w:tcPr>
          <w:p>
            <w:pPr>
              <w:pStyle w:val="TableContents"/>
              <w:bidi w:val="0"/>
              <w:spacing w:before="0" w:after="283"/>
              <w:jc w:val="both"/>
              <w:rPr/>
            </w:pPr>
            <w:r>
              <w:rPr/>
              <w:t>reduce the rate of or change the time for payment of interest on any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both"/>
              <w:rPr/>
            </w:pPr>
            <w:r>
              <w:rPr/>
              <w:t>waive a Default or Event of Default in the payment of principal of, or interest or premium, if any, on the Securities (except a rescission of acceleration of the Securities by the Holders of any series of Securities of at least a majority in aggregate principal amount of the then Outstanding Securities of that series and a waiver of the payment default that resulted from such acceleration);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83"/>
        <w:gridCol w:w="9770"/>
      </w:tblGrid>
      <w:tr>
        <w:trPr/>
        <w:tc>
          <w:tcPr>
            <w:tcW w:w="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(e)</w:t>
            </w:r>
          </w:p>
        </w:tc>
        <w:tc>
          <w:tcPr>
            <w:tcW w:w="9770" w:type="dxa"/>
            <w:tcBorders/>
            <w:vAlign w:val="center"/>
          </w:tcPr>
          <w:p>
            <w:pPr>
              <w:pStyle w:val="TableContents"/>
              <w:bidi w:val="0"/>
              <w:spacing w:before="0" w:after="283"/>
              <w:jc w:val="both"/>
              <w:rPr/>
            </w:pPr>
            <w:r>
              <w:rPr/>
              <w:t>make any Security payable in money other than that stated in the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(f)</w:t>
            </w:r>
          </w:p>
        </w:tc>
        <w:tc>
          <w:tcPr>
            <w:tcW w:w="9963" w:type="dxa"/>
            <w:tcBorders/>
            <w:vAlign w:val="center"/>
          </w:tcPr>
          <w:p>
            <w:pPr>
              <w:pStyle w:val="TableContents"/>
              <w:bidi w:val="0"/>
              <w:spacing w:before="0" w:after="283"/>
              <w:jc w:val="both"/>
              <w:rPr/>
            </w:pPr>
            <w:r>
              <w:rPr/>
              <w:t>make any change in the provisions of this Indenture relating to waivers of past Defaults or the rights of Holders of Securities to receive payments of principal of, or interest or premium, if any, on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(g)</w:t>
            </w:r>
          </w:p>
        </w:tc>
        <w:tc>
          <w:tcPr>
            <w:tcW w:w="9897" w:type="dxa"/>
            <w:tcBorders/>
            <w:vAlign w:val="center"/>
          </w:tcPr>
          <w:p>
            <w:pPr>
              <w:pStyle w:val="TableContents"/>
              <w:bidi w:val="0"/>
              <w:spacing w:before="0" w:after="283"/>
              <w:jc w:val="both"/>
              <w:rPr/>
            </w:pPr>
            <w:r>
              <w:rPr/>
              <w:t>waive a redemption payment with respect to any Security (other than as may be specifically permitted by the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2"/>
        <w:gridCol w:w="9830"/>
      </w:tblGrid>
      <w:tr>
        <w:trPr/>
        <w:tc>
          <w:tcPr>
            <w:tcW w:w="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(h)</w:t>
            </w:r>
          </w:p>
        </w:tc>
        <w:tc>
          <w:tcPr>
            <w:tcW w:w="9830" w:type="dxa"/>
            <w:tcBorders/>
            <w:vAlign w:val="center"/>
          </w:tcPr>
          <w:p>
            <w:pPr>
              <w:pStyle w:val="TableContents"/>
              <w:bidi w:val="0"/>
              <w:spacing w:before="0" w:after="283"/>
              <w:jc w:val="both"/>
              <w:rPr/>
            </w:pPr>
            <w:r>
              <w:rPr/>
              <w:t>cause the Securities to become subordinated in right of payment to any other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release any Guarantor from any of its obligations under its Guarantee or this Indenture, except in accordance with the terms thereof;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9"/>
        <w:gridCol w:w="9904"/>
      </w:tblGrid>
      <w:tr>
        <w:trPr/>
        <w:tc>
          <w:tcPr>
            <w:tcW w:w="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(j)</w:t>
            </w:r>
          </w:p>
        </w:tc>
        <w:tc>
          <w:tcPr>
            <w:tcW w:w="9904" w:type="dxa"/>
            <w:tcBorders/>
            <w:vAlign w:val="center"/>
          </w:tcPr>
          <w:p>
            <w:pPr>
              <w:pStyle w:val="TableContents"/>
              <w:bidi w:val="0"/>
              <w:spacing w:before="0" w:after="283"/>
              <w:jc w:val="both"/>
              <w:rPr/>
            </w:pPr>
            <w:r>
              <w:rPr/>
              <w:t>make any change in Sections 504 or 507 or the foregoing amendment and waiver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903. COMPLIANCE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or supplement to this Indenture or the Securities shall be set forth in a amended or supplemental indenture that complies with the Trust Indenture Act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904. REVOCATION AND EFFECT OF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waiver, supplement or amendment becomes effective. An amendment, supplement or waiver becomes effective in accordance with its terms and thereafter binds every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905. NOTATION ON OR 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supplement or waiver on any Security thereafter authenticated. The Company in exchange for all Securities of a series may issue and the Trustee shall, upon receipt of a written order from the Company to authenticate such Securities, authenticate new Securities that reflect the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TRUSTEE TO SIGN AMENDMENTS,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sign any amended or supplemental indenture authorized pursuant to this Article IX if the amendment or supplement does not adversely affect the rights, duties, liabilities or immunities of the Trustee. The Company may not sign an amendment or supplemental indenture until the Board of Directors approves it. In executing any amended or supplemental indenture, the Trustee shall be given and (subject to Section 601 of this Indenture) shall be fully protected in relying upon, in addition to the documents required by Section 603 this Indenture, an Officer’s Certificate and an Opinion of Counsel stating that the execution of such amended or supplemental indenture is authorized or permitted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PAYMENT OF PRINCIPAL, PREMIUM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each series of Securities that it will duly and punctually pay the principal of (and premium, if any), interest on and any Additional Amounts with respect to the Securities of that series in accordance with the terms of the Securities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 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of a series are issuable only as Registered Securities,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1003. MONEY FOR SECURITIES PAYMENTS TO BE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at any time act as its own Paying Agent with respect to any series of Securities, it will, on or before each due date of the principal of (and premium, if any) or interest on or any Additional Amounts with respect to any of the Securities of that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Company shall have one or more Paying Agents for any series of Securities, the Company will, on or before each due date of the principal of (and premium, if any) or interest on any Securities of that series, deposit with a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hold all sums held by it for the payment of the principal of (and premium, if any), interest on or any Additional Amounts with respect to Securities of that series in trust for the benefit of the Persons entitled thereto until such sums shall be paid to such Persons or otherwise disposed of as herein provided;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283"/>
              <w:jc w:val="both"/>
              <w:rPr/>
            </w:pPr>
            <w:r>
              <w:rPr/>
              <w:t>give the Trustee notice of any default by the Company (or any other obligor upon the Securities of that series) in the making of any payment of principal (and premium, if any), interest on or any Additional Amounts with respect to the Securities of that series;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(3)</w:t>
            </w:r>
          </w:p>
        </w:tc>
        <w:tc>
          <w:tcPr>
            <w:tcW w:w="9910" w:type="dxa"/>
            <w:tcBorders/>
            <w:vAlign w:val="center"/>
          </w:tcPr>
          <w:p>
            <w:pPr>
              <w:pStyle w:val="TableContents"/>
              <w:bidi w:val="0"/>
              <w:spacing w:before="0" w:after="283"/>
              <w:jc w:val="both"/>
              <w:rPr/>
            </w:pPr>
            <w:r>
              <w:rPr/>
              <w:t>at any time during the continuance of any such default, upon the written request of the Trustee, forthwith pay to the Trustee all sums so held in trust by such Paying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sums were held by the Company or such Paying Agent; and, upon such payment by any Paying Agent to the Trustee, such Paying Agent shall be released from all further liability with respect to such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deposited with the Trustee or any Paying Agent, or then held by the Company, in trust for the payment of the principal of (and premium, if any) or interest on any Security of any series and remaining unclaimed for three years after such principal (and premium, if any) or interest has become due and payable shall, unless otherwise required by mandatory provisions of applicable escheat, or abandoned or unclaimed property law,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as trustee thereof, shall thereupon cease;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Trustee or such Paying Agent, before being required to make any such repayment, may at the expense of the Company cause to be published once, in an Authorized Newspaper in the Borough of Manhattan, the City of New York and in such other Authorized Newspapers as the Trustee shall deem appropriate, notice that such money remains unclaimed and that, after a date specified herein, which shall not be less than 30 days from the date of such publication, any unclaimed balance of such money then remaining will, unless otherwise required by mandatory provisions of applicable escheat, or abandoned or unclaimed property law, be repaid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1004.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VIII, the Company will do or cause to be done all things necessary to preserve and keep in full force and effect its 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1005. STATEMENT BY OFFICERS AS TO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Securities is prohibited or if such event has occurred, a description of the event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so long as any of the Securities are outstanding, deliver to the Trustee, forthwith and in any event within five days upon any officer becoming aware of any Default or Event of Default or an event which, with notice or the lapse of time or both, would constitute an Event of Default, an Officers’ Certificate specifying such Default or Event of Default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1006. WAIVER OF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omit in any particular instance to comply with any covenant or condition set forth in Section 1005, or any covenant added for the benefit of any series of Securities as contemplated by Section 301 (unless otherwise specified pursuant to Section 301) if before or after the time for such compliance the Holders of a majority in principal amount of the Outstanding Securities of all series affected by such omission (acting as one class)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1007. ADDITIONAL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a series expressly provide for the payment of Additional Amounts, the Company will pay to the Holder of any Security of such series Additional Amounts as expressly provided therein. Whenever in this Indenture there is mentioned, in any context, the payment of the principal of or any premium or interest on, or in respect of, any Security of any series or the net proceeds received from the sale or exchange of any Security of any series, such mention shall be deemed to include mention of the payment of Additional Amounts provided for in this Section 1007 to the extent that, in such context, Additional Amounts are, were or would be payable in respect thereof pursuant to the provisions of this Section 1007 and express mention of the payment of Additional Amounts (if applicable) in any provisions hereof shall not be construed as excluding Additional Amounts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and the Company will pay to such Paying Agent the Additional Amounts required by this Section.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1007.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br/>
        <w:t>REDEMPTION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1101. APPLICABILITY OF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which are redeemable before their Stated Maturity shall be redeemable in accordance with their terms and (except as otherwise specified as contemplated by Section 301 for Securities of any series) in accordance with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1102. ELECTION TO REDEEM; NOTICE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the Company to redeem any Securities shall be evidenced by a Board Resolution. In case of any redemption at the election of the Company of less than all the Securities of any series, the Company shall, a reasonable period prior to the Redemption Date fixed by the Company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1103. SELECTION BY TRUSTEE OF SECURITIES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any series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that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Company and the Security Registrar in writing of the Securities selected for redemption and, in the case of any Securities selected for partial redemption, the principal amount thereof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1104.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shall be given in the manner provided in Section 107 to each Holder of Securities to be redeemed not less than 30 nor more than 60 days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redemption shall state: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216"/>
        <w:gridCol w:w="8830"/>
      </w:tblGrid>
      <w:tr>
        <w:trPr/>
        <w:tc>
          <w:tcPr>
            <w:tcW w:w="15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pPr>
            <w:r>
              <w:rPr/>
              <w:t>(1)</w:t>
            </w:r>
          </w:p>
        </w:tc>
        <w:tc>
          <w:tcPr>
            <w:tcW w:w="8830" w:type="dxa"/>
            <w:tcBorders/>
            <w:vAlign w:val="center"/>
          </w:tcPr>
          <w:p>
            <w:pPr>
              <w:pStyle w:val="TableContents"/>
              <w:bidi w:val="0"/>
              <w:spacing w:before="0" w:after="283"/>
              <w:jc w:val="both"/>
              <w:rPr/>
            </w:pPr>
            <w:r>
              <w:rPr/>
              <w:t>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201"/>
        <w:gridCol w:w="8847"/>
      </w:tblGrid>
      <w:tr>
        <w:trPr/>
        <w:tc>
          <w:tcPr>
            <w:tcW w:w="15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(2)</w:t>
            </w:r>
          </w:p>
        </w:tc>
        <w:tc>
          <w:tcPr>
            <w:tcW w:w="8847" w:type="dxa"/>
            <w:tcBorders/>
            <w:vAlign w:val="center"/>
          </w:tcPr>
          <w:p>
            <w:pPr>
              <w:pStyle w:val="TableContents"/>
              <w:bidi w:val="0"/>
              <w:spacing w:before="0" w:after="283"/>
              <w:jc w:val="both"/>
              <w:rPr/>
            </w:pPr>
            <w:r>
              <w:rPr/>
              <w:t>the Redemption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283"/>
              <w:jc w:val="both"/>
              <w:rPr/>
            </w:pPr>
            <w:r>
              <w:rPr/>
              <w:t>if less than all the Outstanding Securities of any series are to be redeemed, the identification (and, in the case of partial redemption, the principal amounts) of the particular Securities to be redeemed,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(4)</w:t>
            </w:r>
          </w:p>
        </w:tc>
        <w:tc>
          <w:tcPr>
            <w:tcW w:w="9917" w:type="dxa"/>
            <w:tcBorders/>
            <w:vAlign w:val="center"/>
          </w:tcPr>
          <w:p>
            <w:pPr>
              <w:pStyle w:val="TableContents"/>
              <w:bidi w:val="0"/>
              <w:spacing w:before="0" w:after="283"/>
              <w:jc w:val="both"/>
              <w:rPr/>
            </w:pPr>
            <w:r>
              <w:rPr/>
              <w:t>that on the Redemption Date the Redemption Price will become due and payable upon each such Security to be redeemed and, if applicable, that interest thereon will cease to accrue on and after said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99"/>
        <w:gridCol w:w="9867"/>
      </w:tblGrid>
      <w:tr>
        <w:trPr/>
        <w:tc>
          <w:tcPr>
            <w:tcW w:w="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(5)</w:t>
            </w:r>
          </w:p>
        </w:tc>
        <w:tc>
          <w:tcPr>
            <w:tcW w:w="9867" w:type="dxa"/>
            <w:tcBorders/>
            <w:vAlign w:val="center"/>
          </w:tcPr>
          <w:p>
            <w:pPr>
              <w:pStyle w:val="TableContents"/>
              <w:bidi w:val="0"/>
              <w:spacing w:before="0" w:after="283"/>
              <w:jc w:val="both"/>
              <w:rPr/>
            </w:pPr>
            <w:r>
              <w:rPr/>
              <w:t>the place or places where such Securities are to be surrendered for payment of the Redemption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5"/>
        <w:gridCol w:w="9680"/>
      </w:tblGrid>
      <w:tr>
        <w:trPr/>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pPr>
            <w:r>
              <w:rPr/>
              <w:t>(6)</w:t>
            </w:r>
          </w:p>
        </w:tc>
        <w:tc>
          <w:tcPr>
            <w:tcW w:w="9680" w:type="dxa"/>
            <w:tcBorders/>
            <w:vAlign w:val="center"/>
          </w:tcPr>
          <w:p>
            <w:pPr>
              <w:pStyle w:val="TableContents"/>
              <w:bidi w:val="0"/>
              <w:spacing w:before="0" w:after="283"/>
              <w:jc w:val="both"/>
              <w:rPr/>
            </w:pPr>
            <w:r>
              <w:rPr/>
              <w:t>that the redemption is for a sinking fund, if such is the case,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794"/>
        <w:gridCol w:w="9307"/>
      </w:tblGrid>
      <w:tr>
        <w:trPr/>
        <w:tc>
          <w:tcPr>
            <w:tcW w:w="1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(7)</w:t>
            </w:r>
          </w:p>
        </w:tc>
        <w:tc>
          <w:tcPr>
            <w:tcW w:w="9307" w:type="dxa"/>
            <w:tcBorders/>
            <w:vAlign w:val="center"/>
          </w:tcPr>
          <w:p>
            <w:pPr>
              <w:pStyle w:val="TableContents"/>
              <w:bidi w:val="0"/>
              <w:spacing w:before="0" w:after="283"/>
              <w:jc w:val="both"/>
              <w:rPr/>
            </w:pPr>
            <w:r>
              <w:rPr/>
              <w:t>the “CUSIP” number,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redemption as contemplated by Section 107 need not identify particular Registered Securities to be redeemed. Notice of redemption of Securities to be redeemed at the election of the Company shall be given by the Company or, at the Company’s request and provision to the Trustee of the notice information 10 days prior to delivery of the notice, by the Trustee in the name and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1105. DEPOSIT OF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and any Additional Amounts with respect to all the Securities to be redeemed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1106. SECURITIES PAYABLE ON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(and any Additional Amounts) to the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installments of interest whose Stated Maturity is on or prior to the Redemption Date shall be payable to the Holders of such Securities, or one or more Predecessor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as such at the close of business on the relevant Record Dates according to their terms and the provisions of Section 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(and premium, if any) shall, until paid, bear interest from the Redemption Date at the rate prescribed therefor in the Security or, in the case of Original Issue Discount Securities, the Securities’ Yield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1107. SECURITIES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Registered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and Stated Maturity, of any authorized denomination as requested by such Holder, in aggregate principal amount equal to and in exchange for the unredeemed portion of the principal of the Security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1108. PURCHASE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as contemplated by Section 301, the Company and any Affiliate of the Company may at any time purchase or otherwise acquire Securities in the open market or by private agreement.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Section 309 shall apply to all Securities so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br/>
        <w:t>SINKING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1201. APPLICABILITY OF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Securities of a series except as otherwise specified as contemplated by Section 301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w:t>
      </w:r>
      <w:r>
        <w:rPr>
          <w:rFonts w:ascii="Times New Roman;Times;Serif" w:hAnsi="Times New Roman;Times;Serif"/>
          <w:b w:val="false"/>
          <w:i/>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Securities of any series is herein referred to as an “</w:t>
      </w:r>
      <w:r>
        <w:rPr>
          <w:rFonts w:ascii="Times New Roman;Times;Serif" w:hAnsi="Times New Roman;Times;Serif"/>
          <w:b w:val="false"/>
          <w:i/>
          <w:caps w:val="false"/>
          <w:smallCaps w:val="false"/>
          <w:sz w:val="20"/>
        </w:rPr>
        <w:t>optional sinking fund payment</w:t>
      </w:r>
      <w:r>
        <w:rPr>
          <w:rFonts w:ascii="Times New Roman;Times;Serif" w:hAnsi="Times New Roman;Times;Serif"/>
          <w:b w:val="false"/>
          <w:i w:val="false"/>
          <w:caps w:val="false"/>
          <w:smallCaps w:val="false"/>
          <w:sz w:val="20"/>
        </w:rPr>
        <w:t>.” Unless otherwise provided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1202. SATISFACTION OF SINKING FUND PAYMENTS WITH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such Securities have not been previously so credited. Such Securities shall be received and credited for such purpose by the Trustee at the Redemption Price specified in such Securities for redemption through operation of the sinking fund and the amount of such sinking payment shall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1203. REDEMPTION OF SECURITIES FOR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(unless a shorter period shall be satisfactory to the Trustee)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delivery of or by crediting Securities of that series pursuant to Section 1202 and will also deliver to the Trustee any Securities to be so delivered.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br/>
        <w:t>MEETINGS OF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1301. PURPOSES FOR WHICH MEETINGS MAY BE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Holders of Securities of any or all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1302. CALL, NOTICE AND PLACE OF MEETINGS.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The Trustee may at any time call a meeting of Holders of Securities of any series for any purpose specified in Section 1301, to be held at such time and at such place in the Borough of Manhattan, the City of New York, or in any other location, as the Trustee shall determine. Notice of every meeting of Holders of Securities of any series, setting forth the time and the place of such meeting and in general terms the action proposed to be taken at such meeting, shall be given, in the manner provided in Section 107, not less than 20 nor more than 180 days prior to the date fixed for the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In case at any time the Company, pursuant to a Board Resolution, or the Holders of at least 10% in aggregate principal amount of the Outstanding Securities of any series, shall have requested the Trustee for any such series to call a meeting of the Holders of Securities of such series for any purpose specified in Section 1301, by written request setting forth in reasonable detail the action proposed to be taken at the meeting, and the Trustee shall not have made the first publication of the notice of such meeting within 30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1303. PERSONS ENTITLED TO VOTE AT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1304. QUORUM;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entitled to vote a majority in aggregate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Subject to Section 1305(d), notice of the reconvening of any adjourned meeting shall be given as provided in Section 1302(a), except that such notice need be given only once not less than five days prior to the date on which the meeting is scheduled to be reconvened. Notice of the reconvening of an adjourned meeting shall state expressly that Persons entitled to vote a majority in principal amount of the Outstanding Securities of such series shall constitute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limited by the proviso to Section 902, any resolution presented to a meeting or adjourned meeting duly reconvened at which a quorum is present as aforesaid may be adopted by the affirmative vote of the Holders of a majority in aggregate principal amount of the Outstanding Securities of that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as limited by the proviso to Section 902, any resolution with respect to any request, demand, authorization, direction, notice, consent or waiver which this Indenture expressly provides may be made, given or taken by the Holders of a specified percentage that is less than a majority in aggregate principal amount of the Outstanding Securities of a series may be adopted at a meeting or an adjourned meeting duly reconvened and at which a quorum is present as aforesaid by the affirmative vote of the Holders of such specified percentage in aggregate principal amount of the Outstanding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limited by the fourth paragraph of Section 902, any resolution passed or decision taken at any meeting of Holders of Securities of any series duly held in accordance with this Section shall be binding on all the Holders of Securities of such series, whether or not present or represented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1305. DETERMINATION OF VOTING RIGHTS; CONDUCT AND ADJOURNMENT OF MEETINGS.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The holding of Securities shall be proved in the manner specified in Section 105 and the appointment of any proxy shall be proved in the manner specified in Section 105. Such regulations may provide that written instruments appointing proxies, regular on their face, may be presumed valid and genuine without the proof specified in Section 105 or other proof.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The Trustee shall, by an instrument in writing, appoint a temporary chairman of the meeting, unless the meeting shall have been called by the Company or by Holders of Securities as provided in Section 1302(b), in which case the Company or the Holders of Securities of the series calling the meeting, as the case may be, shall appoint a temporary chairman. A permanent chairman and a permanent secretary of the meeting shall be elected by vote of the Persons entitled to vote a majority in aggregate principal amount of the Outstanding Securities of such series represented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At any meeting each Holder of a Security of such series and each proxy shall be entitled to one vote for each $1,000 principal amount (or such other amount of the minimum denomination of any series of Securities as may be provided in the establishment of such series as contemplated by Section 301 hereof) of the Outstanding Securities of such series held or represented by him; </w:t>
            </w:r>
            <w:r>
              <w:rPr>
                <w:i/>
              </w:rPr>
              <w:t>provided</w:t>
            </w:r>
            <w:r>
              <w:rPr/>
              <w:t>, </w:t>
            </w:r>
            <w:r>
              <w:rPr>
                <w:i/>
              </w:rPr>
              <w:t>however</w:t>
            </w:r>
            <w:r>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as a proxy.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(d)</w:t>
            </w:r>
          </w:p>
        </w:tc>
        <w:tc>
          <w:tcPr>
            <w:tcW w:w="9934" w:type="dxa"/>
            <w:tcBorders/>
            <w:vAlign w:val="center"/>
          </w:tcPr>
          <w:p>
            <w:pPr>
              <w:pStyle w:val="TableContents"/>
              <w:bidi w:val="0"/>
              <w:spacing w:before="0" w:after="283"/>
              <w:jc w:val="both"/>
              <w:rPr/>
            </w:pPr>
            <w:r>
              <w:rPr/>
              <w:t>Any meeting of Holders of Securities of any series duly called pursuant to Section 1302 at which a quorum is present may be adjourned from time to time by Persons entitled to vote a majority in aggregate principal amount of the Outstanding Securities of such series represented at the meeting; and the meeting may be held as so adjourned without further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1306. COUNTING VOTES AND RECORDING ACTION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such record the original reports of the inspectors of votes on any vote by ballot taken thereat and affidavits by one or more Persons having knowledge of the facts setting forth a copy of the notice of the meeting and showing that such notice was given as provided in Section 1302 and, if applicable, Section 1304.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extBody"/>
        <w:bidi w:val="0"/>
        <w:spacing w:before="0" w:after="0"/>
        <w:ind w:left="0" w:right="0" w:hanging="0"/>
        <w:jc w:val="left"/>
        <w:rPr>
          <w:caps w:val="false"/>
          <w:smallCaps w:val="false"/>
        </w:rPr>
      </w:pPr>
      <w:r>
        <w:rPr>
          <w:caps w:val="false"/>
          <w:smallCaps w:val="false"/>
        </w:rPr>
        <w:t> </w:t>
      </w:r>
    </w:p>
    <w:tbl>
      <w:tblPr>
        <w:tblW w:w="485" w:type="dxa"/>
        <w:jc w:val="left"/>
        <w:tblInd w:w="0" w:type="dxa"/>
        <w:tblLayout w:type="fixed"/>
        <w:tblCellMar>
          <w:top w:w="0" w:type="dxa"/>
          <w:left w:w="0" w:type="dxa"/>
          <w:bottom w:w="0" w:type="dxa"/>
          <w:right w:w="0" w:type="dxa"/>
        </w:tblCellMar>
      </w:tblPr>
      <w:tblGrid>
        <w:gridCol w:w="365"/>
        <w:gridCol w:w="60"/>
        <w:gridCol w:w="60"/>
      </w:tblGrid>
      <w:tr>
        <w:trPr/>
        <w:tc>
          <w:tcPr>
            <w:tcW w:w="365" w:type="dxa"/>
            <w:tcBorders/>
            <w:vAlign w:val="center"/>
          </w:tcPr>
          <w:p>
            <w:pPr>
              <w:pStyle w:val="TableContents"/>
              <w:bidi w:val="0"/>
              <w:spacing w:before="0" w:after="283"/>
              <w:ind w:left="0" w:right="0" w:hanging="200"/>
              <w:jc w:val="left"/>
              <w:rPr/>
            </w:pPr>
            <w:r>
              <w:rPr/>
              <w:t>By:</w:t>
            </w:r>
          </w:p>
        </w:tc>
        <w:tc>
          <w:tcPr>
            <w:tcW w:w="60" w:type="dxa"/>
            <w:tcBorders>
              <w:bottom w:val="single" w:sz="8" w:space="0" w:color="000000"/>
            </w:tcBorders>
            <w:tcMar>
              <w:bottom w:w="28" w:type="dxa"/>
            </w:tcMar>
            <w:vAlign w:val="center"/>
          </w:tcPr>
          <w:p>
            <w:pPr>
              <w:pStyle w:val="TableContents"/>
              <w:bidi w:val="0"/>
              <w:spacing w:before="0" w:after="283"/>
              <w:ind w:left="0" w:right="0" w:hanging="20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tbl>
      <w:tblPr>
        <w:tblW w:w="485" w:type="dxa"/>
        <w:jc w:val="left"/>
        <w:tblInd w:w="0" w:type="dxa"/>
        <w:tblLayout w:type="fixed"/>
        <w:tblCellMar>
          <w:top w:w="0" w:type="dxa"/>
          <w:left w:w="0" w:type="dxa"/>
          <w:bottom w:w="0" w:type="dxa"/>
          <w:right w:w="0" w:type="dxa"/>
        </w:tblCellMar>
      </w:tblPr>
      <w:tblGrid>
        <w:gridCol w:w="365"/>
        <w:gridCol w:w="60"/>
        <w:gridCol w:w="60"/>
      </w:tblGrid>
      <w:tr>
        <w:trPr/>
        <w:tc>
          <w:tcPr>
            <w:tcW w:w="365" w:type="dxa"/>
            <w:tcBorders/>
            <w:vAlign w:val="center"/>
          </w:tcPr>
          <w:p>
            <w:pPr>
              <w:pStyle w:val="TableContents"/>
              <w:bidi w:val="0"/>
              <w:spacing w:before="0" w:after="283"/>
              <w:ind w:left="0" w:right="0" w:hanging="200"/>
              <w:jc w:val="left"/>
              <w:rPr/>
            </w:pPr>
            <w:r>
              <w:rPr/>
              <w:t>By:</w:t>
            </w:r>
          </w:p>
        </w:tc>
        <w:tc>
          <w:tcPr>
            <w:tcW w:w="60" w:type="dxa"/>
            <w:tcBorders>
              <w:bottom w:val="single" w:sz="8" w:space="0" w:color="000000"/>
            </w:tcBorders>
            <w:tcMar>
              <w:bottom w:w="28" w:type="dxa"/>
            </w:tcMar>
            <w:vAlign w:val="center"/>
          </w:tcPr>
          <w:p>
            <w:pPr>
              <w:pStyle w:val="TableContents"/>
              <w:bidi w:val="0"/>
              <w:spacing w:before="0" w:after="283"/>
              <w:ind w:left="0" w:right="0" w:hanging="20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0" w:name="tm2613239d1_ex5-1.htm"/>
      <w:bookmarkStart w:id="21" w:name="kstm2613239d1_ex51"/>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581150"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1581150" cy="514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br/>
        <w:t>3520 Challenger Street</w:t>
        <w:br/>
        <w:t>Torrance, California 90503-1640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S-3ASR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Navitas Semiconductor Corporation,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in connection with the Company’s filing on the date hereof with the Securities and Exchange Commission (the “</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of a Registration Statement on Form S-3ASR (such registration statement, including the documents incorporated by reference therein, as amended or supplemented, the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 including the base prospectus contained therein, relating to the registration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of the issuance and sale from time to time by the Company, on a delayed or continuous basis pursuant to Rule 415 promulgated under the Securities Act, of an indeterminate number of the following securities (collectively, the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the aggregate initial offering price of which will not exceed $250,000,000: (i) shares of common stock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(ii) shares of preferred stock (“</w:t>
      </w: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(iii) debt securities in one or more series (“</w:t>
      </w:r>
      <w:r>
        <w:rPr>
          <w:rFonts w:ascii="Times New Roman;Times;Serif" w:hAnsi="Times New Roman;Times;Serif"/>
          <w:b w:val="false"/>
          <w:i/>
          <w:caps w:val="false"/>
          <w:smallCaps w:val="false"/>
          <w:sz w:val="20"/>
        </w:rPr>
        <w:t>Debt Securities</w:t>
      </w:r>
      <w:r>
        <w:rPr>
          <w:rFonts w:ascii="Times New Roman;Times;Serif" w:hAnsi="Times New Roman;Times;Serif"/>
          <w:b w:val="false"/>
          <w:i w:val="false"/>
          <w:caps w:val="false"/>
          <w:smallCaps w:val="false"/>
          <w:sz w:val="20"/>
        </w:rPr>
        <w:t>”); (iii) warrants to purchase Common Stock, Preferred Stock or Debt Securities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(iv) rights to purchase Common Stock, Preferred Stock or Debt Securities (“</w:t>
      </w:r>
      <w:r>
        <w:rPr>
          <w:rFonts w:ascii="Times New Roman;Times;Serif" w:hAnsi="Times New Roman;Times;Serif"/>
          <w:b w:val="false"/>
          <w:i/>
          <w:caps w:val="false"/>
          <w:smallCaps w:val="false"/>
          <w:sz w:val="20"/>
        </w:rPr>
        <w:t>Rights</w:t>
      </w:r>
      <w:r>
        <w:rPr>
          <w:rFonts w:ascii="Times New Roman;Times;Serif" w:hAnsi="Times New Roman;Times;Serif"/>
          <w:b w:val="false"/>
          <w:i w:val="false"/>
          <w:caps w:val="false"/>
          <w:smallCaps w:val="false"/>
          <w:sz w:val="20"/>
        </w:rPr>
        <w:t>”); (v) units composed of two or more securities registered under the Registration Statement (“</w:t>
      </w:r>
      <w:r>
        <w:rPr>
          <w:rFonts w:ascii="Times New Roman;Times;Serif" w:hAnsi="Times New Roman;Times;Serif"/>
          <w:b w:val="false"/>
          <w:i/>
          <w:caps w:val="false"/>
          <w:smallCaps w:val="false"/>
          <w:sz w:val="20"/>
        </w:rPr>
        <w:t>Units</w:t>
      </w:r>
      <w:r>
        <w:rPr>
          <w:rFonts w:ascii="Times New Roman;Times;Serif" w:hAnsi="Times New Roman;Times;Serif"/>
          <w:b w:val="false"/>
          <w:i w:val="false"/>
          <w:caps w:val="false"/>
          <w:smallCaps w:val="false"/>
          <w:sz w:val="20"/>
        </w:rPr>
        <w:t>”); and (vi) such indeterminate amount of shares of Common Stock and Preferred Stock as may be issued upon conversion, exchange or exercise of the Securities registered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connection with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Times;Serif" w:hAnsi="Times New Roman;Times;Serif"/>
          <w:b w:val="false"/>
          <w:i/>
          <w:caps w:val="false"/>
          <w:smallCaps w:val="false"/>
          <w:sz w:val="20"/>
        </w:rPr>
        <w:t>Certificate of Designation</w:t>
      </w:r>
      <w:r>
        <w:rPr>
          <w:rFonts w:ascii="Times New Roman;Times;Serif" w:hAnsi="Times New Roman;Times;Serif"/>
          <w:b w:val="false"/>
          <w:i w:val="false"/>
          <w:caps w:val="false"/>
          <w:smallCaps w:val="false"/>
          <w:sz w:val="20"/>
        </w:rPr>
        <w:t>”). The Debt Securities will be issued pursuant to an indenture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between the Company and a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 form of which is filed as an exhibit to the Registration Statement. The Warrants will be issued under one or more warrant agreements (each, a “</w:t>
      </w:r>
      <w:r>
        <w:rPr>
          <w:rFonts w:ascii="Times New Roman;Times;Serif" w:hAnsi="Times New Roman;Times;Serif"/>
          <w:b w:val="false"/>
          <w:i/>
          <w:caps w:val="false"/>
          <w:smallCaps w:val="false"/>
          <w:sz w:val="20"/>
        </w:rPr>
        <w:t>Warrant Agreement</w:t>
      </w:r>
      <w:r>
        <w:rPr>
          <w:rFonts w:ascii="Times New Roman;Times;Serif" w:hAnsi="Times New Roman;Times;Serif"/>
          <w:b w:val="false"/>
          <w:i w:val="false"/>
          <w:caps w:val="false"/>
          <w:smallCaps w:val="false"/>
          <w:sz w:val="20"/>
        </w:rPr>
        <w:t>”), each to be entered into between the Company and a financial institution identified therein as the warrant agent (each, a “</w:t>
      </w:r>
      <w:r>
        <w:rPr>
          <w:rFonts w:ascii="Times New Roman;Times;Serif" w:hAnsi="Times New Roman;Times;Serif"/>
          <w:b w:val="false"/>
          <w:i/>
          <w:caps w:val="false"/>
          <w:smallCaps w:val="false"/>
          <w:sz w:val="20"/>
        </w:rPr>
        <w:t>Warrant Agent</w:t>
      </w:r>
      <w:r>
        <w:rPr>
          <w:rFonts w:ascii="Times New Roman;Times;Serif" w:hAnsi="Times New Roman;Times;Serif"/>
          <w:b w:val="false"/>
          <w:i w:val="false"/>
          <w:caps w:val="false"/>
          <w:smallCaps w:val="false"/>
          <w:sz w:val="20"/>
        </w:rPr>
        <w:t>”). The Rights will be issued under one or more rights agreements (each, a “</w:t>
      </w:r>
      <w:r>
        <w:rPr>
          <w:rFonts w:ascii="Times New Roman;Times;Serif" w:hAnsi="Times New Roman;Times;Serif"/>
          <w:b w:val="false"/>
          <w:i/>
          <w:caps w:val="false"/>
          <w:smallCaps w:val="false"/>
          <w:sz w:val="20"/>
        </w:rPr>
        <w:t>Rights Agreement</w:t>
      </w:r>
      <w:r>
        <w:rPr>
          <w:rFonts w:ascii="Times New Roman;Times;Serif" w:hAnsi="Times New Roman;Times;Serif"/>
          <w:b w:val="false"/>
          <w:i w:val="false"/>
          <w:caps w:val="false"/>
          <w:smallCaps w:val="false"/>
          <w:sz w:val="20"/>
        </w:rPr>
        <w:t>”), each to be entered into between the Company and a financial institution identified therein as the rights agent (each, a “</w:t>
      </w:r>
      <w:r>
        <w:rPr>
          <w:rFonts w:ascii="Times New Roman;Times;Serif" w:hAnsi="Times New Roman;Times;Serif"/>
          <w:b w:val="false"/>
          <w:i/>
          <w:caps w:val="false"/>
          <w:smallCaps w:val="false"/>
          <w:sz w:val="20"/>
        </w:rPr>
        <w:t>Rights Agent</w:t>
      </w:r>
      <w:r>
        <w:rPr>
          <w:rFonts w:ascii="Times New Roman;Times;Serif" w:hAnsi="Times New Roman;Times;Serif"/>
          <w:b w:val="false"/>
          <w:i w:val="false"/>
          <w:caps w:val="false"/>
          <w:smallCaps w:val="false"/>
          <w:sz w:val="20"/>
        </w:rPr>
        <w:t>”). The Units will be issued under one or more unit agreements (each, a “</w:t>
      </w:r>
      <w:r>
        <w:rPr>
          <w:rFonts w:ascii="Times New Roman;Times;Serif" w:hAnsi="Times New Roman;Times;Serif"/>
          <w:b w:val="false"/>
          <w:i/>
          <w:caps w:val="false"/>
          <w:smallCaps w:val="false"/>
          <w:sz w:val="20"/>
        </w:rPr>
        <w:t>Unit Agreement</w:t>
      </w:r>
      <w:r>
        <w:rPr>
          <w:rFonts w:ascii="Times New Roman;Times;Serif" w:hAnsi="Times New Roman;Times;Serif"/>
          <w:b w:val="false"/>
          <w:i w:val="false"/>
          <w:caps w:val="false"/>
          <w:smallCaps w:val="false"/>
          <w:sz w:val="20"/>
        </w:rPr>
        <w:t>”), each to be entered into between the Company and a financial institution identified therein as the unit agent (each, a “</w:t>
      </w:r>
      <w:r>
        <w:rPr>
          <w:rFonts w:ascii="Times New Roman;Times;Serif" w:hAnsi="Times New Roman;Times;Serif"/>
          <w:b w:val="false"/>
          <w:i/>
          <w:caps w:val="false"/>
          <w:smallCaps w:val="false"/>
          <w:sz w:val="20"/>
        </w:rPr>
        <w:t>Unit Agent</w:t>
      </w:r>
      <w:r>
        <w:rPr>
          <w:rFonts w:ascii="Times New Roman;Times;Serif" w:hAnsi="Times New Roman;Times;Serif"/>
          <w:b w:val="false"/>
          <w:i w:val="false"/>
          <w:caps w:val="false"/>
          <w:smallCaps w:val="false"/>
          <w:sz w:val="20"/>
        </w:rPr>
        <w:t>”). Each Certificate of Designation, Warrant Agreement and Unit Agreement, as applicable, will be in a form to be filed as an exhibit to a post-effective amendment to the Registration Statement or as an exhibit to a Current Report on Form 8-K to be filed by the Company in connection with a specific offering and incorporated by reference into the Registration Statement. The Indenture, any Certificate of Designation, any Warrant Agreement, any Rights Agreement and any Unit Agreement are hereinafter referred to as the “</w:t>
      </w:r>
      <w:r>
        <w:rPr>
          <w:rFonts w:ascii="Times New Roman;Times;Serif" w:hAnsi="Times New Roman;Times;Serif"/>
          <w:b w:val="false"/>
          <w:i/>
          <w:caps w:val="false"/>
          <w:smallCaps w:val="false"/>
          <w:sz w:val="20"/>
        </w:rPr>
        <w:t>Securities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examined and are familiar with originals or copies, certified or otherwise identified to our satisfaction, of: (a) the Second Amended and Restated Certificate of Incorporation of the Company, as in effect on the date hereof, together with all amendments thereto adopted through the date hereof (the “</w:t>
      </w:r>
      <w:r>
        <w:rPr>
          <w:rFonts w:ascii="Times New Roman;Times;Serif" w:hAnsi="Times New Roman;Times;Serif"/>
          <w:b w:val="false"/>
          <w:i/>
          <w:caps w:val="false"/>
          <w:smallCaps w:val="false"/>
          <w:sz w:val="20"/>
        </w:rPr>
        <w:t>Certificate of Incorporation</w:t>
      </w:r>
      <w:r>
        <w:rPr>
          <w:rFonts w:ascii="Times New Roman;Times;Serif" w:hAnsi="Times New Roman;Times;Serif"/>
          <w:b w:val="false"/>
          <w:i w:val="false"/>
          <w:caps w:val="false"/>
          <w:smallCaps w:val="false"/>
          <w:sz w:val="20"/>
        </w:rPr>
        <w:t>”); (b) the Amended and Restated Bylaws of the Company, as amended, as in effect on the date hereof (the “</w:t>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 (c) the Registration Statement and all exhibits thereto, including the base prospectus contained therein; (d) the Indenture; and (e) such other documents as we have deemed necessary or appropriate as a basis for the opinion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(a) the legal capacity of all natural persons; (b) the genuineness of all signatures; (c) the authenticity of all documents submitted to us as originals; (d) the conformity to original documents of all documents submitted to us as certified or photostatic copies, (e) the authenticity of the originals of such latter documents; (f) that each of the Securities Documents will be the legal, valid and binding obligation of each party thereto, other than the Company, enforceable against each such party in accordance with its terms; and (g) that each of the Securities Documents, other than the Certificate of Designation, will be governed by New York law. As to any facts material to the opinions expressed herein that we did not independently establish or verify, we have relied upon oral or written statements and representations of officers and other representatives of the Company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Common Stock, assuming (a) the taking of all necessary corporate action to approve the issuance of the Common Stock and the terms of the offering, and (b) the due issuance and delivery of the Common Stock to the purchasers thereof against payment of the consideration (not less than the par value thereof) therefor duly approved by the board of directors of the Company or a duly authorized committee thereof (the “</w:t>
      </w:r>
      <w:r>
        <w:rPr>
          <w:rFonts w:ascii="Times New Roman;Times;Serif" w:hAnsi="Times New Roman;Times;Serif"/>
          <w:b w:val="false"/>
          <w:i/>
          <w:caps w:val="false"/>
          <w:smallCaps w:val="false"/>
          <w:sz w:val="20"/>
        </w:rPr>
        <w:t>Board</w:t>
      </w:r>
      <w:r>
        <w:rPr>
          <w:rFonts w:ascii="Times New Roman;Times;Serif" w:hAnsi="Times New Roman;Times;Serif"/>
          <w:b w:val="false"/>
          <w:i w:val="false"/>
          <w:caps w:val="false"/>
          <w:smallCaps w:val="false"/>
          <w:sz w:val="20"/>
        </w:rPr>
        <w:t>”) and in accordance with the applicable underwriting or other agreement and otherwise in accordance with the Certificate of Incorporation, such shares of Common Stock (including any Common Stock issuable upon exercise of Warrants or upon conversion, exercise, or exchange of other Securities or as a component of any Units)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the Preferred Stock, assuming (a) the taking of all necessary corporate action to approve the issuance of the Preferred Stock and the establishment of the terms of the offering thereof, (b) the adoption and due filing of a Certificate of Designation with respect to such Preferred Stock, and (c) the due issuance and delivery of the Preferred Stock to the purchasers thereof against payment of the consideration (not less than the par value thereof) therefor duly approved by the Board and in accordance with the applicable underwriting or other agreement and otherwise in accordance with the Certificate of Incorporation, the Preferred Stock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the Debt Securities, assuming (a) the Indenture has been duly qualified under the Trust Indenture Act of 1939, as amended, (b) the taking of all necessary corporate action by the Board to authorize and approve the issuance and terms of any Debt Securities and the Indenture and the terms of the offering thereof, and (c) the Indenture has been duly executed by the Company, and the Debt Securities have been duly executed by the Company and authenticated by the Trustee in accordance with the Indenture and delivered to the purchasers thereof against payment of the consideration therefor duly approved by the Board and in accordance with the applicable underwriting or other agreement, such Debt Securities (including any Debt Securities issuable upon exercise of Warrants or as a component of any Units) will constitute valid and legally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the Warrants, assuming (a) the taking of all necessary corporate action by the Board to authorize and approve the issuance and terms of the Warrants and the applicable Warrant Agreement, and the terms of the offering thereof and (b) the certificates representing the Warrants have been duly executed by the Company and countersigned by the applicable Warrant Agent in accordance with the applicable Warrant Agreement and delivered to the purchasers thereof against payment of the consideration therefor duly approved by the Board and in accordance with the applicable underwriting or other agreement, the Warrants (including any Warrants issuable as a component of any Units) will constitute valid and legally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 respect to the Rights, assuming (a) the taking of all necessary corporate action by the Board to authorize and approve the issuance and terms of any Rights and the applicable Rights Agreement and the terms of the offering thereof and (b) the certificates representing the Rights have been duly executed by the Company and countersigned by the applicable Rights Agent in accordance with the applicable Rights Agreement and delivered to the purchasers thereof against payment of the consideration therefor duly approved by the Board and in accordance with the applicable Rights Agreement, the Rights will constitute valid and legally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With respect to the Units, assuming (a) the taking of all necessary corporate action by the Board to authorize and approve the Unit Agreement and the issuance and delivery to the applicable Unit Agent of the Units, the issuance and terms of such Units and the terms of the offering thereof, (b) the certificates representing the Units have been duly executed by the Company and countersigned by the applicable Unit Agent in accordance with the applicable Unit Agreement and delivered to the purchasers thereof against payment of the consideration therefor duly approved by the Board and in accordance with the applicable underwriting or other agreement, the Units will constitute valid and legally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opinions set forth in paragraphs 1 through 6 above, we have assumed that, at or prior to the issuance of the Securities referred to therein: (a) the effectiveness of the Registration Statement shall not have been terminated or rescinded; (b) the terms of the applicable Securities Documents and the issuance and sale of such Securities do not and will not: (i) contravene the Certificate of Incorporation or Bylaws, (ii) violate any law, rule or regulation applicable to the Company, or (iii) result in any conflict with or breach of any agreement or document binding on the Company; (c) the applicable Securities Documents shall have been duly authorized, executed and delivered by the Company and the other parties thereto; and (d) no authorization, approval, consent or other action by, and no notice to or filing with, any governmental authority or regulatory body or any other third party is required for the due execution, delivery or performance by the Company of any of the Securities Documents to which the Company is a party or, if any such authorization, approval, consent, action, notice or filing is required, it has been duly obtained, taken, given or made and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in paragraphs 3 through 6 above are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the provisions of the Indenture relating to the separability of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are strictly limited to the federal laws of the United States of America, the General Corporation Law of the State of Delaware and, in the case of our opinions in paragraphs 3 through 6, the laws of the State of New York (including in each case the rules or regulations promulgated thereunder or pursuant thereto), that a New York lawyer exercising customary professional diligence would reasonably be expected to recognize as being applicable to the Company, the Securities Documents or the transactions governed by the Securities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Securities Act. This opinion letter is limited to the matters stated herein, and no opinion may be implied or inferred beyond the matters expressly stated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given as of the date hereof, and we assume no obligation to advise you after the date hereof of facts or circumstances that come to our attention or changes in the law, including judicial or administrative interpretations thereof, that occur which could affect the opinions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firm’s name therein and in the base prospectus under the heading “Legal Matters.” In giving this consent, we do not thereby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COZEN O’CONNOR</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28" w:type="dxa"/>
          <w:right w:w="0" w:type="dxa"/>
        </w:tblCellMar>
      </w:tblPr>
      <w:tblGrid>
        <w:gridCol w:w="1940"/>
        <w:gridCol w:w="60"/>
      </w:tblGrid>
      <w:tr>
        <w:trPr/>
        <w:tc>
          <w:tcPr>
            <w:tcW w:w="1940" w:type="dxa"/>
            <w:tcBorders>
              <w:bottom w:val="single" w:sz="8" w:space="0" w:color="000000"/>
            </w:tcBorders>
            <w:vAlign w:val="center"/>
          </w:tcPr>
          <w:p>
            <w:pPr>
              <w:pStyle w:val="TableContents"/>
              <w:bidi w:val="0"/>
              <w:spacing w:before="0" w:after="283"/>
              <w:ind w:left="0" w:right="0" w:hanging="200"/>
              <w:jc w:val="left"/>
              <w:rPr/>
            </w:pPr>
            <w:r>
              <w:rPr/>
              <w:t>/s/ Cozen O’Connor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2" w:name="tm2613239d1_ex23-2.htm"/>
      <w:bookmarkStart w:id="23" w:name="kstm2613239d1_ex232"/>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1920"/>
        <w:gridCol w:w="3095"/>
      </w:tblGrid>
      <w:tr>
        <w:trPr/>
        <w:tc>
          <w:tcPr>
            <w:tcW w:w="1920" w:type="dxa"/>
            <w:tcBorders/>
            <w:vAlign w:val="center"/>
          </w:tcPr>
          <w:p>
            <w:pPr>
              <w:pStyle w:val="TableContents"/>
              <w:bidi w:val="0"/>
              <w:spacing w:before="0" w:after="283"/>
              <w:jc w:val="left"/>
              <w:rPr/>
            </w:pPr>
            <w:r>
              <w:rPr/>
              <w:drawing>
                <wp:inline distT="0" distB="0" distL="0" distR="0">
                  <wp:extent cx="117157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1"/>
                          <a:stretch>
                            <a:fillRect/>
                          </a:stretch>
                        </pic:blipFill>
                        <pic:spPr bwMode="auto">
                          <a:xfrm>
                            <a:off x="0" y="0"/>
                            <a:ext cx="1171575" cy="542925"/>
                          </a:xfrm>
                          <a:prstGeom prst="rect">
                            <a:avLst/>
                          </a:prstGeom>
                        </pic:spPr>
                      </pic:pic>
                    </a:graphicData>
                  </a:graphic>
                </wp:inline>
              </w:drawing>
            </w:r>
            <w:r>
              <w:rPr/>
              <w:t> </w:t>
            </w:r>
          </w:p>
        </w:tc>
        <w:tc>
          <w:tcPr>
            <w:tcW w:w="3095" w:type="dxa"/>
            <w:tcBorders/>
            <w:vAlign w:val="center"/>
          </w:tcPr>
          <w:p>
            <w:pPr>
              <w:pStyle w:val="TableContents"/>
              <w:bidi w:val="0"/>
              <w:spacing w:before="0" w:after="283"/>
              <w:jc w:val="left"/>
              <w:rPr/>
            </w:pPr>
            <w:r>
              <w:rPr/>
              <w:t> </w:t>
            </w:r>
          </w:p>
        </w:tc>
      </w:tr>
      <w:tr>
        <w:trPr/>
        <w:tc>
          <w:tcPr>
            <w:tcW w:w="19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xml:space="preserve">KPMG LLP </w:t>
              <w:br/>
              <w:t>Suite 1050</w:t>
              <w:br/>
              <w:t>833 East Michigan Street</w:t>
              <w:br/>
              <w:t>Milwaukee, WI 53202-5337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February 27, 2026, with respect to the consolidated financial statements of Navitas Semiconductor Corporation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002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2"/>
                    <a:stretch>
                      <a:fillRect/>
                    </a:stretch>
                  </pic:blipFill>
                  <pic:spPr bwMode="auto">
                    <a:xfrm>
                      <a:off x="0" y="0"/>
                      <a:ext cx="1600200" cy="400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Milwaukee, Wisconsin</w:t>
        <w:br/>
        <w:t>May 11,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color w:val="7F7F7F"/>
              </w:rPr>
            </w:pPr>
            <w:r>
              <w:rPr>
                <w:color w:val="7F7F7F"/>
              </w:rPr>
              <w:t> </w:t>
            </w:r>
          </w:p>
        </w:tc>
        <w:tc>
          <w:tcPr>
            <w:tcW w:w="10055" w:type="dxa"/>
            <w:tcBorders/>
            <w:vAlign w:val="center"/>
          </w:tcPr>
          <w:p>
            <w:pPr>
              <w:pStyle w:val="TableContents"/>
              <w:bidi w:val="0"/>
              <w:spacing w:before="0" w:after="283"/>
              <w:jc w:val="left"/>
              <w:rPr>
                <w:sz w:val="16"/>
              </w:rPr>
            </w:pPr>
            <w:r>
              <w:rPr>
                <w:sz w:val="16"/>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3239d1_ex23-3.htm"/>
      <w:bookmarkStart w:id="25" w:name="kstm2613239d1_ex233"/>
      <w:bookmarkEnd w:id="24"/>
      <w:bookmarkEnd w:id="25"/>
      <w:r>
        <w:rPr/>
        <w:t> </w:t>
      </w:r>
      <w:r>
        <w:br w:type="page"/>
      </w:r>
    </w:p>
    <w:p>
      <w:pPr>
        <w:pStyle w:val="TextBody"/>
        <w:bidi w:val="0"/>
        <w:jc w:val="right"/>
        <w:rPr>
          <w:b/>
        </w:rPr>
      </w:pPr>
      <w:r>
        <w:rPr>
          <w:b/>
        </w:rPr>
        <w:t>Exhibit 23.3</w:t>
      </w:r>
    </w:p>
    <w:p>
      <w:pPr>
        <w:pStyle w:val="TextBody"/>
        <w:bidi w:val="0"/>
        <w:jc w:val="righ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Navitas Semiconductor Corporation (the “Company”) of our report dated March 19, 2025, relating to the consolidated financial statements of the Company as of December 31, 2024 and for the year then ended, appearing in the Annual Report on Form 10-K of the Company for the year ended December 31, 2025,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 w:name="tm2613239d1_exfilingfee.htm"/>
      <w:bookmarkStart w:id="27" w:name="kstm2613239d1_exfilingfee"/>
      <w:bookmarkStart w:id="28" w:name="tm2613239d1_exfilingfee.htm"/>
      <w:bookmarkStart w:id="29" w:name="kstm2613239d1_exfilingfee"/>
      <w:bookmarkEnd w:id="28"/>
      <w:bookmarkEnd w:id="29"/>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Navitas Semiconductor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$ 34,525.00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0" w:name="MaxAggtOfferingPrice"/>
            <w:bookmarkEnd w:id="30"/>
            <w:r>
              <w:rPr/>
              <w:t xml:space="preserve">$ 250,000,000.00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1" w:name="TotalFeeAmt"/>
            <w:bookmarkEnd w:id="31"/>
            <w:r>
              <w:rPr/>
              <w:t xml:space="preserve">$ 34,525.00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PreviouslyPaid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Offset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NetFeeAmt"/>
            <w:bookmarkEnd w:id="34"/>
            <w:r>
              <w:rPr/>
              <w:t xml:space="preserve">$ 34,525.00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In accordance with Rule 416 under the Securities Act of 1933, as amended (the "Securities Act"), this registration statement shall be deemed to cover an indeterminate number of additional shares of Common Stock to be offered or issued from stock splits, stock dividends or similar transaction. There is being registered hereby such indeterminate number of the securities of each identified class as may from time to time be issued at indeterminate prices. Securities registered hereunder may be sold separately, together or in units with other securities registered hereunder. The proposed maximum aggregate offering price has been estimated solely to calculate the registration fee in accordance with Rule 457(o) under the Securities Act.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21769/000182176926000007/nvts-20251231.htm" TargetMode="External"/><Relationship Id="rId4" Type="http://schemas.openxmlformats.org/officeDocument/2006/relationships/hyperlink" Target="https://www.sec.gov/ix?doc=/Archives/edgar/data/1821769/000110465926052971/nvts-20251231x10ka.htm" TargetMode="External"/><Relationship Id="rId5" Type="http://schemas.openxmlformats.org/officeDocument/2006/relationships/hyperlink" Target="https://www.sec.gov/ix?doc=/Archives/edgar/data/1821769/000162828026030524/nvts-20260331.htm" TargetMode="External"/><Relationship Id="rId6" Type="http://schemas.openxmlformats.org/officeDocument/2006/relationships/hyperlink" Target="https://www.sec.gov/ix?doc=/Archives/edgar/data/1821769/000182176926000003/i-20260224.htm" TargetMode="External"/><Relationship Id="rId7" Type="http://schemas.openxmlformats.org/officeDocument/2006/relationships/hyperlink" Target="https://www.sec.gov/ix?doc=/Archives/edgar/data/1821769/000110465926019220/tm267059d1_8k.htm" TargetMode="External"/><Relationship Id="rId8" Type="http://schemas.openxmlformats.org/officeDocument/2006/relationships/hyperlink" Target="https://www.sec.gov/ix?doc=/Archives/edgar/data/1821769/000110465926026385/tm268482d1_8k.htm" TargetMode="External"/><Relationship Id="rId9" Type="http://schemas.openxmlformats.org/officeDocument/2006/relationships/hyperlink" Target="https://www.sec.gov/ix?doc=/Archives/edgar/data/1821769/000110465926029469/tm269070d1_8k.htm" TargetMode="External"/><Relationship Id="rId10" Type="http://schemas.openxmlformats.org/officeDocument/2006/relationships/hyperlink" Target="https://www.sec.gov/ix?doc=/Archives/edgar/data/1821769/000110465926042619/tm2611717d1_8k.htm" TargetMode="External"/><Relationship Id="rId11" Type="http://schemas.openxmlformats.org/officeDocument/2006/relationships/hyperlink" Target="https://www.sec.gov/ix?doc=/Archives/edgar/data/1821769/000110465926054482/tm2613278d1_8k.htm" TargetMode="External"/><Relationship Id="rId12" Type="http://schemas.openxmlformats.org/officeDocument/2006/relationships/hyperlink" Target="http://www.sec.gov/ix?doc=/Archives/edgar/data/1821769/000110465926055620/tm2613492d1_8k.htm" TargetMode="External"/><Relationship Id="rId13" Type="http://schemas.openxmlformats.org/officeDocument/2006/relationships/hyperlink" Target="https://www.sec.gov/Archives/edgar/data/1821769/000119312521301974/d242787d8a12b.htm" TargetMode="External"/><Relationship Id="rId14" Type="http://schemas.openxmlformats.org/officeDocument/2006/relationships/hyperlink" Target="http://www.sec.gov/Archives/edgar/data/1821769/000182176924000024/exhibit41-descriptionofsec.htm" TargetMode="External"/><Relationship Id="rId15" Type="http://schemas.openxmlformats.org/officeDocument/2006/relationships/hyperlink" Target="https://www.sec.gov/ix?doc=/Archives/edgar/data/1821769/000182176926000007/nvts-20251231.htm" TargetMode="External"/><Relationship Id="rId16" Type="http://schemas.openxmlformats.org/officeDocument/2006/relationships/hyperlink" Target="https://www.sec.gov/ix?doc=/Archives/edgar/data/1821769/000182176926000007/nvts-20251231.htm" TargetMode="External"/><Relationship Id="rId17" Type="http://schemas.openxmlformats.org/officeDocument/2006/relationships/image" Target="media/image1.jpeg"/><Relationship Id="rId18" Type="http://schemas.openxmlformats.org/officeDocument/2006/relationships/hyperlink" Target="https://www.sec.gov/Archives/edgar/data/1821769/000119312521306726/d225525dex31.htm" TargetMode="External"/><Relationship Id="rId19" Type="http://schemas.openxmlformats.org/officeDocument/2006/relationships/hyperlink" Target="https://www.sec.gov/Archives/edgar/data/1821769/000119312521306726/d225525dex31.htm" TargetMode="External"/><Relationship Id="rId20" Type="http://schemas.openxmlformats.org/officeDocument/2006/relationships/hyperlink" Target="https://www.sec.gov/Archives/edgar/data/1821769/000119312521306726/d225525dex31.htm" TargetMode="External"/><Relationship Id="rId21" Type="http://schemas.openxmlformats.org/officeDocument/2006/relationships/hyperlink" Target="https://www.sec.gov/Archives/edgar/data/1821769/000119312521306726/d225525dex31.htm" TargetMode="External"/><Relationship Id="rId22" Type="http://schemas.openxmlformats.org/officeDocument/2006/relationships/hyperlink" Target="https://www.sec.gov/Archives/edgar/data/1821769/000119312521306726/d225525dex31.htm" TargetMode="External"/><Relationship Id="rId23" Type="http://schemas.openxmlformats.org/officeDocument/2006/relationships/hyperlink" Target="https://www.sec.gov/Archives/edgar/data/1821769/000119312521306726/d225525dex31.htm" TargetMode="External"/><Relationship Id="rId24" Type="http://schemas.openxmlformats.org/officeDocument/2006/relationships/hyperlink" Target="https://www.sec.gov/Archives/edgar/data/1821769/000182176925000049/a20250408-arbylawsasamende.htm" TargetMode="External"/><Relationship Id="rId25" Type="http://schemas.openxmlformats.org/officeDocument/2006/relationships/hyperlink" Target="https://www.sec.gov/Archives/edgar/data/1821769/000182176925000049/a20250408-arbylawsasamende.htm" TargetMode="External"/><Relationship Id="rId26" Type="http://schemas.openxmlformats.org/officeDocument/2006/relationships/hyperlink" Target="https://www.sec.gov/Archives/edgar/data/1821769/000182176925000049/a20250408-arbylawsasamende.htm" TargetMode="External"/><Relationship Id="rId27" Type="http://schemas.openxmlformats.org/officeDocument/2006/relationships/hyperlink" Target="https://www.sec.gov/Archives/edgar/data/1821769/000182176925000049/a20250408-arbylawsasamende.htm" TargetMode="External"/><Relationship Id="rId28" Type="http://schemas.openxmlformats.org/officeDocument/2006/relationships/hyperlink" Target="https://www.sec.gov/Archives/edgar/data/1821769/000182176925000049/a20250408-arbylawsasamende.htm" TargetMode="External"/><Relationship Id="rId29" Type="http://schemas.openxmlformats.org/officeDocument/2006/relationships/hyperlink" Target="https://www.sec.gov/Archives/edgar/data/1821769/000182176925000049/a20250408-arbylawsasamende.htm" TargetMode="External"/><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50671</Words>
  <Characters>260984</Characters>
  <CharactersWithSpaces>311456</CharactersWithSpaces>
  <Paragraphs>3751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