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59-6_4seq1.xml.htm"/>
      <w:bookmarkStart w:id="1" w:name="kstm2624059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Wunderlich Gary Kent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S. MAIN STREET, #2550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Navitas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NVTS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618"/>
        <w:gridCol w:w="1282"/>
        <w:gridCol w:w="999"/>
        <w:gridCol w:w="9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2,375,060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Live Oak Sponsor Partners II,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underlying an annual award of restricted stock units ("RSUs") granted for the 2026-2027 board term under the issuer's non-employee director compensation program and the Navitas Semiconductor Corporation 2021 Equity Incentive Plan (the "Plan"). Each RSU represents the reporting person's right to receive one share of Class A Common Stock of the issuer following the vesting date in accordance with the Plan and subject to applicable issuer policies. The RSUs will vest in full on June 25,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a managing member of Live Oak Sponsor Partners II, LLC.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Sant,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974" TargetMode="External"/><Relationship Id="rId5" Type="http://schemas.openxmlformats.org/officeDocument/2006/relationships/hyperlink" Target="http://www.sec.gov/cgi-bin/browse-edgar?action=getcompany&amp;CIK=0001821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690</Words>
  <Characters>3742</Characters>
  <CharactersWithSpaces>4361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