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LEE DAVIN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286" w:lineRule="auto"/>
        <w:rPr>
          <w:sz w:val="20"/>
          <w:szCs w:val="20"/>
          <w:color w:val="auto"/>
        </w:rPr>
      </w:pPr>
      <w:r>
        <w:rPr>
          <w:rFonts w:ascii="Times New Roman" w:cs="Times New Roman" w:eastAsia="Times New Roman" w:hAnsi="Times New Roman"/>
          <w:sz w:val="17"/>
          <w:szCs w:val="17"/>
          <w:color w:val="0000FF"/>
        </w:rPr>
        <w:t>C/O NAVITAS SEMICONDUCTOR 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Navitas Semiconductor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NVTS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3" w:lineRule="exact"/>
        <w:rPr>
          <w:sz w:val="24"/>
          <w:szCs w:val="24"/>
          <w:color w:val="auto"/>
        </w:rPr>
      </w:pPr>
    </w:p>
    <w:p>
      <w:pPr>
        <w:sectPr>
          <w:pgSz w:w="11900" w:h="16838" w:orient="portrait"/>
          <w:cols w:equalWidth="0" w:num="3">
            <w:col w:w="3200" w:space="720"/>
            <w:col w:w="3220" w:space="59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3520 CHALLENGER STREET</w:t>
            </w: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40" w:type="dxa"/>
            <w:vAlign w:val="bottom"/>
            <w:tcBorders>
              <w:top w:val="single" w:sz="8" w:color="2C2C2C"/>
            </w:tcBorders>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80" w:type="dxa"/>
            <w:vAlign w:val="bottom"/>
            <w:tcBorders>
              <w:top w:val="single" w:sz="8" w:color="2C2C2C"/>
            </w:tcBorders>
            <w:gridSpan w:val="7"/>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TORRANCE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90503-1640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3,430</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3,430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grant of restricted stock units (RSUs) scheduled to vest in full on June 9, 2026. RSU vesting results in the delivery of one share of issuer common stock per vested RSU following the vesting date, before sales of settled shares (or, alternatively, the withholding of shares subject to settlement) in respect of withholding taxes incurred by the reporting person upon settlement, if applicable, and subject to the issuer's equity incentive plan and applicable policies.</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Matthew Sant, attorney-in-  </w:t>
      </w:r>
      <w:r>
        <w:rPr>
          <w:rFonts w:ascii="Times New Roman" w:cs="Times New Roman" w:eastAsia="Times New Roman" w:hAnsi="Times New Roman"/>
          <w:sz w:val="33"/>
          <w:szCs w:val="33"/>
          <w:color w:val="0000FF"/>
          <w:vertAlign w:val="subscript"/>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76914" TargetMode="External"/><Relationship Id="rId14" Type="http://schemas.openxmlformats.org/officeDocument/2006/relationships/hyperlink" Target="http://www.sec.gov/cgi-bin/browse-edgar?action=getcompany&amp;CIK=0001821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2026-05-04T18:09:50Z</dcterms:created>
  <dcterms:modified xsi:type="dcterms:W3CDTF">2026-05-04T18:09:50Z</dcterms:modified>
</cp:coreProperties>
</file>