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728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7283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89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Wunderlich Gary Kent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 S. MAIN STREET, #2550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Navitas Semiconductor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NVTS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12/10/2025</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220" w:space="595"/>
            <w:col w:w="3265"/>
          </w:cols>
          <w:pgMar w:left="460" w:top="219" w:right="439" w:bottom="899"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MEMPHIS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38103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080"/>
          </w:cols>
          <w:pgMar w:left="460" w:top="219" w:right="439" w:bottom="899"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12/10/2025</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78,649</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jc w:val="center"/>
              <w:ind w:right="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136,615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4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12/11/2025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49,651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9.31</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86,964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Live</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Oak</w:t>
            </w:r>
          </w:p>
        </w:tc>
        <w:tc>
          <w:tcPr>
            <w:tcW w:w="0" w:type="dxa"/>
            <w:vAlign w:val="bottom"/>
          </w:tcPr>
          <w:p>
            <w:pPr>
              <w:spacing w:after="0"/>
              <w:rPr>
                <w:sz w:val="1"/>
                <w:szCs w:val="1"/>
                <w:color w:val="auto"/>
              </w:rPr>
            </w:pPr>
          </w:p>
        </w:tc>
      </w:tr>
      <w:tr>
        <w:trPr>
          <w:trHeight w:val="233"/>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jc w:val="center"/>
              <w:spacing w:after="0" w:line="233" w:lineRule="exact"/>
              <w:rPr>
                <w:sz w:val="20"/>
                <w:szCs w:val="20"/>
                <w:color w:val="auto"/>
              </w:rPr>
            </w:pPr>
            <w:r>
              <w:rPr>
                <w:rFonts w:ascii="Times New Roman" w:cs="Times New Roman" w:eastAsia="Times New Roman" w:hAnsi="Times New Roman"/>
                <w:sz w:val="17"/>
                <w:szCs w:val="17"/>
                <w:color w:val="0000FF"/>
                <w:w w:val="96"/>
              </w:rPr>
              <w:t>1,263,000</w:t>
            </w:r>
            <w:r>
              <w:rPr>
                <w:rFonts w:ascii="Times New Roman" w:cs="Times New Roman" w:eastAsia="Times New Roman" w:hAnsi="Times New Roman"/>
                <w:sz w:val="22"/>
                <w:szCs w:val="22"/>
                <w:color w:val="008000"/>
                <w:w w:val="96"/>
                <w:vertAlign w:val="superscript"/>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Sponsor</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Partners</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II,</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were sold in multiple trades at prices ranging from $9.300 to $9.325, inclusive. The price reported above reflects the weighted average sale price. The reporting person undertakes to provide to the issuer, any security holder of the issuer, or the staff of the Securities and Exchange Commission, upon request,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or about October 19, 2024, Live Oak Sponsor Partners II, LLC ("Live Oak Sponsor") transferred an aggregate of 1,684,000 shares of the Issuer's common stock to its members, including the transfers described in footnotes 4 and 6, which transfers were not reportable under Section 16 of the Securities Exchange Act of 1934.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member of Live Oak Sponsor. The reporting person disclaims beneficial ownership of the reported securities except to the extent of his pecuniary interest therein.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Rachel Roepke,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12/12/2025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8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09974" TargetMode="External"/><Relationship Id="rId14" Type="http://schemas.openxmlformats.org/officeDocument/2006/relationships/hyperlink" Target="http://www.sec.gov/cgi-bin/browse-edgar?action=getcompany&amp;CIK=0001821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2025-12-12T20:16:43Z</dcterms:created>
  <dcterms:modified xsi:type="dcterms:W3CDTF">2025-12-12T20:16:43Z</dcterms:modified>
</cp:coreProperties>
</file>