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9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333-261323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6, 2021)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Navitas Semiconductor Corporation</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87,007,757 Shares of Class A Common Stock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4,741,667 Warrants</w:t>
      </w:r>
    </w:p>
    <w:p>
      <w:pPr>
        <w:spacing w:after="0" w:line="200" w:lineRule="exact"/>
        <w:rPr>
          <w:sz w:val="24"/>
          <w:szCs w:val="24"/>
          <w:color w:val="auto"/>
        </w:rPr>
      </w:pPr>
    </w:p>
    <w:p>
      <w:pPr>
        <w:spacing w:after="0" w:line="249"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This prospectus supplement no. 6 amends and supplements the prospectus dated December 6, 2021, as supplemented by Prospectus Supplement No. 1, dated February 1, 2022, Prospectus Supplement No. 2, dated February 4, 2022, Prospectus Supplement No. 3, dated February 22, 2022, Prospectus Supplement No. 4, dated March 31, 2022, and Prospectus Supplement No. 5, dated May 2, 2022 (the “Prospectus”), which forms a part of our registration statement on Form S-1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261323). This prospectus supplement is being filed to update and supplement the information in the Prospectus with the information contained in our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March 31, 2022, which we filed with the U.S. Securities and Exchange Commission (the “SEC”) on May 16, 2022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Accordingly, we have attached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to this prospectus supplement.</w:t>
      </w:r>
    </w:p>
    <w:p>
      <w:pPr>
        <w:spacing w:after="0" w:line="20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Prospectus and this prospectus supplement relate to: (1) the issuance by us of up to 13,100,000 shares of Class A Common Stock, par value $0.0001 per share (the “Common Stock”), that may be issued upon exercise of warrants to purchase Common Stock at an exercise price of $11.50 per share of Common Stock, including the Public Warrants and the Private Placement Warrants (each as defined in the Prospectus); and (2) the offer and sale, from time to time, by the selling securityholders identified in the Prospectus, or their permitted transferees, of (i) up to 87,007,757 shares of Common Stock, (ii) up to 4,666,667 Private Placement Warrants and (iii) up to 75,000 Public Warrants held by certain of our directors and their affiliates.</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Stock Market LLC under the symbol “NVTS.” On May 13, 2022, the last reported sales price of the Common Stock was $6.67 per share. We are an “emerging growth company” as defined under the U.S. federal securities laws and, as such, may elect to comply with certain reduced public company reporting requirements for this and future filings.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7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section entitled “Risk Factors” beginning on page 6 of, and elsewhere in, the Prospectus.</w:t>
      </w:r>
    </w:p>
    <w:p>
      <w:pPr>
        <w:spacing w:after="0" w:line="18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or sold under the Prospectus or determined if the Prospectus or this prospectus supplement is truthful or complete. Any representation to the contrary is a criminal offense.</w:t>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6737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07"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2022</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240"/>
          </w:cols>
          <w:pgMar w:left="320" w:top="1440" w:right="339" w:bottom="0" w:gutter="0" w:footer="0" w:header="0"/>
        </w:sectPr>
      </w:pPr>
    </w:p>
    <w:p>
      <w:pPr>
        <w:spacing w:after="0" w:line="212" w:lineRule="exact"/>
        <w:rPr>
          <w:sz w:val="24"/>
          <w:szCs w:val="24"/>
          <w:color w:val="auto"/>
        </w:rPr>
      </w:pPr>
    </w:p>
    <w:p>
      <w:pPr>
        <w:ind w:left="460" w:right="28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0" w:gutter="0" w:footer="0" w:header="0"/>
          <w:type w:val="continuous"/>
        </w:sectPr>
      </w:pPr>
    </w:p>
    <w:bookmarkStart w:id="1" w:name="page2"/>
    <w:bookmarkEnd w:id="1"/>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Navitas Semiconductor Corporation</w:t>
      </w:r>
    </w:p>
    <w:p>
      <w:pPr>
        <w:sectPr>
          <w:pgSz w:w="11900" w:h="16838" w:orient="portrait"/>
          <w:cols w:equalWidth="0" w:num="1">
            <w:col w:w="11260"/>
          </w:cols>
          <w:pgMar w:left="320" w:top="121" w:right="319" w:bottom="0" w:gutter="0" w:footer="0" w:header="0"/>
        </w:sectPr>
      </w:pPr>
    </w:p>
    <w:p>
      <w:pPr>
        <w:spacing w:after="0" w:line="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2101 E. El Segundo Blvd., Suite 205</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El Segundo, California</w:t>
      </w:r>
    </w:p>
    <w:p>
      <w:pPr>
        <w:spacing w:after="0" w:line="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89"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8"/>
          <w:szCs w:val="18"/>
          <w:b w:val="1"/>
          <w:bCs w:val="1"/>
          <w:color w:val="auto"/>
        </w:rPr>
        <w:t>(844) 654-2642</w:t>
      </w:r>
    </w:p>
    <w:p>
      <w:pPr>
        <w:spacing w:after="0" w:line="31"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85-2560226</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59"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90245</w:t>
      </w:r>
    </w:p>
    <w:p>
      <w:pPr>
        <w:spacing w:after="0" w:line="189"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1289" w:lineRule="exact"/>
        <w:rPr>
          <w:sz w:val="20"/>
          <w:szCs w:val="20"/>
          <w:color w:val="auto"/>
        </w:rPr>
      </w:pPr>
    </w:p>
    <w:p>
      <w:pPr>
        <w:sectPr>
          <w:pgSz w:w="11900" w:h="16838" w:orient="portrait"/>
          <w:cols w:equalWidth="0" w:num="2">
            <w:col w:w="7480" w:space="260"/>
            <w:col w:w="3520"/>
          </w:cols>
          <w:pgMar w:left="320" w:top="121" w:right="319" w:bottom="0" w:gutter="0" w:footer="0" w:header="0"/>
          <w:type w:val="continuous"/>
        </w:sectPr>
      </w:pPr>
    </w:p>
    <w:tbl>
      <w:tblPr>
        <w:tblLayout w:type="fixed"/>
        <w:tblInd w:w="10" w:type="dxa"/>
        <w:tblCellMar>
          <w:top w:w="0" w:type="dxa"/>
          <w:left w:w="0" w:type="dxa"/>
          <w:bottom w:w="0" w:type="dxa"/>
          <w:right w:w="0" w:type="dxa"/>
        </w:tblCellMar>
      </w:tblPr>
      <w:tr>
        <w:trPr>
          <w:trHeight w:val="248"/>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246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0"/>
          <w:szCs w:val="20"/>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5" w:lineRule="exact"/>
        <w:rPr>
          <w:sz w:val="20"/>
          <w:szCs w:val="20"/>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2" w:lineRule="exact"/>
        <w:rPr>
          <w:sz w:val="20"/>
          <w:szCs w:val="20"/>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jc w:val="right"/>
        <w:ind w:righ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123,691,233 shares of Class A Common Stock and 0 shares of Class B Common Stock were outstanding at 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All statements other than statements of historical facts contained in this quarterly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risks and uncertainties that could cause actual results to differ materially from those in the forward-looking statements, including risks and uncertainties relating to:</w:t>
      </w:r>
    </w:p>
    <w:p>
      <w:pPr>
        <w:spacing w:after="0" w:line="7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financial and business performance;</w:t>
      </w:r>
    </w:p>
    <w:p>
      <w:pPr>
        <w:spacing w:after="0" w:line="6" w:lineRule="exact"/>
        <w:rPr>
          <w:rFonts w:ascii="Arial" w:cs="Arial" w:eastAsia="Arial" w:hAnsi="Arial"/>
          <w:sz w:val="20"/>
          <w:szCs w:val="20"/>
          <w:color w:val="auto"/>
        </w:rPr>
      </w:pPr>
    </w:p>
    <w:p>
      <w:pPr>
        <w:ind w:left="660" w:right="20" w:hanging="328"/>
        <w:spacing w:after="0" w:line="221"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realize the benefits of the Business Combination, which may be affected by, among other things, competition and our ability to grow and manage growth profitably;</w:t>
      </w:r>
    </w:p>
    <w:p>
      <w:pPr>
        <w:ind w:left="640" w:hanging="308"/>
        <w:spacing w:after="0" w:line="213" w:lineRule="auto"/>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product development timeline and expected start of production;</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scale in a cost-effective manner;</w:t>
      </w:r>
    </w:p>
    <w:p>
      <w:pPr>
        <w:sectPr>
          <w:pgSz w:w="11900" w:h="16838" w:orient="portrait"/>
          <w:cols w:equalWidth="0" w:num="1">
            <w:col w:w="11260"/>
          </w:cols>
          <w:pgMar w:left="320" w:top="121" w:right="319" w:bottom="0" w:gutter="0" w:footer="0" w:header="0"/>
          <w:type w:val="continuous"/>
        </w:sectPr>
      </w:pPr>
    </w:p>
    <w:bookmarkStart w:id="2" w:name="page3"/>
    <w:bookmarkEnd w:id="2"/>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developments relating to our competitors and industry;</w:t>
      </w:r>
    </w:p>
    <w:p>
      <w:pPr>
        <w:spacing w:after="0" w:line="6"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impact of health epidemics, including the Covid-19 pandemic, on our business and the actions we may take in response thereto;</w:t>
      </w:r>
    </w:p>
    <w:p>
      <w:pPr>
        <w:ind w:left="640" w:hanging="308"/>
        <w:spacing w:after="0" w:line="223"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obtain and maintain intellectual property protection, and not infringe on the rights of the intellectual property rights others;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status as an emerging growth company (as defined by U.S. federal law);</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future capital requirements and sources and uses of cash;</w:t>
      </w:r>
    </w:p>
    <w:p>
      <w:pPr>
        <w:ind w:left="640" w:hanging="308"/>
        <w:spacing w:after="0" w:line="223"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obtain funding for our operations;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business, expansion plans and opportunities;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outcome of any known and unknown litigation and regulatory proceedings; and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risks and uncertainties described in the summary below, and in our annual report on Form 10-K in the section titled “Risk Factors.”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quarterly report may not prove to be accurate.</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in this quarterly report, whether as a result of any new information, future events, changed circumstances or otherwise. You should read this quarterly report completely, and with the understanding that our actual future results may be materially different from what we expect. We qualify all of our forward-looking statements by these cautionary statements.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Please see the Summary of Risk Factors below and the more detailed discussion in Part I, Item 1A (Risk Factors) of our annual report on Form 10-K for the year ended December 31, 2021, filed with the SEC on March 31, 2022, for additional information about many of the risks we are exposed to in the normal course of our business.</w:t>
      </w:r>
    </w:p>
    <w:p>
      <w:pPr>
        <w:sectPr>
          <w:pgSz w:w="11900" w:h="16838" w:orient="portrait"/>
          <w:cols w:equalWidth="0" w:num="1">
            <w:col w:w="11240"/>
          </w:cols>
          <w:pgMar w:left="320" w:top="121"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our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foregoing, we are exposed to a variety of risks, including risks associated with the following: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54"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end customers to design our products into their product offerings.</w:t>
      </w:r>
    </w:p>
    <w:p>
      <w:pPr>
        <w:jc w:val="both"/>
        <w:ind w:left="660" w:hanging="328"/>
        <w:spacing w:after="0" w:line="23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been successful in introducing our leading-edge GaN power IC technology in mobile charging applications, such as wall chargers and adapters for mobile phones and laptop computers,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spacing w:after="0" w:line="2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14" w:lineRule="exact"/>
        <w:rPr>
          <w:rFonts w:ascii="Times New Roman" w:cs="Times New Roman" w:eastAsia="Times New Roman" w:hAnsi="Times New Roman"/>
          <w:sz w:val="18"/>
          <w:szCs w:val="18"/>
          <w:color w:val="auto"/>
        </w:rPr>
      </w:pPr>
    </w:p>
    <w:p>
      <w:pPr>
        <w:ind w:left="660" w:hanging="328"/>
        <w:spacing w:after="0" w:line="26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14" w:lineRule="exact"/>
        <w:rPr>
          <w:rFonts w:ascii="Times New Roman" w:cs="Times New Roman" w:eastAsia="Times New Roman" w:hAnsi="Times New Roman"/>
          <w:sz w:val="18"/>
          <w:szCs w:val="18"/>
          <w:i w:val="1"/>
          <w:iCs w:val="1"/>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mergers, acquisitions, investments and joint ventures, which could divert our management’s attention or otherwise disrupt our operations and adversely affect our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Tax-Related Risks</w:t>
      </w:r>
    </w:p>
    <w:p>
      <w:pPr>
        <w:spacing w:after="0" w:line="40"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ectPr>
          <w:pgSz w:w="11900" w:h="16838" w:orient="portrait"/>
          <w:cols w:equalWidth="0" w:num="1">
            <w:col w:w="11240"/>
          </w:cols>
          <w:pgMar w:left="320" w:top="1440" w:right="339" w:bottom="1440" w:gutter="0" w:footer="0" w:header="0"/>
        </w:sectPr>
      </w:pPr>
    </w:p>
    <w:bookmarkStart w:id="4" w:name="page5"/>
    <w:bookmarkEnd w:id="4"/>
    <w:p>
      <w:pPr>
        <w:spacing w:after="0" w:line="342" w:lineRule="exact"/>
        <w:rPr>
          <w:sz w:val="20"/>
          <w:szCs w:val="20"/>
          <w:color w:val="auto"/>
        </w:rPr>
      </w:pPr>
    </w:p>
    <w:p>
      <w:pPr>
        <w:jc w:val="both"/>
        <w:ind w:left="660" w:hanging="328"/>
        <w:spacing w:after="0" w:line="24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1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to the purchase price of the assets that were transferred pursuant to the restructuring of Legacy Navitas in 2020 could adversely impact our tax position.</w:t>
      </w:r>
    </w:p>
    <w:p>
      <w:pPr>
        <w:jc w:val="both"/>
        <w:ind w:left="660" w:hanging="328"/>
        <w:spacing w:after="0" w:line="24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and other tax attributes may be limited in connection with the Business Combination or other ownership changes.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54" w:lineRule="exact"/>
        <w:rPr>
          <w:sz w:val="20"/>
          <w:szCs w:val="20"/>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patents and the legal protection afforded by any additional patents may not adequately cover the full scope of our business or permit us to gain or keep competitive advantage.</w:t>
      </w: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misappropriate, or are accused of infringing or misappropriating, the intellectual property rights of third parties, we may incur substantial costs or be prevented from being able to commercialize new products.</w:t>
      </w: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and introduce new products in a timely manner is dependent upon third-party IP, including third party and “open source” software.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54" w:lineRule="exact"/>
        <w:rPr>
          <w:sz w:val="20"/>
          <w:szCs w:val="20"/>
          <w:color w:val="auto"/>
        </w:rPr>
      </w:pPr>
    </w:p>
    <w:p>
      <w:pPr>
        <w:ind w:left="66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among existing executive officers, directors and their affiliates, including the investment funds they represent, may prevent new investors from influencing significant corporate decisions.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resales of our Class A Common Stock, including following the expiration of lock-up periods related to the Business Combination, may cause the market price of our securities to drop significantly, even if our business is doing well.</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analysts do not publish research or reports about our business or if they downgrade our stock or our sector, our stock price and trading volume could decline.</w:t>
      </w:r>
    </w:p>
    <w:p>
      <w:pPr>
        <w:ind w:left="66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capital stock in connection with financings, acquisitions, investments, our stock incentive plans or otherwise by us could dilute the ownership and voting power of our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 substantial number of additional shares under our employee equity incentive plans.</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u w:val="single" w:color="auto"/>
          <w:color w:val="0E32E1"/>
        </w:rPr>
        <w:t>Part I - Financial Information</w:t>
      </w:r>
    </w:p>
    <w:p>
      <w:pPr>
        <w:spacing w:after="0" w:line="200" w:lineRule="exact"/>
        <w:rPr>
          <w:sz w:val="20"/>
          <w:szCs w:val="20"/>
          <w:color w:val="auto"/>
        </w:rPr>
      </w:pPr>
    </w:p>
    <w:p>
      <w:pPr>
        <w:spacing w:after="0" w:line="3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 (unaudited)</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March 31, 2022 and December 31, 2021</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months ended March 31, 2022 and March 31, 2021</w:t>
      </w:r>
    </w:p>
    <w:p>
      <w:pPr>
        <w:spacing w:after="0" w:line="23" w:lineRule="exact"/>
        <w:rPr>
          <w:sz w:val="20"/>
          <w:szCs w:val="20"/>
          <w:color w:val="auto"/>
        </w:rPr>
      </w:pPr>
    </w:p>
    <w:p>
      <w:pPr>
        <w:ind w:left="1140" w:right="80"/>
        <w:spacing w:after="0" w:line="234"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(Loss) for the three months ended March 31, 2022 and March 31, 2021</w:t>
      </w:r>
    </w:p>
    <w:p>
      <w:pPr>
        <w:spacing w:after="0" w:line="10" w:lineRule="exact"/>
        <w:rPr>
          <w:sz w:val="20"/>
          <w:szCs w:val="20"/>
          <w:color w:val="auto"/>
        </w:rPr>
      </w:pPr>
    </w:p>
    <w:p>
      <w:pPr>
        <w:ind w:left="114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for the three months ended March 31, 2022 and March 31, 2021</w:t>
      </w:r>
    </w:p>
    <w:p>
      <w:pPr>
        <w:spacing w:after="0" w:line="10" w:lineRule="exact"/>
        <w:rPr>
          <w:sz w:val="20"/>
          <w:szCs w:val="20"/>
          <w:color w:val="auto"/>
        </w:rPr>
      </w:pPr>
    </w:p>
    <w:p>
      <w:pPr>
        <w:ind w:left="1140" w:right="340"/>
        <w:spacing w:after="0" w:line="268" w:lineRule="auto"/>
        <w:rPr>
          <w:sz w:val="20"/>
          <w:szCs w:val="20"/>
          <w:color w:val="auto"/>
        </w:rPr>
      </w:pPr>
      <w:r>
        <w:rPr>
          <w:rFonts w:ascii="Times New Roman" w:cs="Times New Roman" w:eastAsia="Times New Roman" w:hAnsi="Times New Roman"/>
          <w:sz w:val="18"/>
          <w:szCs w:val="18"/>
          <w:u w:val="single" w:color="auto"/>
          <w:color w:val="0000FF"/>
        </w:rPr>
        <w:t xml:space="preserve">Condensed Consolidated Statements of Cash Flow for the three months ended March 31, 2022 and March 31, 2021 </w:t>
      </w:r>
      <w:r>
        <w:rPr>
          <w:rFonts w:ascii="Times New Roman" w:cs="Times New Roman" w:eastAsia="Times New Roman" w:hAnsi="Times New Roman"/>
          <w:sz w:val="18"/>
          <w:szCs w:val="18"/>
          <w:u w:val="single" w:color="auto"/>
          <w:color w:val="0E32E1"/>
        </w:rPr>
        <w:t>Condensed Notes to Consolidated Financial Statements</w:t>
      </w:r>
    </w:p>
    <w:p>
      <w:pPr>
        <w:spacing w:after="0" w:line="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Conditions and Operating Results</w:t>
      </w:r>
    </w:p>
    <w:p>
      <w:pPr>
        <w:spacing w:after="0" w:line="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 and Procedures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vMerge w:val="continue"/>
          </w:tcPr>
          <w:p>
            <w:pPr>
              <w:spacing w:after="0"/>
              <w:rPr>
                <w:sz w:val="21"/>
                <w:szCs w:val="21"/>
                <w:color w:val="auto"/>
              </w:rPr>
            </w:pPr>
          </w:p>
        </w:tc>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3"/>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0" w:type="dxa"/>
            <w:vAlign w:val="bottom"/>
          </w:tcPr>
          <w:p>
            <w:pPr>
              <w:spacing w:after="0"/>
              <w:rPr>
                <w:sz w:val="1"/>
                <w:szCs w:val="1"/>
                <w:color w:val="auto"/>
              </w:rPr>
            </w:pPr>
          </w:p>
        </w:tc>
      </w:tr>
      <w:tr>
        <w:trPr>
          <w:trHeight w:val="50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9"/>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24765</wp:posOffset>
            </wp:positionV>
            <wp:extent cx="728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5</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5</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7</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9</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9</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25</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34</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35</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35</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37</w:t>
      </w:r>
    </w:p>
    <w:p>
      <w:pPr>
        <w:sectPr>
          <w:pgSz w:w="11900" w:h="16838" w:orient="portrait"/>
          <w:cols w:equalWidth="0" w:num="2">
            <w:col w:w="9780" w:space="700"/>
            <w:col w:w="340"/>
          </w:cols>
          <w:pgMar w:left="340" w:top="1440" w:right="7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par value amounts)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8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268,252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0" w:type="dxa"/>
            <w:vAlign w:val="bottom"/>
          </w:tcPr>
          <w:p>
            <w:pPr>
              <w:spacing w:after="0"/>
              <w:rPr>
                <w:sz w:val="1"/>
                <w:szCs w:val="1"/>
                <w:color w:val="auto"/>
              </w:rPr>
            </w:pPr>
          </w:p>
        </w:tc>
      </w:tr>
      <w:tr>
        <w:trPr>
          <w:trHeight w:val="207"/>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291,370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0" w:type="dxa"/>
            <w:vAlign w:val="bottom"/>
          </w:tcPr>
          <w:p>
            <w:pPr>
              <w:spacing w:after="0"/>
              <w:rPr>
                <w:sz w:val="1"/>
                <w:szCs w:val="1"/>
                <w:color w:val="auto"/>
              </w:rPr>
            </w:pPr>
          </w:p>
        </w:tc>
      </w:tr>
      <w:tr>
        <w:trPr>
          <w:trHeight w:val="212"/>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295,601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0" w:type="dxa"/>
            <w:vAlign w:val="bottom"/>
          </w:tcPr>
          <w:p>
            <w:pPr>
              <w:spacing w:after="0"/>
              <w:rPr>
                <w:sz w:val="1"/>
                <w:szCs w:val="1"/>
                <w:color w:val="auto"/>
              </w:rPr>
            </w:pPr>
          </w:p>
        </w:tc>
      </w:tr>
      <w:tr>
        <w:trPr>
          <w:trHeight w:val="207"/>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81,388</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134,173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7"/>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230,065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680"/>
              <w:spacing w:after="0" w:line="165" w:lineRule="exact"/>
              <w:rPr>
                <w:sz w:val="20"/>
                <w:szCs w:val="20"/>
                <w:color w:val="auto"/>
              </w:rPr>
            </w:pPr>
            <w:r>
              <w:rPr>
                <w:rFonts w:ascii="Times New Roman" w:cs="Times New Roman" w:eastAsia="Times New Roman" w:hAnsi="Times New Roman"/>
                <w:sz w:val="16"/>
                <w:szCs w:val="16"/>
                <w:color w:val="auto"/>
              </w:rPr>
              <w:t>Common stock, $0.0001 par value, 740,000,000 shares authorized as of March 31, 2022 and December 31, 2021,</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EFF"/>
          </w:tcPr>
          <w:p>
            <w:pPr>
              <w:ind w:left="840"/>
              <w:spacing w:after="0" w:line="162" w:lineRule="exact"/>
              <w:rPr>
                <w:sz w:val="20"/>
                <w:szCs w:val="20"/>
                <w:color w:val="auto"/>
              </w:rPr>
            </w:pPr>
            <w:r>
              <w:rPr>
                <w:rFonts w:ascii="Times New Roman" w:cs="Times New Roman" w:eastAsia="Times New Roman" w:hAnsi="Times New Roman"/>
                <w:sz w:val="16"/>
                <w:szCs w:val="16"/>
                <w:color w:val="auto"/>
              </w:rPr>
              <w:t>and 123,461,312 and 117,750,608 shares issued and outstanding at March 31, 2022 and December 31, 2021,</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294,190</w:t>
            </w:r>
          </w:p>
        </w:tc>
        <w:tc>
          <w:tcPr>
            <w:tcW w:w="0" w:type="dxa"/>
            <w:vAlign w:val="bottom"/>
          </w:tcPr>
          <w:p>
            <w:pPr>
              <w:spacing w:after="0"/>
              <w:rPr>
                <w:sz w:val="1"/>
                <w:szCs w:val="1"/>
                <w:color w:val="auto"/>
              </w:rPr>
            </w:pPr>
          </w:p>
        </w:tc>
      </w:tr>
      <w:tr>
        <w:trPr>
          <w:trHeight w:val="23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(228,667)</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65,536</w:t>
            </w:r>
          </w:p>
        </w:tc>
        <w:tc>
          <w:tcPr>
            <w:tcW w:w="0" w:type="dxa"/>
            <w:vAlign w:val="bottom"/>
          </w:tcPr>
          <w:p>
            <w:pPr>
              <w:spacing w:after="0"/>
              <w:rPr>
                <w:sz w:val="1"/>
                <w:szCs w:val="1"/>
                <w:color w:val="auto"/>
              </w:rPr>
            </w:pPr>
          </w:p>
        </w:tc>
      </w:tr>
      <w:tr>
        <w:trPr>
          <w:trHeight w:val="212"/>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295,601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76"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 except per share amounts)</w:t>
      </w:r>
    </w:p>
    <w:p>
      <w:pPr>
        <w:spacing w:after="0" w:line="200" w:lineRule="exact"/>
        <w:rPr>
          <w:sz w:val="20"/>
          <w:szCs w:val="20"/>
          <w:color w:val="auto"/>
        </w:rPr>
      </w:pPr>
    </w:p>
    <w:p>
      <w:pPr>
        <w:spacing w:after="0" w:line="28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r>
      <w:tr>
        <w:trPr>
          <w:trHeight w:val="223"/>
        </w:trPr>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interest income of $16 and $2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earnout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7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157"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right="1300"/>
        <w:spacing w:after="0" w:line="237" w:lineRule="auto"/>
        <w:rPr>
          <w:sz w:val="20"/>
          <w:szCs w:val="20"/>
          <w:color w:val="auto"/>
        </w:rPr>
      </w:pPr>
      <w:r>
        <w:rPr>
          <w:rFonts w:ascii="Times New Roman" w:cs="Times New Roman" w:eastAsia="Times New Roman" w:hAnsi="Times New Roman"/>
          <w:sz w:val="18"/>
          <w:szCs w:val="18"/>
          <w:color w:val="auto"/>
        </w:rPr>
        <w:t>WEIGHTED AVERAGE COMMON SHARES USED IN NET INCOME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Diluted common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119,542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70"/>
        </w:trPr>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131,149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bl>
    <w:p>
      <w:pPr>
        <w:spacing w:after="0" w:line="200" w:lineRule="exact"/>
        <w:rPr>
          <w:sz w:val="20"/>
          <w:szCs w:val="20"/>
          <w:color w:val="auto"/>
        </w:rPr>
      </w:pPr>
    </w:p>
    <w:p>
      <w:pPr>
        <w:sectPr>
          <w:pgSz w:w="11900" w:h="16838" w:orient="portrait"/>
          <w:cols w:equalWidth="0" w:num="2">
            <w:col w:w="8280" w:space="720"/>
            <w:col w:w="2240"/>
          </w:cols>
          <w:pgMar w:left="320" w:top="1440" w:right="339"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 STOCK AND STOCKHOLDERS’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87" w:lineRule="exact"/>
        <w:rPr>
          <w:sz w:val="20"/>
          <w:szCs w:val="20"/>
          <w:color w:val="auto"/>
        </w:rPr>
      </w:pPr>
    </w:p>
    <w:p>
      <w:pPr>
        <w:ind w:left="2800"/>
        <w:spacing w:after="0"/>
        <w:tabs>
          <w:tab w:leader="none" w:pos="7920" w:val="left"/>
        </w:tabs>
        <w:rPr>
          <w:sz w:val="20"/>
          <w:szCs w:val="20"/>
          <w:color w:val="auto"/>
        </w:rPr>
      </w:pPr>
      <w:r>
        <w:rPr>
          <w:rFonts w:ascii="Times New Roman" w:cs="Times New Roman" w:eastAsia="Times New Roman" w:hAnsi="Times New Roman"/>
          <w:sz w:val="13"/>
          <w:szCs w:val="13"/>
          <w:b w:val="1"/>
          <w:bCs w:val="1"/>
          <w:color w:val="auto"/>
        </w:rPr>
        <w:t>Redeemable Convertible Preferred Stock</w:t>
      </w:r>
      <w:r>
        <w:rPr>
          <w:sz w:val="20"/>
          <w:szCs w:val="20"/>
          <w:color w:val="auto"/>
        </w:rPr>
        <w:tab/>
      </w:r>
      <w:r>
        <w:rPr>
          <w:rFonts w:ascii="Times New Roman" w:cs="Times New Roman" w:eastAsia="Times New Roman" w:hAnsi="Times New Roman"/>
          <w:sz w:val="12"/>
          <w:szCs w:val="12"/>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20955</wp:posOffset>
            </wp:positionV>
            <wp:extent cx="6052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Series B-1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Series B-2</w:t>
            </w:r>
          </w:p>
        </w:tc>
      </w:tr>
      <w:tr>
        <w:trPr>
          <w:trHeight w:val="128"/>
        </w:trPr>
        <w:tc>
          <w:tcPr>
            <w:tcW w:w="16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1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1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r>
      <w:tr>
        <w:trPr>
          <w:trHeight w:val="122"/>
        </w:trPr>
        <w:tc>
          <w:tcPr>
            <w:tcW w:w="1660" w:type="dxa"/>
            <w:vAlign w:val="bottom"/>
          </w:tcPr>
          <w:p>
            <w:pPr>
              <w:spacing w:after="0"/>
              <w:rPr>
                <w:sz w:val="10"/>
                <w:szCs w:val="10"/>
                <w:color w:val="auto"/>
              </w:rPr>
            </w:pP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11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11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convertible</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convertible</w:t>
            </w:r>
          </w:p>
        </w:tc>
      </w:tr>
      <w:tr>
        <w:trPr>
          <w:trHeight w:val="171"/>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r>
      <w:tr>
        <w:trPr>
          <w:trHeight w:val="171"/>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   Amount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Shares   Amount</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  Amount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Amount</w:t>
            </w: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040" w:type="dxa"/>
            <w:vAlign w:val="bottom"/>
            <w:tcBorders>
              <w:bottom w:val="single" w:sz="8" w:color="auto"/>
            </w:tcBorders>
            <w:vMerge w:val="continue"/>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paid in</w:t>
            </w:r>
          </w:p>
        </w:tc>
        <w:tc>
          <w:tcPr>
            <w:tcW w:w="840" w:type="dxa"/>
            <w:vAlign w:val="bottom"/>
            <w:vMerge w:val="continue"/>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receivable -</w:t>
            </w:r>
          </w:p>
        </w:tc>
        <w:tc>
          <w:tcPr>
            <w:tcW w:w="980" w:type="dxa"/>
            <w:vAlign w:val="bottom"/>
          </w:tcPr>
          <w:p>
            <w:pPr>
              <w:jc w:val="center"/>
              <w:ind w:right="1"/>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Shares  Amount</w:t>
            </w:r>
          </w:p>
        </w:tc>
        <w:tc>
          <w:tcPr>
            <w:tcW w:w="740" w:type="dxa"/>
            <w:vAlign w:val="bottom"/>
          </w:tcPr>
          <w:p>
            <w:pPr>
              <w:jc w:val="center"/>
              <w:ind w:left="1"/>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80"/>
              </w:rPr>
              <w:t>Total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120" w:space="80"/>
            <w:col w:w="502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680" w:type="dxa"/>
            <w:vAlign w:val="bottom"/>
            <w:tcBorders>
              <w:top w:val="single" w:sz="8" w:color="auto"/>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31, 2021</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117,751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294,190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65,536</w:t>
            </w:r>
          </w:p>
        </w:tc>
        <w:tc>
          <w:tcPr>
            <w:tcW w:w="0" w:type="dxa"/>
            <w:vAlign w:val="bottom"/>
          </w:tcPr>
          <w:p>
            <w:pPr>
              <w:spacing w:after="0"/>
              <w:rPr>
                <w:sz w:val="1"/>
                <w:szCs w:val="1"/>
                <w:color w:val="auto"/>
              </w:rPr>
            </w:pPr>
          </w:p>
        </w:tc>
      </w:tr>
      <w:tr>
        <w:trPr>
          <w:trHeight w:val="130"/>
        </w:trPr>
        <w:tc>
          <w:tcPr>
            <w:tcW w:w="16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auto"/>
                <w:w w:val="98"/>
              </w:rPr>
              <w:t>under employee stock option</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0" w:type="dxa"/>
            <w:vAlign w:val="bottom"/>
          </w:tcPr>
          <w:p>
            <w:pPr>
              <w:spacing w:after="0"/>
              <w:rPr>
                <w:sz w:val="1"/>
                <w:szCs w:val="1"/>
                <w:color w:val="auto"/>
              </w:rPr>
            </w:pPr>
          </w:p>
        </w:tc>
      </w:tr>
      <w:tr>
        <w:trPr>
          <w:trHeight w:val="170"/>
        </w:trPr>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and stock award plans</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70"/>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29,641</w:t>
            </w:r>
          </w:p>
        </w:tc>
        <w:tc>
          <w:tcPr>
            <w:tcW w:w="0" w:type="dxa"/>
            <w:vAlign w:val="bottom"/>
          </w:tcPr>
          <w:p>
            <w:pPr>
              <w:spacing w:after="0"/>
              <w:rPr>
                <w:sz w:val="1"/>
                <w:szCs w:val="1"/>
                <w:color w:val="auto"/>
              </w:rPr>
            </w:pPr>
          </w:p>
        </w:tc>
      </w:tr>
      <w:tr>
        <w:trPr>
          <w:trHeight w:val="136"/>
        </w:trPr>
        <w:tc>
          <w:tcPr>
            <w:tcW w:w="16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expense related to employee</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and non-employee stock</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24,072</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79,792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79,792</w:t>
            </w:r>
          </w:p>
        </w:tc>
        <w:tc>
          <w:tcPr>
            <w:tcW w:w="0" w:type="dxa"/>
            <w:vAlign w:val="bottom"/>
          </w:tcPr>
          <w:p>
            <w:pPr>
              <w:spacing w:after="0"/>
              <w:rPr>
                <w:sz w:val="1"/>
                <w:szCs w:val="1"/>
                <w:color w:val="auto"/>
              </w:rPr>
            </w:pPr>
          </w:p>
        </w:tc>
      </w:tr>
      <w:tr>
        <w:trPr>
          <w:trHeight w:val="108"/>
        </w:trPr>
        <w:tc>
          <w:tcPr>
            <w:tcW w:w="168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MARCH 31,</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123,461</w:t>
            </w:r>
          </w:p>
        </w:tc>
        <w:tc>
          <w:tcPr>
            <w:tcW w:w="80" w:type="dxa"/>
            <w:vAlign w:val="bottom"/>
          </w:tcPr>
          <w:p>
            <w:pPr>
              <w:spacing w:after="0"/>
              <w:rPr>
                <w:sz w:val="9"/>
                <w:szCs w:val="9"/>
                <w:color w:val="auto"/>
              </w:rPr>
            </w:pP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348,658</w:t>
            </w:r>
          </w:p>
        </w:tc>
        <w:tc>
          <w:tcPr>
            <w:tcW w:w="80" w:type="dxa"/>
            <w:vAlign w:val="bottom"/>
          </w:tcPr>
          <w:p>
            <w:pPr>
              <w:spacing w:after="0"/>
              <w:rPr>
                <w:sz w:val="9"/>
                <w:szCs w:val="9"/>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(148,875)</w:t>
            </w:r>
          </w:p>
        </w:tc>
        <w:tc>
          <w:tcPr>
            <w:tcW w:w="80" w:type="dxa"/>
            <w:vAlign w:val="bottom"/>
          </w:tcPr>
          <w:p>
            <w:pPr>
              <w:spacing w:after="0"/>
              <w:rPr>
                <w:sz w:val="9"/>
                <w:szCs w:val="9"/>
                <w:color w:val="auto"/>
              </w:rPr>
            </w:pPr>
          </w:p>
        </w:tc>
        <w:tc>
          <w:tcPr>
            <w:tcW w:w="2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4"/>
              </w:rPr>
              <w:t>199,736</w:t>
            </w:r>
          </w:p>
        </w:tc>
        <w:tc>
          <w:tcPr>
            <w:tcW w:w="0" w:type="dxa"/>
            <w:vAlign w:val="bottom"/>
          </w:tcPr>
          <w:p>
            <w:pPr>
              <w:spacing w:after="0"/>
              <w:rPr>
                <w:sz w:val="1"/>
                <w:szCs w:val="1"/>
                <w:color w:val="auto"/>
              </w:rPr>
            </w:pPr>
          </w:p>
        </w:tc>
      </w:tr>
      <w:tr>
        <w:trPr>
          <w:trHeight w:val="155"/>
        </w:trPr>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 2021</w:t>
            </w: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31, 2020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$ 14,970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$ 27,371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$ 14,786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$ 52,379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(72,424)</w:t>
            </w:r>
          </w:p>
        </w:tc>
        <w:tc>
          <w:tcPr>
            <w:tcW w:w="0" w:type="dxa"/>
            <w:vAlign w:val="bottom"/>
          </w:tcPr>
          <w:p>
            <w:pPr>
              <w:spacing w:after="0"/>
              <w:rPr>
                <w:sz w:val="1"/>
                <w:szCs w:val="1"/>
                <w:color w:val="auto"/>
              </w:rPr>
            </w:pPr>
          </w:p>
        </w:tc>
      </w:tr>
      <w:tr>
        <w:trPr>
          <w:trHeight w:val="130"/>
        </w:trPr>
        <w:tc>
          <w:tcPr>
            <w:tcW w:w="16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auto"/>
                <w:w w:val="98"/>
              </w:rPr>
              <w:t>under employee stock option</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5,843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70"/>
        </w:trPr>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and stock award plans</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expense related to employee</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and non-employee stock</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(7,345)</w:t>
            </w:r>
          </w:p>
        </w:tc>
        <w:tc>
          <w:tcPr>
            <w:tcW w:w="0" w:type="dxa"/>
            <w:vAlign w:val="bottom"/>
          </w:tcPr>
          <w:p>
            <w:pPr>
              <w:spacing w:after="0"/>
              <w:rPr>
                <w:sz w:val="1"/>
                <w:szCs w:val="1"/>
                <w:color w:val="auto"/>
              </w:rPr>
            </w:pPr>
          </w:p>
        </w:tc>
      </w:tr>
      <w:tr>
        <w:trPr>
          <w:trHeight w:val="108"/>
        </w:trPr>
        <w:tc>
          <w:tcPr>
            <w:tcW w:w="168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MARCH 31,</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16,620</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14,970</w:t>
            </w:r>
          </w:p>
        </w:tc>
        <w:tc>
          <w:tcPr>
            <w:tcW w:w="80" w:type="dxa"/>
            <w:vAlign w:val="bottom"/>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14,213</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6"/>
              </w:rPr>
              <w:t>$ 27,371</w:t>
            </w:r>
          </w:p>
        </w:tc>
        <w:tc>
          <w:tcPr>
            <w:tcW w:w="80" w:type="dxa"/>
            <w:vAlign w:val="bottom"/>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5,416</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6"/>
              </w:rPr>
              <w:t>$ 14,786</w:t>
            </w:r>
          </w:p>
        </w:tc>
        <w:tc>
          <w:tcPr>
            <w:tcW w:w="100" w:type="dxa"/>
            <w:vAlign w:val="bottom"/>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18,199</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$ 52,379</w:t>
            </w:r>
          </w:p>
        </w:tc>
        <w:tc>
          <w:tcPr>
            <w:tcW w:w="80" w:type="dxa"/>
            <w:vAlign w:val="bottom"/>
          </w:tcPr>
          <w:p>
            <w:pPr>
              <w:spacing w:after="0"/>
              <w:rPr>
                <w:sz w:val="9"/>
                <w:szCs w:val="9"/>
                <w:color w:val="auto"/>
              </w:rPr>
            </w:pP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8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(83,327)</w:t>
            </w:r>
          </w:p>
        </w:tc>
        <w:tc>
          <w:tcPr>
            <w:tcW w:w="8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tcPr>
          <w:p>
            <w:pPr>
              <w:spacing w:after="0"/>
              <w:rPr>
                <w:sz w:val="9"/>
                <w:szCs w:val="9"/>
                <w:color w:val="auto"/>
              </w:rPr>
            </w:pPr>
          </w:p>
        </w:tc>
        <w:tc>
          <w:tcPr>
            <w:tcW w:w="340" w:type="dxa"/>
            <w:vAlign w:val="bottom"/>
            <w:tcBorders>
              <w:top w:val="single" w:sz="8" w:color="auto"/>
            </w:tcBorders>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4"/>
              </w:rPr>
              <w:t>(77,712)</w:t>
            </w:r>
          </w:p>
        </w:tc>
        <w:tc>
          <w:tcPr>
            <w:tcW w:w="0" w:type="dxa"/>
            <w:vAlign w:val="bottom"/>
          </w:tcPr>
          <w:p>
            <w:pPr>
              <w:spacing w:after="0"/>
              <w:rPr>
                <w:sz w:val="1"/>
                <w:szCs w:val="1"/>
                <w:color w:val="auto"/>
              </w:rPr>
            </w:pPr>
          </w:p>
        </w:tc>
      </w:tr>
      <w:tr>
        <w:trPr>
          <w:trHeight w:val="155"/>
        </w:trPr>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earnout liability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accrued compensation and other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acquisition</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Receipts on notes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warrants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 w:right="339" w:bottom="1440" w:gutter="0" w:footer="0" w:header="0"/>
        </w:sectPr>
      </w:pPr>
    </w:p>
    <w:bookmarkStart w:id="11" w:name="page12"/>
    <w:bookmarkEnd w:id="11"/>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spacing w:after="0" w:line="8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References to the “Company” in these financial statements refer to Legacy Navitas and its predecessors before the consummation of the Business Combination, or to Navitas Semiconductor Corporation after the Business Combination, as the context suggests.</w:t>
      </w:r>
    </w:p>
    <w:p>
      <w:pPr>
        <w:spacing w:after="0" w:line="5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China, Taiwan and the Philippines, with principal executive offices in El Segundo, California.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Reorganization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Navitas Semiconductor USA, Inc. (f/k/a Navitas Semiconductor, Inc., “Navitas U.S.”) was incorporated in the State of Delaware on October 25,</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2013. In 2020 Navitas U.S. initiated a restructuring to streamline its worldwide legal entity structure and more efficiently align its business operations (the “Restructuring”). The Restructuring introduced wholly owned subsidiary in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BCA, the Business Combination was consummated (the “Closing”) on October 19, 2021 (the Closing Date”) by means of (i) a tender offer to acquire the entire issued share capital of Navitas Ireland (other than Navitas Ireland Restricted Shares (as defined below)) in exchange for the Tender Offer Consideration (as defined below) (the “Tender Offer”) and (ii) the merger of a wholly owned subsidiary of Live Oak (“Merger Sub”) with and into Navitas Delaware (the “Merger”), with Navitas Delaware surviving the Merger. See the Company’s annual report on 10-K filed with the SEC on March 31, 2022 for further information.</w:t>
      </w:r>
    </w:p>
    <w:p>
      <w:pPr>
        <w:spacing w:after="0" w:line="21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although Live Oak issued shares for outstanding equity interests of Legacy Navitas in the Business Combination, Live Oak was treated as the “acquired” company for financial reporting purposes. Accordingly, the Business Combination was treated as the equivalent of Legacy Navitas issuing stock for the net assets of Live Oak, accompanied by a recapitalization. The net assets of Live Oak were stated at historical cost, with no goodwill or other intangible assets recorded. Operations prior to the Business Combination are those of Navitas.</w:t>
      </w:r>
    </w:p>
    <w:p>
      <w:pPr>
        <w:spacing w:after="0" w:line="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all periods presented, unless stated otherwise, references to Legacy Navitas common shares and options for common shares outstanding before the Closing and related per share amounts have been retroactively restated to give effect to the reverse recapitalization, specifically, the Exchange Ratio of 1.0944 shares to 1 at Closing. References to share quantities for Legacy Navitas convertible preferred stock related to balances or activity before the Closing reflect the historical quantities and are not adjusted for the Exchange Ratio.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sectPr>
      </w:pPr>
    </w:p>
    <w:bookmarkStart w:id="12" w:name="page13"/>
    <w:bookmarkEnd w:id="12"/>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accounting principles generally accepted in the United States of America (“GAAP”).</w:t>
      </w:r>
    </w:p>
    <w:p>
      <w:pPr>
        <w:spacing w:after="0" w:line="189"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The results of operations for the three months ended March 31, 2022 shown in this report are not necessarily indicative of results to be expected for the full year ending December 31, 2022. In the opinion of the Company’s management, the information contained herein reflects all adjustments, consisting of only normal recurring adjustments, necessary for a fair presentation of the Company’s results of operations, financial position, cash flows and stockholders’ equity (deficit). Certain footnote disclosures normally included in annual consolidated financial statements prepared in accordance with U.S. GAAP have been condensed or omitted pursuant to Securities and Exchange Commissions (SEC) rules and regulations relating to interim financial statements. The accompanying condensed consolidated financial statements should be read in conjunction with consolidated financial statements and notes thereto contained in the Company’s annual report on Form 10-K filed with the SEC on March 31, 2022. Except as further described below, there have been no significant changes in the Company’s accounting policies from those disclosed in its annual report on Form 10-K filed with the SEC on March 31,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280" w:lineRule="exact"/>
        <w:rPr>
          <w:sz w:val="20"/>
          <w:szCs w:val="20"/>
          <w:color w:val="auto"/>
        </w:rPr>
      </w:pPr>
    </w:p>
    <w:p>
      <w:pPr>
        <w:ind w:right="3260" w:firstLine="8"/>
        <w:spacing w:after="0" w:line="642"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AND RECENT ACCOUNTING PRONOUNCEMENTS Recently Adopted Accounting Pronouncements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(ASC 842) (“ASU 2016-02”), and also issued subsequent amendments under ASU 2019-10 and ASU 2020-05 (collectively ASC 842). On January 1, 2022, the Company adopted ASC 842 and the related amendments. ASC 842 requires lessees to (i) recognize a right of use asset and a lease liability that is measured at the present value of the remaining lease payments, on the consolidated balance sheets, (ii) recognize a single lease cost, calculated over the lease term on a straight-line basis and (iii) classify lease related cash payments within operating and financing activities. The Company recognized approximately $1,634 of operating lease right-of-use assets and $1,685 operating lease liabilities on the consolidated balance sheets upon adoption on January 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amended guidance related to impairment of financial instruments as part of ASU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which replaces the incurred loss impairment methodology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condensed consolidated financial statements and related disclosures.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17" w:right="359" w:bottom="1440" w:gutter="0" w:footer="0" w:header="0"/>
        </w:sectPr>
      </w:pPr>
    </w:p>
    <w:bookmarkStart w:id="13" w:name="page14"/>
    <w:bookmarkEnd w:id="13"/>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7"/>
        </w:trPr>
        <w:tc>
          <w:tcPr>
            <w:tcW w:w="7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6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1"/>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depreciation expense was $125 and $80, respectively, and was determined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694372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1803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9437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OF FINANCIAL ASSETS AND LIABILITIES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 — 7 years</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 5 years</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r>
      <w:tr>
        <w:trPr>
          <w:trHeight w:val="270"/>
        </w:trPr>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7"/>
        </w:trPr>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w:t>
            </w:r>
          </w:p>
        </w:tc>
      </w:tr>
      <w:tr>
        <w:trPr>
          <w:trHeight w:val="27"/>
        </w:trPr>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724" w:lineRule="exact"/>
        <w:rPr>
          <w:sz w:val="20"/>
          <w:szCs w:val="20"/>
          <w:color w:val="auto"/>
        </w:rPr>
      </w:pPr>
    </w:p>
    <w:p>
      <w:pPr>
        <w:sectPr>
          <w:pgSz w:w="11900" w:h="16838" w:orient="portrait"/>
          <w:cols w:equalWidth="0" w:num="2">
            <w:col w:w="6260" w:space="720"/>
            <w:col w:w="4240"/>
          </w:cols>
          <w:pgMar w:left="320" w:top="117" w:right="359" w:bottom="1440" w:gutter="0" w:footer="0" w:header="0"/>
          <w:type w:val="continuous"/>
        </w:sect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were $145.0 million and $159.6 million as of March 31, 2022 and December 31, 2021, respectively.</w:t>
      </w: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17" w:right="359" w:bottom="1440" w:gutter="0" w:footer="0" w:header="0"/>
          <w:type w:val="continuous"/>
        </w:sectPr>
      </w:pPr>
    </w:p>
    <w:bookmarkStart w:id="14" w:name="page15"/>
    <w:bookmarkEnd w:id="14"/>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March 31, 2022 :</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Level 1</w:t>
            </w:r>
          </w:p>
        </w:tc>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r>
      <w:tr>
        <w:trPr>
          <w:trHeight w:val="270"/>
        </w:trPr>
        <w:tc>
          <w:tcPr>
            <w:tcW w:w="52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29,027</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134,173</w:t>
            </w:r>
          </w:p>
        </w:tc>
      </w:tr>
      <w:tr>
        <w:trPr>
          <w:trHeight w:val="270"/>
        </w:trPr>
        <w:tc>
          <w:tcPr>
            <w:tcW w:w="5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liability for the Private Warrants is a level 2 valuation because there is no active market.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OBLIGATIONS</w:t>
      </w:r>
    </w:p>
    <w:p>
      <w:pPr>
        <w:spacing w:after="0" w:line="108" w:lineRule="exact"/>
        <w:rPr>
          <w:sz w:val="20"/>
          <w:szCs w:val="20"/>
          <w:color w:val="auto"/>
        </w:rPr>
      </w:pPr>
    </w:p>
    <w:p>
      <w:pPr>
        <w:ind w:firstLine="486"/>
        <w:spacing w:after="0" w:line="228" w:lineRule="auto"/>
        <w:rPr>
          <w:sz w:val="20"/>
          <w:szCs w:val="20"/>
          <w:color w:val="auto"/>
        </w:rPr>
      </w:pPr>
      <w:r>
        <w:rPr>
          <w:rFonts w:ascii="Times New Roman" w:cs="Times New Roman" w:eastAsia="Times New Roman" w:hAnsi="Times New Roman"/>
          <w:sz w:val="18"/>
          <w:szCs w:val="18"/>
          <w:color w:val="auto"/>
        </w:rPr>
        <w:t>On April 29, 2020, the Company entered into a loan and security agreement with a new bank (the “Term Loan”), which provides for term advances up to $8,000. The loan is divided into three term advances, First Term Advance, Second Term Advance and Third Term Advance. The First Term Advance has a maximum available amount of $6,000. The Second Term Advance has a maximum available amount of $1,000 and is subject to the Company receiving aggregate net proceeds from Series B-2 Preferred Stock of $29,800 by no later than September 30, 2020. The Third Term Advance has a maximum available amount of $1,000 and is subject to the Company receiving aggregate net proceeds from Series B-2 Preferred Stock of $39,900 by no later than September 30, 2020. The Term Loan bears interest at a rate equal to the greater of (i) US Prime Rate plus 0.75% or (ii) 4% and is collateralized by all assets of the Company. As of March 31, 2022 and 2021, the interest rate was 4%. The loan is payable in monthly installments beginning September 1, 2021 with a final maturity date of January 1, 2024. Concurrent with the execution of the Term Loan, the Company paid off the outstanding principal balance and accrued interest on its then-existing long-term debt (which bore interest at 5% at December 31,2019) with a different bank, fully satisfying its obligations. On August 1, 2021, the Company drew down $2,000, the maximum available amount under the Second Term Advance and Third Term Advance.</w:t>
      </w:r>
    </w:p>
    <w:p>
      <w:pPr>
        <w:spacing w:after="0" w:line="18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execution of the Term Loan, the Company issued warrants to the bank (see Note 9). The fair value of the warrants at the date of issuance was $16 and was recorded as debt discount, subject to amortization using the effective interest rate method over the term of the loan.</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Amortization of debt discount and issuance costs for the three months ended March 31, 2022 and 2021 was $3 and $3, respectively. Amortization of debt discount and issuance costs includes the write-off of unamortized costs as of the date that the prior term loan was extinguished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20" w:top="117" w:right="399" w:bottom="1440" w:gutter="0" w:footer="0" w:header="0"/>
        </w:sectPr>
      </w:pPr>
    </w:p>
    <w:bookmarkStart w:id="15" w:name="page16"/>
    <w:bookmarkEnd w:id="15"/>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carrying value of long-term debt as of March 31, 2022 and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8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Pr>
          <w:p>
            <w:pPr>
              <w:spacing w:after="0"/>
              <w:rPr>
                <w:sz w:val="20"/>
                <w:szCs w:val="20"/>
                <w:color w:val="auto"/>
              </w:rPr>
            </w:pPr>
          </w:p>
        </w:tc>
        <w:tc>
          <w:tcPr>
            <w:tcW w:w="224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8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 of March 31, 2022, future scheduled principal payments of debt obligations were as follows: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(less than one year)</w:t>
            </w:r>
          </w:p>
        </w:tc>
        <w:tc>
          <w:tcPr>
            <w:tcW w:w="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3"/>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These leases have terms which range from 0.7 to 2.8 years. There are no economic penalties for the Company to extend the lease, and it is not reasonably certain the Company will exercise the extension options. The operating leases do not contain material residual value guarantees or material restrictive covenants.</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Rent expense, including short-term lease cost, was $352 and $267 for the three months ended March 31, 2022 and 2021, respectively.</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21"/>
                <w:szCs w:val="2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80" w:type="dxa"/>
            <w:vAlign w:val="bottom"/>
            <w:shd w:val="clear" w:color="auto" w:fill="CCEEFF"/>
          </w:tcPr>
          <w:p>
            <w:pPr>
              <w:spacing w:after="0"/>
              <w:rPr>
                <w:sz w:val="23"/>
                <w:szCs w:val="23"/>
                <w:color w:val="auto"/>
              </w:rPr>
            </w:pPr>
          </w:p>
        </w:tc>
      </w:tr>
      <w:tr>
        <w:trPr>
          <w:trHeight w:val="27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tcPr>
          <w:p>
            <w:pPr>
              <w:spacing w:after="0"/>
              <w:rPr>
                <w:sz w:val="23"/>
                <w:szCs w:val="23"/>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7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4.25 %</w:t>
            </w:r>
          </w:p>
        </w:tc>
      </w:tr>
      <w:tr>
        <w:trPr>
          <w:trHeight w:val="594"/>
        </w:trPr>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due in 12-month period ending March 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r>
      <w:tr>
        <w:trPr>
          <w:trHeight w:val="236"/>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3"/>
                <w:szCs w:val="23"/>
                <w:color w:val="auto"/>
              </w:rPr>
            </w:pPr>
          </w:p>
        </w:tc>
      </w:tr>
      <w:tr>
        <w:trPr>
          <w:trHeight w:val="23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 w:right="339" w:bottom="1440" w:gutter="0" w:footer="0" w:header="0"/>
          <w:type w:val="continuous"/>
        </w:sectPr>
      </w:pPr>
    </w:p>
    <w:bookmarkStart w:id="16" w:name="page17"/>
    <w:bookmarkEnd w:id="16"/>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 for comparative periods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prior to the adoption of ASC 842, minimum payments under operating leases having initial or remaining non-cancelable lease terms in excess of one year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7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7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21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common stock pursuant to awards under the 2020 Plan. As of October 19, 2021, the Company has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7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spacing w:after="0" w:line="6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The Company uses estimates of</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7" w:right="359" w:bottom="1440" w:gutter="0" w:footer="0" w:header="0"/>
        </w:sectPr>
      </w:pPr>
    </w:p>
    <w:bookmarkStart w:id="17" w:name="page18"/>
    <w:bookmarkEnd w:id="17"/>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months ended March 31, 2022 and 2021: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8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incentive stock options and non-statutory stock options issued was estimated using the Black-Scholes model with the following weighted-average assumptions used during the three months ended March 31, 2021. The Company did not grant any awards during the three months ended March 31,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5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7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23"/>
                <w:szCs w:val="23"/>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7" w:right="359" w:bottom="1440" w:gutter="0" w:footer="0" w:header="0"/>
        </w:sectPr>
      </w:pPr>
    </w:p>
    <w:bookmarkStart w:id="18" w:name="page19"/>
    <w:bookmarkEnd w:id="18"/>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March 31, 2022, and activity during the three months then ended, is presented below:</w:t>
      </w:r>
    </w:p>
    <w:p>
      <w:pPr>
        <w:spacing w:after="0" w:line="8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ind w:left="9060"/>
        <w:spacing w:after="0" w:line="219" w:lineRule="auto"/>
        <w:rPr>
          <w:sz w:val="20"/>
          <w:szCs w:val="20"/>
          <w:color w:val="auto"/>
        </w:rPr>
      </w:pPr>
      <w:r>
        <w:rPr>
          <w:rFonts w:ascii="Times New Roman" w:cs="Times New Roman" w:eastAsia="Times New Roman" w:hAnsi="Times New Roman"/>
          <w:sz w:val="18"/>
          <w:szCs w:val="18"/>
          <w:b w:val="1"/>
          <w:bCs w:val="1"/>
          <w:color w:val="auto"/>
        </w:rPr>
        <w:t>Weighted-</w:t>
      </w:r>
    </w:p>
    <w:tbl>
      <w:tblPr>
        <w:tblLayout w:type="fixed"/>
        <w:tblInd w:w="0" w:type="dxa"/>
        <w:tblCellMar>
          <w:top w:w="0" w:type="dxa"/>
          <w:left w:w="0" w:type="dxa"/>
          <w:bottom w:w="0" w:type="dxa"/>
          <w:right w:w="0" w:type="dxa"/>
        </w:tblCellMar>
      </w:tblPr>
      <w:tr>
        <w:trPr>
          <w:trHeight w:val="160"/>
        </w:trPr>
        <w:tc>
          <w:tcPr>
            <w:tcW w:w="4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3"/>
                <w:szCs w:val="13"/>
                <w:color w:val="auto"/>
              </w:rPr>
            </w:pP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0" w:type="dxa"/>
            <w:vAlign w:val="bottom"/>
          </w:tcPr>
          <w:p>
            <w:pPr>
              <w:spacing w:after="0"/>
              <w:rPr>
                <w:sz w:val="15"/>
                <w:szCs w:val="15"/>
                <w:color w:val="auto"/>
              </w:rPr>
            </w:pPr>
          </w:p>
        </w:tc>
        <w:tc>
          <w:tcPr>
            <w:tcW w:w="132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5"/>
                <w:szCs w:val="15"/>
                <w:color w:val="auto"/>
              </w:rPr>
            </w:pPr>
          </w:p>
        </w:tc>
        <w:tc>
          <w:tcPr>
            <w:tcW w:w="92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16"/>
                <w:szCs w:val="16"/>
                <w:color w:val="auto"/>
              </w:rPr>
            </w:pPr>
          </w:p>
        </w:tc>
        <w:tc>
          <w:tcPr>
            <w:tcW w:w="9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080" w:type="dxa"/>
            <w:vAlign w:val="bottom"/>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20" w:type="dxa"/>
            <w:vAlign w:val="bottom"/>
          </w:tcPr>
          <w:p>
            <w:pPr>
              <w:spacing w:after="0"/>
              <w:rPr>
                <w:sz w:val="19"/>
                <w:szCs w:val="19"/>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$.08 - $1.06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spacing w:after="0"/>
              <w:rPr>
                <w:sz w:val="21"/>
                <w:szCs w:val="21"/>
                <w:color w:val="auto"/>
              </w:rPr>
            </w:pPr>
          </w:p>
        </w:tc>
        <w:tc>
          <w:tcPr>
            <w:tcW w:w="1480" w:type="dxa"/>
            <w:vAlign w:val="bottom"/>
            <w:tcBorders>
              <w:top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$.08 - $1.06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9"/>
                <w:szCs w:val="19"/>
                <w:color w:val="auto"/>
              </w:rPr>
            </w:pPr>
          </w:p>
        </w:tc>
        <w:tc>
          <w:tcPr>
            <w:tcW w:w="1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$.08 - $1.06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08"/>
        </w:trPr>
        <w:tc>
          <w:tcPr>
            <w:tcW w:w="4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2022</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$.08 - $1.06</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$124 and $139, respectively, of stock-based compensation expense for the vesting of outstanding stock options, excluding $1.4 million related to the LTIP Options described below. At March 31, 2022, unrecognized compensation cost related to unvested awards totaled $1.3 million. The weighted-average period over which this remaining compensation cost will be recognized is 2.1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24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7"/>
          <w:szCs w:val="17"/>
          <w:color w:val="auto"/>
        </w:rPr>
        <w:t>The Company awarded a total of 6,500,000 performance stock options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$8.13. The weighted average contractual</w:t>
      </w:r>
    </w:p>
    <w:p>
      <w:pPr>
        <w:spacing w:after="0" w:line="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period remaining is 9.7 years. T</w:t>
      </w:r>
      <w:r>
        <w:rPr>
          <w:rFonts w:ascii="Times New Roman" w:cs="Times New Roman" w:eastAsia="Times New Roman" w:hAnsi="Times New Roman"/>
          <w:sz w:val="21"/>
          <w:szCs w:val="21"/>
          <w:color w:val="auto"/>
        </w:rPr>
        <w:t>he</w:t>
      </w:r>
      <w:r>
        <w:rPr>
          <w:rFonts w:ascii="Times New Roman" w:cs="Times New Roman" w:eastAsia="Times New Roman" w:hAnsi="Times New Roman"/>
          <w:sz w:val="18"/>
          <w:szCs w:val="18"/>
          <w:color w:val="auto"/>
        </w:rPr>
        <w:t xml:space="preserve"> Black-Scholes model and a Monte Carlo simulation incorporating 100,000 scenarios. The valuation model utilized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3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9.96 %</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4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8.13</w:t>
            </w:r>
          </w:p>
        </w:tc>
      </w:tr>
    </w:tbl>
    <w:p>
      <w:pPr>
        <w:spacing w:after="0" w:line="31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$1.4 million of stock-based compensation expense for the three months ended March 31, 2022. The unrecognized compensations expense related to the LTIP Options is $51.5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August 25, 2021, the Company granted an aggregate of 4,135,000 Legacy Navitas RSU’s under the 2020 Plan to certain members of senior management pursuant to restricted stock unit agreements (collectively, the “RSU Agreements”). Each RSU represents the right to receive one share of common stock of the Company, subject to the vesting and other terms and conditions set forth in the RSU Agreements and the Plan. Up to 3,500,000 of these RSU awards vest in three equal installments over a three-year period subject to the occurrence of an IPO (which includes the Business Combination)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7" w:right="339" w:bottom="1440" w:gutter="0" w:footer="0" w:header="0"/>
          <w:type w:val="continuous"/>
        </w:sectPr>
      </w:pPr>
    </w:p>
    <w:bookmarkStart w:id="19" w:name="page20"/>
    <w:bookmarkEnd w:id="19"/>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and certain valuation targets, subject to an accelerated vesting schedule based on the satisfaction of certain stock price targets. Up to 500,000 RSUs vest on the six-month anniversary of the grant date, subject to the occurrence of an IPO and certain valuation targets. Up to 52,500 RSUs vest upon the occurrence of an IPO, while the remaining 82,500 RSUs vest as specified by an RSU Agreement over a period of approximately three years. As of October 19, 2021, the IPO performance condition had been met due to the Business Combination.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RSUs outstanding as of March 31, 2022, and activity during the three months then ended, is presented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5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6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3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203"/>
        </w:trPr>
        <w:tc>
          <w:tcPr>
            <w:tcW w:w="5160" w:type="dxa"/>
            <w:vAlign w:val="bottom"/>
            <w:vMerge w:val="continue"/>
            <w:shd w:val="clear" w:color="auto" w:fill="CCEEFF"/>
          </w:tcPr>
          <w:p>
            <w:pPr>
              <w:spacing w:after="0"/>
              <w:rPr>
                <w:sz w:val="17"/>
                <w:szCs w:val="17"/>
                <w:color w:val="auto"/>
              </w:rPr>
            </w:pPr>
          </w:p>
        </w:tc>
        <w:tc>
          <w:tcPr>
            <w:tcW w:w="16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34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March 31, 2021, the Company recognized $16.2 million and $1.4 million of stock-based compensation expense for the vesting of RSAs and RSUs. At March 31, 2022, unrecognized compensation cost related to unvested RSU awards totaled $14.7 million. The weighted-average period over which this remaining compensation cost is expected be recognized is 2.28 years.</w:t>
      </w:r>
    </w:p>
    <w:p>
      <w:pPr>
        <w:spacing w:after="0" w:line="189" w:lineRule="exact"/>
        <w:rPr>
          <w:sz w:val="20"/>
          <w:szCs w:val="20"/>
          <w:color w:val="auto"/>
        </w:rPr>
      </w:pPr>
    </w:p>
    <w:p>
      <w:pPr>
        <w:ind w:right="180" w:firstLine="486"/>
        <w:spacing w:after="0" w:line="225" w:lineRule="auto"/>
        <w:rPr>
          <w:sz w:val="20"/>
          <w:szCs w:val="20"/>
          <w:color w:val="auto"/>
        </w:rPr>
      </w:pPr>
      <w:r>
        <w:rPr>
          <w:rFonts w:ascii="Times New Roman" w:cs="Times New Roman" w:eastAsia="Times New Roman" w:hAnsi="Times New Roman"/>
          <w:sz w:val="18"/>
          <w:szCs w:val="18"/>
          <w:color w:val="auto"/>
        </w:rPr>
        <w:t>The Company accrued $2.5 million and $2.0 million as of March, 2022 and December 31, 2021, respectively, related to a stock-based bonus plan that the Company plans to settle by issuing a variable number of fully-vested restricted stock units to employees. Based on the closing share price of the Company’s Class A Common Stock of $10.28 on March 31, 2022, approximately 241,287 shares would have been issued, however, the actual number of shares will be based on the share price at the date of settlement</w:t>
      </w:r>
      <w:r>
        <w:rPr>
          <w:rFonts w:ascii="Calibri" w:cs="Calibri" w:eastAsia="Calibri" w:hAnsi="Calibri"/>
          <w:sz w:val="19"/>
          <w:szCs w:val="19"/>
          <w:color w:val="auto"/>
        </w:rPr>
        <w: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1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payout of these shares requires achievement of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three months ended March 31, 2022, the Company recognized $6.3 million of stock-based compensation expense for the vesting of earnout shares. At March 31, 2021, unrecognized compensation cost related to unvested earnout shares totaled $7.4 million. The weighted-average period over which this remaining compensation cost is expected be recognized is 0.6 years. Refer to Note 10 in this quarterly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 LIABILITY</w:t>
      </w:r>
    </w:p>
    <w:p>
      <w:pPr>
        <w:spacing w:after="0" w:line="108"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spacing w:after="0" w:line="212"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Warrants were exercisable only during the period commencing December 7, 2021 (12 months after the consummation of Live Oak’s initial public offering) and ending on the earlier of October 19, 2026 (five years after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17" w:right="359" w:bottom="1440" w:gutter="0" w:footer="0" w:header="0"/>
        </w:sectPr>
      </w:pPr>
    </w:p>
    <w:bookmarkStart w:id="20" w:name="page21"/>
    <w:bookmarkEnd w:id="20"/>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Business Combination) or, in the event of redemption, the corresponding redemption date. The Company had the right to redeem not less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all of the outstanding Public Warrants on 30 days’ notice, at a redemption price of $0.01 per Warrant, if the reported closing price of the Common</w:t>
      </w:r>
    </w:p>
    <w:p>
      <w:pPr>
        <w:spacing w:after="0" w:line="234" w:lineRule="auto"/>
        <w:rPr>
          <w:sz w:val="20"/>
          <w:szCs w:val="20"/>
          <w:color w:val="auto"/>
        </w:rPr>
      </w:pPr>
      <w:r>
        <w:rPr>
          <w:rFonts w:ascii="Times New Roman" w:cs="Times New Roman" w:eastAsia="Times New Roman" w:hAnsi="Times New Roman"/>
          <w:sz w:val="18"/>
          <w:szCs w:val="18"/>
          <w:color w:val="auto"/>
        </w:rPr>
        <w:t>Stock was at least $18.00 per share for any 20 of 30 trading days ending three business days before the notice of redemption, subject to certain other</w:t>
      </w:r>
    </w:p>
    <w:p>
      <w:pPr>
        <w:spacing w:after="0" w:line="235" w:lineRule="auto"/>
        <w:rPr>
          <w:sz w:val="20"/>
          <w:szCs w:val="20"/>
          <w:color w:val="auto"/>
        </w:rPr>
      </w:pPr>
      <w:r>
        <w:rPr>
          <w:rFonts w:ascii="Times New Roman" w:cs="Times New Roman" w:eastAsia="Times New Roman" w:hAnsi="Times New Roman"/>
          <w:sz w:val="18"/>
          <w:szCs w:val="18"/>
          <w:color w:val="auto"/>
        </w:rPr>
        <w:t>conditions. The Company also had the right to redeem not less than all of the outstanding Public Warrants on 30 days’ notice, at a redemption price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$0.10 per Warrant, if the reported closing price of the Common Stock was at least $10.00 per share for any 20 of 30 trading days ending three business days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notice of redemption, subject to certain other conditions. If the Company elected to exercise the latter right to redeem the Public Warrants for</w:t>
      </w:r>
    </w:p>
    <w:p>
      <w:pPr>
        <w:spacing w:after="0" w:line="219" w:lineRule="auto"/>
        <w:rPr>
          <w:sz w:val="20"/>
          <w:szCs w:val="20"/>
          <w:color w:val="auto"/>
        </w:rPr>
      </w:pPr>
      <w:r>
        <w:rPr>
          <w:rFonts w:ascii="Times New Roman" w:cs="Times New Roman" w:eastAsia="Times New Roman" w:hAnsi="Times New Roman"/>
          <w:sz w:val="18"/>
          <w:szCs w:val="18"/>
          <w:color w:val="auto"/>
        </w:rPr>
        <w:t>$0.10 per Warrant, and the reported closing price of the Common Stock was less than $18.00 per share for any 20 of 30 trading days ending three business</w:t>
      </w:r>
    </w:p>
    <w:p>
      <w:pPr>
        <w:spacing w:after="0" w:line="234" w:lineRule="auto"/>
        <w:rPr>
          <w:sz w:val="20"/>
          <w:szCs w:val="20"/>
          <w:color w:val="auto"/>
        </w:rPr>
      </w:pPr>
      <w:r>
        <w:rPr>
          <w:rFonts w:ascii="Times New Roman" w:cs="Times New Roman" w:eastAsia="Times New Roman" w:hAnsi="Times New Roman"/>
          <w:sz w:val="18"/>
          <w:szCs w:val="18"/>
          <w:color w:val="auto"/>
        </w:rPr>
        <w:t>days before the notice of redemption, the Company was required to concurrently redeem the Private Placement Warrants on the same terms. In addition, in</w:t>
      </w:r>
    </w:p>
    <w:p>
      <w:pPr>
        <w:spacing w:after="0" w:line="235" w:lineRule="auto"/>
        <w:rPr>
          <w:sz w:val="20"/>
          <w:szCs w:val="20"/>
          <w:color w:val="auto"/>
        </w:rPr>
      </w:pPr>
      <w:r>
        <w:rPr>
          <w:rFonts w:ascii="Times New Roman" w:cs="Times New Roman" w:eastAsia="Times New Roman" w:hAnsi="Times New Roman"/>
          <w:sz w:val="18"/>
          <w:szCs w:val="18"/>
          <w:color w:val="auto"/>
        </w:rPr>
        <w:t>such event, holders of Warrants subject to redemption would have the right to exercise their Warrants on a “cashless” basis, whereby they would receive a</w:t>
      </w:r>
    </w:p>
    <w:p>
      <w:pPr>
        <w:spacing w:after="0" w:line="235" w:lineRule="auto"/>
        <w:rPr>
          <w:sz w:val="20"/>
          <w:szCs w:val="20"/>
          <w:color w:val="auto"/>
        </w:rPr>
      </w:pPr>
      <w:r>
        <w:rPr>
          <w:rFonts w:ascii="Times New Roman" w:cs="Times New Roman" w:eastAsia="Times New Roman" w:hAnsi="Times New Roman"/>
          <w:sz w:val="18"/>
          <w:szCs w:val="18"/>
          <w:color w:val="auto"/>
        </w:rPr>
        <w:t>fractional number of shares of Common Stock per Warrant exercised before the redemption date, based on the volume weighted average price of the</w:t>
      </w:r>
    </w:p>
    <w:p>
      <w:pPr>
        <w:spacing w:after="0" w:line="235" w:lineRule="auto"/>
        <w:rPr>
          <w:sz w:val="20"/>
          <w:szCs w:val="20"/>
          <w:color w:val="auto"/>
        </w:rPr>
      </w:pPr>
      <w:r>
        <w:rPr>
          <w:rFonts w:ascii="Times New Roman" w:cs="Times New Roman" w:eastAsia="Times New Roman" w:hAnsi="Times New Roman"/>
          <w:sz w:val="18"/>
          <w:szCs w:val="18"/>
          <w:color w:val="auto"/>
        </w:rPr>
        <w:t>Common Stock for the 10 trading days following notice of redemption (the “Redemption Fair Market Value”) and the time period between the redemption</w:t>
      </w:r>
    </w:p>
    <w:p>
      <w:pPr>
        <w:spacing w:after="0"/>
        <w:rPr>
          <w:sz w:val="20"/>
          <w:szCs w:val="20"/>
          <w:color w:val="auto"/>
        </w:rPr>
      </w:pPr>
      <w:r>
        <w:rPr>
          <w:rFonts w:ascii="Times New Roman" w:cs="Times New Roman" w:eastAsia="Times New Roman" w:hAnsi="Times New Roman"/>
          <w:sz w:val="18"/>
          <w:szCs w:val="18"/>
          <w:color w:val="auto"/>
        </w:rPr>
        <w:t>date and the original expiration of the Warrants in the absence of redemption.</w:t>
      </w:r>
    </w:p>
    <w:p>
      <w:pPr>
        <w:spacing w:after="0" w:line="327"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0A0A0A"/>
          <w:highlight w:val="white"/>
        </w:rPr>
        <w:t xml:space="preserve">On February 4, 2022, the Company issued a notice of redemption that it would redeem, at 5:00 p.m. New York City time on March 7, 2022 (the “Redemption </w:t>
      </w:r>
      <w:r>
        <w:rPr>
          <w:rFonts w:ascii="Times New Roman" w:cs="Times New Roman" w:eastAsia="Times New Roman" w:hAnsi="Times New Roman"/>
          <w:sz w:val="18"/>
          <w:szCs w:val="18"/>
          <w:color w:val="0A0A0A"/>
        </w:rPr>
        <w:t>Date”),</w:t>
      </w:r>
      <w:r>
        <w:rPr>
          <w:rFonts w:ascii="Times New Roman" w:cs="Times New Roman" w:eastAsia="Times New Roman" w:hAnsi="Times New Roman"/>
          <w:sz w:val="18"/>
          <w:szCs w:val="18"/>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Times New Roman" w:cs="Times New Roman" w:eastAsia="Times New Roman" w:hAnsi="Times New Roman"/>
          <w:sz w:val="18"/>
          <w:szCs w:val="18"/>
          <w:color w:val="0A0A0A"/>
        </w:rPr>
        <w:t>Warrant Agreement”),</w:t>
      </w:r>
      <w:r>
        <w:rPr>
          <w:rFonts w:ascii="Times New Roman" w:cs="Times New Roman" w:eastAsia="Times New Roman" w:hAnsi="Times New Roman"/>
          <w:sz w:val="18"/>
          <w:szCs w:val="18"/>
          <w:color w:val="0A0A0A"/>
          <w:highlight w:val="white"/>
        </w:rPr>
        <w:t xml:space="preserve"> between the Company and Continental Stock Transfer &amp; Trust Company, as warrant agent (the “Warrant Agent”), at a redemption price of $0.10 per Warrant (the “</w:t>
      </w:r>
      <w:r>
        <w:rPr>
          <w:rFonts w:ascii="Times New Roman" w:cs="Times New Roman" w:eastAsia="Times New Roman" w:hAnsi="Times New Roman"/>
          <w:sz w:val="18"/>
          <w:szCs w:val="18"/>
          <w:color w:val="0A0A0A"/>
        </w:rPr>
        <w:t>Redemption</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A0A0A"/>
        </w:rPr>
        <w:t>Price”)</w:t>
      </w:r>
      <w:r>
        <w:rPr>
          <w:rFonts w:ascii="Times New Roman" w:cs="Times New Roman" w:eastAsia="Times New Roman" w:hAnsi="Times New Roman"/>
          <w:sz w:val="18"/>
          <w:szCs w:val="18"/>
          <w:color w:val="0A0A0A"/>
          <w:highlight w:val="white"/>
        </w:rPr>
        <w:t>. On February 22, 2022, the Company issued a notice that the “Redemption Fair Market Value,” determined in accordance with the Warrant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A0A0A"/>
          <w:highlight w:val="white"/>
        </w:rPr>
        <w:t xml:space="preserve">Agreement based on the </w:t>
      </w:r>
      <w:r>
        <w:rPr>
          <w:rFonts w:ascii="Times New Roman" w:cs="Times New Roman" w:eastAsia="Times New Roman" w:hAnsi="Times New Roman"/>
          <w:sz w:val="18"/>
          <w:szCs w:val="18"/>
          <w:color w:val="000000"/>
        </w:rPr>
        <w:t>volume weighted average price of the Common Stock for the 10 trading days immediately following the date on which notice of</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 xml:space="preserve">redemption was sent, was </w:t>
      </w:r>
      <w:r>
        <w:rPr>
          <w:rFonts w:ascii="Times New Roman" w:cs="Times New Roman" w:eastAsia="Times New Roman" w:hAnsi="Times New Roman"/>
          <w:sz w:val="18"/>
          <w:szCs w:val="18"/>
          <w:color w:val="0A0A0A"/>
          <w:highlight w:val="white"/>
        </w:rPr>
        <w:t>$10.33 and, accordingly, that holders exercising Warrants on a “cashless” basis before the Redemption Date would receive 0.261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highlight w:val="white"/>
        </w:rPr>
        <w:t xml:space="preserve">shares of Common Stock per Warrant exercised. 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 w:cs="Times New Roman" w:eastAsia="Times New Roman" w:hAnsi="Times New Roman"/>
          <w:sz w:val="18"/>
          <w:szCs w:val="18"/>
          <w:color w:val="000000"/>
        </w:rPr>
        <w:t>Between December 7, 2021 (the date the Warrants became</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exercisable) and the Redemption Date, an aggregate of 12,722,773 Warrants were exercised (including 17,785 on a cash basis and 12,704,988 on a “cashless” basis); an aggregate of 3,333,650 shares of Common Stock were issued upon exercise of the Warrants (including 15,101 shares in respect of cash exercises and 3,318,549 shares in respect of “cashless” exercises). A total of 377,187 Warrants remained outstanding and unexercised at the Redemption Date and were redeemed for an aggregate Redemption Price of $38. Prior to the redemption date, the warrants had an aggregate fair value of $81,388 which resulted in a gain of $51,763 due to the decrease in the fair value of the warrant liability in the quarter ended March 31, 2022. There were no outstanding warrants as of March 31, 2022.</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LIABILITY</w:t>
      </w:r>
    </w:p>
    <w:p>
      <w:pPr>
        <w:spacing w:after="0" w:line="108"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 considered met if at any time 150 days following the Business Combination and prior to October 19, 2026, the volume 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212" w:lineRule="exact"/>
        <w:rPr>
          <w:sz w:val="20"/>
          <w:szCs w:val="20"/>
          <w:color w:val="auto"/>
        </w:rPr>
      </w:pPr>
    </w:p>
    <w:p>
      <w:pPr>
        <w:jc w:val="both"/>
        <w:ind w:right="60" w:firstLine="486"/>
        <w:spacing w:after="0" w:line="245" w:lineRule="auto"/>
        <w:rPr>
          <w:sz w:val="20"/>
          <w:szCs w:val="20"/>
          <w:color w:val="auto"/>
        </w:rPr>
      </w:pPr>
      <w:r>
        <w:rPr>
          <w:rFonts w:ascii="Times New Roman" w:cs="Times New Roman" w:eastAsia="Times New Roman" w:hAnsi="Times New Roman"/>
          <w:sz w:val="18"/>
          <w:szCs w:val="18"/>
          <w:color w:val="auto"/>
        </w:rPr>
        <w:t>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7" w:right="339" w:bottom="1440" w:gutter="0" w:footer="0" w:header="0"/>
        </w:sectPr>
      </w:pPr>
    </w:p>
    <w:bookmarkStart w:id="21" w:name="page22"/>
    <w:bookmarkEnd w:id="21"/>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9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equity shares and upon achievement of the Earnout Milestones. The Vested Shares are classified as liabilities in the consolidated balance sheet and the Unvested Shares are equity-classified share-based compensation to be recognized over time (see Note 8 -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w:t>
      </w:r>
    </w:p>
    <w:p>
      <w:pPr>
        <w:spacing w:after="0" w:line="208" w:lineRule="exact"/>
        <w:rPr>
          <w:sz w:val="20"/>
          <w:szCs w:val="20"/>
          <w:color w:val="auto"/>
        </w:rPr>
      </w:pPr>
    </w:p>
    <w:p>
      <w:pPr>
        <w:ind w:right="160" w:firstLine="486"/>
        <w:spacing w:after="0" w:line="248"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25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240" w:type="dxa"/>
            <w:vAlign w:val="bottom"/>
            <w:tcBorders>
              <w:top w:val="single" w:sz="8" w:color="CCEEFF"/>
            </w:tcBorders>
            <w:shd w:val="clear" w:color="auto" w:fill="CCEEFF"/>
          </w:tcPr>
          <w:p>
            <w:pPr>
              <w:spacing w:after="0"/>
              <w:rPr>
                <w:sz w:val="21"/>
                <w:szCs w:val="21"/>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7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60.00 %</w:t>
            </w:r>
          </w:p>
        </w:tc>
        <w:tc>
          <w:tcPr>
            <w:tcW w:w="24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55.00 %</w:t>
            </w:r>
          </w:p>
        </w:tc>
      </w:tr>
    </w:tbl>
    <w:p>
      <w:pPr>
        <w:spacing w:after="0" w:line="306"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At the closing of the Business Combination on October 19, 2021, the earnout liability had an initial fair value of $96,069, which was recorded as a long-term liability and a reduction to additional paid in capital in the consolidated balance sheet. As of March 31, 2022 and December 31, 2021, the earnout liability had a fair value of $70,767 and $134,173, respectively which resulted in a gain due to the decrease in the fair value of the earnout liability of $63,406.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 AND CREDIT CONCENTRATIONS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Nearly all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29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respective three months ended March 31, 2022 and 2021, respectively: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23"/>
        </w:trPr>
        <w:tc>
          <w:tcPr>
            <w:tcW w:w="7420" w:type="dxa"/>
            <w:vAlign w:val="bottom"/>
            <w:tcBorders>
              <w:top w:val="single" w:sz="8" w:color="auto"/>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00" w:type="dxa"/>
            <w:vAlign w:val="bottom"/>
            <w:tcBorders>
              <w:top w:val="single" w:sz="8" w:color="D2EDFE"/>
            </w:tcBorders>
            <w:shd w:val="clear" w:color="auto" w:fill="D2EDFE"/>
          </w:tcPr>
          <w:p>
            <w:pPr>
              <w:spacing w:after="0"/>
              <w:rPr>
                <w:sz w:val="19"/>
                <w:szCs w:val="19"/>
                <w:color w:val="auto"/>
              </w:rPr>
            </w:pPr>
          </w:p>
        </w:tc>
        <w:tc>
          <w:tcPr>
            <w:tcW w:w="1820" w:type="dxa"/>
            <w:vAlign w:val="bottom"/>
            <w:tcBorders>
              <w:top w:val="single" w:sz="8" w:color="auto"/>
            </w:tcBorders>
            <w:shd w:val="clear" w:color="auto" w:fill="D2EDFE"/>
          </w:tcPr>
          <w:p>
            <w:pPr>
              <w:ind w:left="142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top w:val="single" w:sz="8" w:color="D2EDFE"/>
            </w:tcBorders>
            <w:shd w:val="clear" w:color="auto" w:fill="D2EDFE"/>
          </w:tcPr>
          <w:p>
            <w:pPr>
              <w:spacing w:after="0"/>
              <w:rPr>
                <w:sz w:val="19"/>
                <w:szCs w:val="19"/>
                <w:color w:val="auto"/>
              </w:rPr>
            </w:pPr>
          </w:p>
        </w:tc>
        <w:tc>
          <w:tcPr>
            <w:tcW w:w="18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7520" w:type="dxa"/>
            <w:vAlign w:val="bottom"/>
            <w:gridSpan w:val="2"/>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820" w:type="dxa"/>
            <w:vAlign w:val="bottom"/>
            <w:shd w:val="clear" w:color="auto" w:fill="D2EDFE"/>
          </w:tcPr>
          <w:p>
            <w:pPr>
              <w:ind w:left="1420"/>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D2EDFE"/>
          </w:tcPr>
          <w:p>
            <w:pPr>
              <w:spacing w:after="0"/>
              <w:rPr>
                <w:sz w:val="19"/>
                <w:szCs w:val="19"/>
                <w:color w:val="auto"/>
              </w:rPr>
            </w:pPr>
          </w:p>
        </w:tc>
        <w:tc>
          <w:tcPr>
            <w:tcW w:w="1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7" w:right="339" w:bottom="1440" w:gutter="0" w:footer="0" w:header="0"/>
        </w:sectPr>
      </w:pPr>
    </w:p>
    <w:bookmarkStart w:id="22" w:name="page23"/>
    <w:bookmarkEnd w:id="22"/>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1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the domicile of its end customers, rather than the distributors it sells to directly, to be the basis for attributing revenues from external customers to individual countries. Revenues for the three months ending March 31, 2022 and 2021, were attributable to end customers in the following countries: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23"/>
        </w:trPr>
        <w:tc>
          <w:tcPr>
            <w:tcW w:w="7400" w:type="dxa"/>
            <w:vAlign w:val="bottom"/>
            <w:tcBorders>
              <w:top w:val="single" w:sz="8" w:color="auto"/>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D2EDFE"/>
            </w:tcBorders>
            <w:shd w:val="clear" w:color="auto" w:fill="D2EDFE"/>
          </w:tcPr>
          <w:p>
            <w:pPr>
              <w:spacing w:after="0"/>
              <w:rPr>
                <w:sz w:val="19"/>
                <w:szCs w:val="19"/>
                <w:color w:val="auto"/>
              </w:rPr>
            </w:pPr>
          </w:p>
        </w:tc>
        <w:tc>
          <w:tcPr>
            <w:tcW w:w="18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4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860" w:type="dxa"/>
            <w:vAlign w:val="bottom"/>
            <w:shd w:val="clear" w:color="auto" w:fill="D2EDFE"/>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D2EDFE"/>
          </w:tcPr>
          <w:p>
            <w:pPr>
              <w:spacing w:after="0"/>
              <w:rPr>
                <w:sz w:val="19"/>
                <w:szCs w:val="19"/>
                <w:color w:val="auto"/>
              </w:rPr>
            </w:pPr>
          </w:p>
        </w:tc>
        <w:tc>
          <w:tcPr>
            <w:tcW w:w="1880" w:type="dxa"/>
            <w:vAlign w:val="bottom"/>
            <w:shd w:val="clear" w:color="auto" w:fill="D2EDF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4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960" w:type="dxa"/>
            <w:vAlign w:val="bottom"/>
            <w:gridSpan w:val="2"/>
            <w:shd w:val="clear" w:color="auto" w:fill="D2EDF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D2EDFE"/>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accounts receivable:</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05"/>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3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500" w:type="dxa"/>
            <w:vAlign w:val="bottom"/>
            <w:tcBorders>
              <w:top w:val="single" w:sz="8" w:color="auto"/>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22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Borders>
              <w:top w:val="single" w:sz="8" w:color="D2EDFE"/>
            </w:tcBorders>
            <w:shd w:val="clear" w:color="auto" w:fill="D2EDFE"/>
          </w:tcPr>
          <w:p>
            <w:pPr>
              <w:spacing w:after="0"/>
              <w:rPr>
                <w:sz w:val="19"/>
                <w:szCs w:val="19"/>
                <w:color w:val="auto"/>
              </w:rPr>
            </w:pPr>
          </w:p>
        </w:tc>
        <w:tc>
          <w:tcPr>
            <w:tcW w:w="22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65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2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D2EDFE"/>
          </w:tcPr>
          <w:p>
            <w:pPr>
              <w:spacing w:after="0"/>
              <w:rPr>
                <w:sz w:val="19"/>
                <w:szCs w:val="19"/>
                <w:color w:val="auto"/>
              </w:rPr>
            </w:pPr>
          </w:p>
        </w:tc>
        <w:tc>
          <w:tcPr>
            <w:tcW w:w="22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Distributor E</w:t>
            </w:r>
          </w:p>
        </w:tc>
        <w:tc>
          <w:tcPr>
            <w:tcW w:w="2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D2EDFE"/>
          </w:tcPr>
          <w:p>
            <w:pPr>
              <w:spacing w:after="0"/>
              <w:rPr>
                <w:sz w:val="19"/>
                <w:szCs w:val="19"/>
                <w:color w:val="auto"/>
              </w:rPr>
            </w:pPr>
          </w:p>
        </w:tc>
        <w:tc>
          <w:tcPr>
            <w:tcW w:w="22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F</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Total customer accounts receivable was less than 10% of net accounts receivables.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1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Loss of the relationship with this supplier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third-party foundries that supply wafers for GaN ICs, are located in Taiwan. A significant amount of the Company’s assembly and test operations are conducted by third-party contractors in Taiwan and the Philippines.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7" w:right="339" w:bottom="1440" w:gutter="0" w:footer="0" w:header="0"/>
        </w:sectPr>
      </w:pPr>
    </w:p>
    <w:bookmarkStart w:id="23" w:name="page24"/>
    <w:bookmarkEnd w:id="23"/>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are eligible to receive all dividends declared on the Company’s common shares during the vesting period; however, such dividends are not paid until the restrictions lapse. The Company has no plans to declare dividends.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net income (loss) per share calculation is as follows for the three months ended March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7"/>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108"/>
        </w:trPr>
        <w:tc>
          <w:tcPr>
            <w:tcW w:w="7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7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149"/>
        </w:trPr>
        <w:tc>
          <w:tcPr>
            <w:tcW w:w="7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7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 common stock</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57"/>
        </w:trPr>
        <w:tc>
          <w:tcPr>
            <w:tcW w:w="7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7"/>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08"/>
        </w:trPr>
        <w:tc>
          <w:tcPr>
            <w:tcW w:w="7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r>
      <w:tr>
        <w:trPr>
          <w:trHeight w:val="230"/>
        </w:trPr>
        <w:tc>
          <w:tcPr>
            <w:tcW w:w="7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Shares excluded from diluted weighted-average shares:</w:t>
            </w:r>
            <w:r>
              <w:rPr>
                <w:rFonts w:ascii="Times New Roman" w:cs="Times New Roman" w:eastAsia="Times New Roman" w:hAnsi="Times New Roman"/>
                <w:sz w:val="23"/>
                <w:szCs w:val="23"/>
                <w:b w:val="1"/>
                <w:bCs w:val="1"/>
                <w:color w:val="auto"/>
                <w:vertAlign w:val="superscript"/>
              </w:rPr>
              <w:t>1, 2</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0"/>
        </w:trPr>
        <w:tc>
          <w:tcPr>
            <w:tcW w:w="7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Redeemable convertible preferred stock shares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54,449</w:t>
            </w:r>
          </w:p>
        </w:tc>
      </w:tr>
      <w:tr>
        <w:trPr>
          <w:trHeight w:val="24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24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4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shares (potentially issuable common shares)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Unvested restricted stock units and restricted stock awards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potentially exercisable for common shares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r>
      <w:tr>
        <w:trPr>
          <w:trHeight w:val="27"/>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excluded from diluted weighted average shares</w:t>
            </w: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67,485</w:t>
            </w:r>
          </w:p>
        </w:tc>
      </w:tr>
      <w:tr>
        <w:trPr>
          <w:trHeight w:val="27"/>
        </w:trPr>
        <w:tc>
          <w:tcPr>
            <w:tcW w:w="7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right="14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potentially dilutive securities, which include unexercised stock options, unvested shares, preferred shares and warrants for common and preferred shares, have been excluded from the computation of diluted net loss per share as the effect would be to reduce the net loss per share for the three months ended March 31, 2021. Therefore, the weighted average number of common shares outstanding used to calculate both basic and diluted net loss per share attributable to common shareholders is the same.</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as of March 31, 2021 retroactively restated to give effect to the October 19, 2021 reverse recapitalization.</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7" w:right="359" w:bottom="1440" w:gutter="0" w:footer="0" w:header="0"/>
          <w:type w:val="continuous"/>
        </w:sectPr>
      </w:pPr>
    </w:p>
    <w:bookmarkStart w:id="24" w:name="page25"/>
    <w:bookmarkEnd w:id="24"/>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PROVISION FOR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right="160" w:firstLine="486"/>
        <w:spacing w:after="0" w:line="242"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in that quarter.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our ability to accurately predict the proportion of our income (loss) before provision for income taxes in multiple jurisdictions, the tax effects of our stock-based compensation, and the effects of its foreign entity</w:t>
      </w:r>
    </w:p>
    <w:p>
      <w:pPr>
        <w:spacing w:after="0" w:line="198"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At December 31, 2021, the Company has approximately $100,147 of federal net operating loss (“NOL”) carryforwards and approximately $82,583 of State NOL carryforwards expiring in varying amounts through 2037, with the exception of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ownership. As of March 31, 2022, the Company continues to maintain a valuation allowance as the Company believes that it is not more likely than not that the deferred tax assets will be fully realized.</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months ended March 31,2022 and 2021. The Company recognizes interest and penalties related to unrecognized tax benefits in operating expenses. No such interest and penalties were recognized during the three months ended March 31, 2022 and 2021.</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2022, the Company had no non-cancelable purchase obligations that were due beyond one year.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9" w:lineRule="exact"/>
        <w:rPr>
          <w:sz w:val="20"/>
          <w:szCs w:val="20"/>
          <w:color w:val="auto"/>
        </w:rPr>
      </w:pPr>
    </w:p>
    <w:p>
      <w:pPr>
        <w:jc w:val="both"/>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$1,443. A March 31, 2022 no terminations have occurred or are expected to occur pursuant to these arrangements and, accordingly, no termination benefits have been accrued.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87"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March 31, 2022. For several reasons, including the lack of prior indemnification claims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7" w:right="339" w:bottom="1440" w:gutter="0" w:footer="0" w:header="0"/>
        </w:sectPr>
      </w:pPr>
    </w:p>
    <w:bookmarkStart w:id="25" w:name="page26"/>
    <w:bookmarkEnd w:id="25"/>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March 31, 2022 and March 31, 2021</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lack of a monetary liability limit for certain infringement cases, the Company cannot determine the maximum amount of potential future payments, if any, related to such indemnifications.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 has outstanding interest-bearing notes receivable from an employee. The notes have various maturity dates through May 1, 2023 and bear interest at rates ranging from 1% to 2.76%. The Company recognized $4 and $4 of interest income from the notes for the three months ended March 31, 2022 and 2021,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1240" w:type="dxa"/>
            <w:vAlign w:val="bottom"/>
            <w:tcBorders>
              <w:bottom w:val="single" w:sz="8" w:color="D2EDFE"/>
            </w:tcBorders>
          </w:tcPr>
          <w:p>
            <w:pPr>
              <w:spacing w:after="0"/>
              <w:rPr>
                <w:sz w:val="2"/>
                <w:szCs w:val="2"/>
                <w:color w:val="auto"/>
              </w:rPr>
            </w:pPr>
          </w:p>
        </w:tc>
        <w:tc>
          <w:tcPr>
            <w:tcW w:w="57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D2EDFE"/>
              </w:rPr>
              <w:t>Notes receivable</w:t>
            </w:r>
          </w:p>
        </w:tc>
        <w:tc>
          <w:tcPr>
            <w:tcW w:w="5780" w:type="dxa"/>
            <w:vAlign w:val="bottom"/>
            <w:shd w:val="clear" w:color="auto" w:fill="D2EDFE"/>
          </w:tcPr>
          <w:p>
            <w:pPr>
              <w:spacing w:after="0"/>
              <w:rPr>
                <w:sz w:val="19"/>
                <w:szCs w:val="19"/>
                <w:color w:val="auto"/>
              </w:rPr>
            </w:pPr>
          </w:p>
        </w:tc>
        <w:tc>
          <w:tcPr>
            <w:tcW w:w="1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D2EDFE"/>
          </w:tcPr>
          <w:p>
            <w:pPr>
              <w:spacing w:after="0"/>
              <w:rPr>
                <w:sz w:val="19"/>
                <w:szCs w:val="19"/>
                <w:color w:val="auto"/>
              </w:rPr>
            </w:pPr>
          </w:p>
        </w:tc>
        <w:tc>
          <w:tcPr>
            <w:tcW w:w="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w:t>
      </w:r>
    </w:p>
    <w:p>
      <w:pPr>
        <w:spacing w:after="0" w:line="119"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In 2021, Navitas entered into a partnership with a manufacturer of power management ICs to develop products and technology relating to ac-dc converters. Structured as a joint venture, Navitas’ initial contribution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The Company accounts for the investment in the joint venture as an equity-method investment. Total related party revenues recognized by the Company as a result of arrangements with its joint venture were $613 and $113 for the quarter ended March 31, 2022 and 2021, respectively, and are included in Net Revenues in the Condensed Consolidated Statements of Operations. As of March 31, 2022, the investment balance of $2.9 million was included in other assets on the consolidated balance sheet.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Shares from Executive Officer</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March 11, 2022, we purchased 66,829 shares of our common stock from Todd Glickman, Senior Vice President, Interim Chief Financial Officer and Treasurer, for $8.23 per share or an aggregate purchase price of $550,003. The transaction was undertaken solely for the purpose of satisfying certain tax obligations of Mr. Glickman, including tax obligations arising in connection with his exercise of options to purchase shares of Legacy Navitas prior to the Business Combination, as contemplated by the Lock-Up Agreement with Mr. Glickman described above under “Lock-Up Agreements.” The sale was executed pursuant to an agreement entered into between Navitas and Mr. Glickman on March 4, 2022, which provided that (i) the sale was subject to the approval of our board of directors, (ii) the execution date of the sale would be the fifth trading day after the transaction was duly authorized by the board of directors and (iii) the purchase price would be equal to the closing price on the Nasdaq Stock Market on the trading day immediately preceding the execution date. Our board of directors authorized the transaction on March 6, 2022, hence the execution date was March 11, 2022 and the purchase price was equal to the closing price of our common stock on March 10, 2022. Following the sale Mr. Glickman held 763,067 shares of our common stock. The foregoing summary of the purchase agreement is qualified in its entirety by reference to the complete agreement, which is filed as Exhibit 10.5 to this quarterly report on Form 10-Q.</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consolidated balance sheet date of March 31, 2022, through May 16, 2022, the date the condensed consolidated financial statements were issued. There were no material subsequent events as of May 16,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sectPr>
      </w:pPr>
    </w:p>
    <w:bookmarkStart w:id="26" w:name="page27"/>
    <w:bookmarkEnd w:id="26"/>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right="14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3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1440" w:right="37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Founded in 2013, Navitas is a U.S. 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China, Taiwan and the Philippines, with principal executive offices in El Segundo, California.</w:t>
      </w:r>
    </w:p>
    <w:p>
      <w:pPr>
        <w:spacing w:after="0" w:line="18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18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The majority of charger manufacturers we ship to today are in China, supporting major international mobile brands. Other emerging applications will be addressed in China, other parts of Asia, and worldwide.</w:t>
      </w:r>
    </w:p>
    <w:p>
      <w:pPr>
        <w:spacing w:after="0" w:line="183"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9 of the top 10 mobile OEMs across smartphone and laptops, and is in development with 10 out of 10. In addition, our supply chain partners have committed manufacturing capacity in excess of what we consider to be necessary to support our continued growth and expansion.</w:t>
      </w:r>
    </w:p>
    <w:p>
      <w:pPr>
        <w:spacing w:after="0" w:line="180"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core strength of our business lies in our industry leading IP position in GaN Power ICs. Navitas invented the first commercial GaN Power ICs and along the way we patented many fundamental circuit elements which are needed in most power systems from 10 W to 100 kW. Today, we have over 151 patents that are issued or pending.</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our comprehensive patent portfolio, our biggest proprietary advantage is our process design kit (PDK), the ‘how-to’ guide for Navitas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2021 and the three months ended March 31, 2022, we spent approximately 117% and 143%, respectively of our revenue on research and development. Navitas’ research and development activities are located primarily in the US and China. As of March 31, 2022, we had approximately 103 full-time personnel in our research &amp; development team, with approximately 59% with advanced degrees (PhD and 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and Reverse Recapitalization</w:t>
      </w:r>
    </w:p>
    <w:p>
      <w:pPr>
        <w:spacing w:after="0" w:line="108" w:lineRule="exact"/>
        <w:rPr>
          <w:sz w:val="20"/>
          <w:szCs w:val="20"/>
          <w:color w:val="auto"/>
        </w:rPr>
      </w:pPr>
    </w:p>
    <w:p>
      <w:pPr>
        <w:ind w:right="40" w:firstLine="486"/>
        <w:spacing w:after="0" w:line="230" w:lineRule="auto"/>
        <w:rPr>
          <w:sz w:val="20"/>
          <w:szCs w:val="20"/>
          <w:color w:val="auto"/>
        </w:rPr>
      </w:pPr>
      <w:r>
        <w:rPr>
          <w:rFonts w:ascii="Times New Roman" w:cs="Times New Roman" w:eastAsia="Times New Roman" w:hAnsi="Times New Roman"/>
          <w:sz w:val="18"/>
          <w:szCs w:val="18"/>
          <w:color w:val="auto"/>
        </w:rPr>
        <w:t>On May 6, 2021, Navitas Semiconductor Limited (“Navitas Ireland”), a private company limited by shares organized under the Laws of Ireland and domesticated in the State of Delaware as Navitas Semiconductor Ireland, LLC, (“Navitas Delaware”, and together with Navitas Ireland, “Legacy Navitas”) a Delaware limited liability company, entered into a business combination agreement and plan of reorganization (the “Business Combination Agreement” or “BCA”) with Live Oak Acquisition Corp. II, (“Live Oak”). Pursuant to the BCA, through a series of transactions, Navitas Ireland merged with and into Live Oak effective October 19, 2021 (the “Closing Date”), with Navitas Ireland’s newly formed parent, Navitas Semiconductor Corporation (“Navitas Corp” or after the Business Combination, the “Company”, formerly named Live Oak Acquisition Corp. II), surviving the transaction.</w:t>
      </w:r>
    </w:p>
    <w:p>
      <w:pPr>
        <w:spacing w:after="0" w:line="20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US GAAP. Under the guidance in ASC 805, Live Oak was treated as the “acquired” company for financial reporting purposes. We were deemed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28" w:name="page29"/>
    <w:bookmarkEnd w:id="28"/>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accounting predecessor and the post-combination company is the successor SEC registrant, meaning that our financial statements for previous periods will be disclosed in our annual report Form 10-K filed with the SEC filed on March 31, 2022. The Business Combination had a significant impact on our reported financial position and results as a consequence of the reverse recapitalization. The most significant change in our reported financial position and results of operations was net cash proceeds of ### from the merger transaction, which included ### in gross proceeds from the PIPE financing that was consummated in conjunction with the Business Combination. The increase in cash was offset by transaction costs incurred in connection with the Business Combination of approximately ###.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2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We design, develop and manufacture GaN ICs. Our revenue represents the sale of semiconductors through specialized distributors to original equipment manufacturers (“OEMs”), their suppliers and other end customers.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shipping terms of a contract. We provide a non-conformity warranty which is not sold separately and does not represent a separate performance obligation.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vast majority of our product revenue originates from sales shipped to customer locations in Asia.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Goods Sold</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consumables, system and shipping costs. Cost of goods sold also includes compensation related to personnel associated with manufacturing.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1440" w:right="41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primarily consists of interest under our term loan facility.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Legacy Navitas a dual domesticated corporation for Ireland and U.S. federal income tax purposes. Refer to Note 13, Provision for Income Taxes, in our accompanying condensed consolidated financial statements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and discussion below present our results for the three months ended March 31,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earnout liabilities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16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114,850</w:t>
            </w:r>
          </w:p>
        </w:tc>
        <w:tc>
          <w:tcPr>
            <w:tcW w:w="1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87,121</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87,135</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1440" w:right="45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Quarters ended March 31,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21"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2022 was $6.7 million compared to $5.3 million for the three months ended March 31, 2021, an increase of $1.4 million, or 27%. The significant increase primarily reflected the Company’s customer growth trajectory, evolving from aftermarket customers to the top mobile companies and total sales volumes increasing 32%, from 5.7 million to 7.5 million units shipped, while the average selling price declined 15% to $0.82 per unit.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Goods Sold</w:t>
      </w:r>
    </w:p>
    <w:p>
      <w:pPr>
        <w:spacing w:after="0" w:line="1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March 31, 2022 was $3.8 million compared to $3.0 million for the three months ended March 31, 2021, an increase of $0.8 million or 28%. The increase was primarily driven by significant revenue growth, partially offset by lower costs on third generation (“Gen 3”) products launched in the second half of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2022 of $13.4 million increased by $9.2 million, or 215%, when compared to the three months ended March 31, 2021, primarily driven by increases in stock based compensation, resulting in $7.3 million higher compensation costs, along with an increase of $1.9 million in non-compensation costs related to new applications and reliability expenses devoted to next generation product development. We expect research and development expense to continue to increase as we grow our headcount to support our expansion into new applications.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Selling, general and administrative expense for the three months ended March 31, 2022 of $24.5 million increased by $19.2 million, or 357%, when compared to the three months ended March 31, 2021. The increase is primarily due to an $16.3 million increase in stock-based compensation, a $1.6 million increase in compensation costs related to growth in headcount and a $1.3 million increase in other costs of growing the business. We expect selling, general and administrative costs to increase to support our growth and as a result of the increased costs for infrastructure required as a public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2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Net interest expense, net for the three months ended March 31, 2022 of $24 thousand decreased by (61%), when compared to the three months ended March 31, 2021, primarily due to lower outstanding debt and interest income on cash equivalents.</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we recognized gain from the change in fair value of our warrant liabilities, earn out liabilities and an equity method investment of $51.8 million, $63.4 million and ($0.4) million, respectively, as follows:</w:t>
      </w:r>
    </w:p>
    <w:p>
      <w:pPr>
        <w:spacing w:after="0" w:line="189" w:lineRule="exact"/>
        <w:rPr>
          <w:sz w:val="20"/>
          <w:szCs w:val="20"/>
          <w:color w:val="auto"/>
        </w:rPr>
      </w:pPr>
    </w:p>
    <w:p>
      <w:pPr>
        <w:ind w:left="660" w:right="80" w:firstLine="482"/>
        <w:spacing w:after="0" w:line="266" w:lineRule="auto"/>
        <w:tabs>
          <w:tab w:leader="none" w:pos="13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The change in fair value of our warrant liability is due to the Company issuing a notice of redemption on February 4, 2022 and the Company revaluing the liability just before the exercise and redemptions which resulted in a valuation change of $51.8 million.</w:t>
      </w:r>
    </w:p>
    <w:p>
      <w:pPr>
        <w:spacing w:after="0" w:line="189" w:lineRule="exact"/>
        <w:rPr>
          <w:rFonts w:ascii="Times New Roman" w:cs="Times New Roman" w:eastAsia="Times New Roman" w:hAnsi="Times New Roman"/>
          <w:sz w:val="18"/>
          <w:szCs w:val="18"/>
          <w:color w:val="auto"/>
        </w:rPr>
      </w:pPr>
    </w:p>
    <w:p>
      <w:pPr>
        <w:ind w:left="660" w:right="80" w:firstLine="482"/>
        <w:spacing w:after="0"/>
        <w:tabs>
          <w:tab w:leader="none" w:pos="13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liability: Subsequent to the recognition of the earnout liability upon the consummation of the Business Combination on October 19, 2021, we remeasure the fair value of this liability at each reporting date. The decrease in fair value of our earn-out liability of $63.4 million was primarily a result of the decrease of the closing price of our Class A common stock listed on the Nasdaq from $17.01 per share on December 31, 2021 to $10.28 per share on March 31, 2022.</w:t>
      </w:r>
    </w:p>
    <w:p>
      <w:pPr>
        <w:spacing w:after="0" w:line="211"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reflects our minority interest in the net loss of a joint venture.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Expense</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Income tax expenses for the three months March 31, 2022 decreased by ($16) thousand when compared to the three March 31, 2021. We expect our tax rate to remain close to zero in the near term due to full valuation allowances against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expenditures, working capital requirements related to inventory, accounts payable and accounts receivable, and selling, general and administrative expenditures. In addition, we use cash to fund our debt service obligations, and purchases of capital and software assets.</w:t>
      </w:r>
    </w:p>
    <w:p>
      <w:pPr>
        <w:spacing w:after="0" w:line="17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Prior to the Business Combination, we derived our liquidity and capital resources primarily from the issuance and sale of convertible preferred stock.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principal balance is payable in monthly installments beginning in September 2021.</w:t>
      </w:r>
    </w:p>
    <w:p>
      <w:pPr>
        <w:spacing w:after="0" w:line="207"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As March 31, 2022, we had cash and cash equivalents of $253.8 million. We currently use cash to fund operations, meet working capital requirements, for capital expenditures and strategic investments. Post-Business Combination, the Company has additional access to capital resources through public market transactions and the historical focus on near-term working capital and liquidity has shifted to more strategic and forward-looking capital optimization plans. We believe that the influx of capital from the Business Combination is sufficient to finance our operations, working capital requirements and capital expenditures for the foreseeable future.</w:t>
      </w:r>
    </w:p>
    <w:p>
      <w:pPr>
        <w:spacing w:after="0" w:line="183" w:lineRule="exact"/>
        <w:rPr>
          <w:sz w:val="20"/>
          <w:szCs w:val="20"/>
          <w:color w:val="auto"/>
        </w:rPr>
      </w:pPr>
    </w:p>
    <w:p>
      <w:pPr>
        <w:ind w:right="220" w:firstLine="486"/>
        <w:spacing w:after="0" w:line="273" w:lineRule="auto"/>
        <w:rPr>
          <w:sz w:val="20"/>
          <w:szCs w:val="20"/>
          <w:color w:val="auto"/>
        </w:rPr>
      </w:pPr>
      <w:r>
        <w:rPr>
          <w:rFonts w:ascii="Times New Roman" w:cs="Times New Roman" w:eastAsia="Times New Roman" w:hAnsi="Times New Roman"/>
          <w:sz w:val="17"/>
          <w:szCs w:val="17"/>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debt financing or from other sources. If we raise additional funds through the issuance of equity, the percentage ownership of our equityholders could be significantly diluted, and these newly issued securities may have rights, preferences or privileges senior to those of existing equityholders.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three months ended March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20" w:type="dxa"/>
            <w:vAlign w:val="bottom"/>
          </w:tcPr>
          <w:p>
            <w:pPr>
              <w:spacing w:after="0"/>
              <w:rPr>
                <w:sz w:val="20"/>
                <w:szCs w:val="20"/>
                <w:color w:val="auto"/>
              </w:rPr>
            </w:pP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0" w:type="dxa"/>
            <w:vAlign w:val="bottom"/>
          </w:tcPr>
          <w:p>
            <w:pPr>
              <w:spacing w:after="0"/>
              <w:rPr>
                <w:sz w:val="1"/>
                <w:szCs w:val="1"/>
                <w:color w:val="auto"/>
              </w:rPr>
            </w:pPr>
          </w:p>
        </w:tc>
      </w:tr>
      <w:tr>
        <w:trPr>
          <w:trHeight w:val="27"/>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 Data:</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(used in) by financing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derive liquidity primarily from debt and equity financing activities. As of March 31, 2022, our balance of cash and cash equivalents was $253.8 million, which is an decrease of $14.5 million or 5% compared to December 31, 2021. Our total outstanding debt principal balance as of March 31, 2022 was $6.1 million, which is a decrease of $0.8 million from the $6.9 million of total debt outstanding at December 31, 2021.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was $10.6 million, which primarily reflects a net income of $79.8 million, adjusted for non-cash share-based compensation of $25.3 million, non-cash, gains of $115.2 million in earnout and warrant liabilities and an aggregate change of $0.3 million in higher operating assets.</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net cash used in operating activities was $5.8 million, which reflects a net loss of $7.3 million, adjusted for non-cash share-based compensation of $1.8 million and includes an aggregate $.9 million decrease due to higher operating assets, offset by a decrease in cash of $0.6 million due to lower accounts payable.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of $3.0 million was primarily due to $2.7 million cash funding of a joint venture and $0.3 million for purchases of fixed assets.</w:t>
      </w:r>
    </w:p>
    <w:p>
      <w:pPr>
        <w:spacing w:after="0" w:line="16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$990 thousand for the three months ended March 31, 2021, was primarily related to the purchase of an asset acquisition and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of $0.9 million was primarily the result of $0.8 million net uses from the issuance and repayment of debt.</w:t>
      </w:r>
    </w:p>
    <w:p>
      <w:pPr>
        <w:spacing w:after="0" w:line="16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2021 of $222 thousand was primarily the result net proceeds from the issuance and repayment of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5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we did not have any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80"/>
          </w:cols>
          <w:pgMar w:left="320" w:top="1440" w:right="399" w:bottom="1440" w:gutter="0" w:footer="0" w:header="0"/>
          <w:type w:val="continuous"/>
        </w:sectPr>
      </w:pPr>
    </w:p>
    <w:bookmarkStart w:id="33" w:name="page34"/>
    <w:bookmarkEnd w:id="33"/>
    <w:p>
      <w:pPr>
        <w:spacing w:after="0" w:line="30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320" w:top="1440" w:right="619" w:bottom="1440" w:gutter="0" w:footer="0" w:header="0"/>
        </w:sectPr>
      </w:pPr>
    </w:p>
    <w:bookmarkStart w:id="34" w:name="page35"/>
    <w:bookmarkEnd w:id="34"/>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440" w:right="37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6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Rules 13a-15(e) and 15d-15(e) under the Exchange Act) as of March 31, 2022, pursuant to Exchange Act Rule 13a-15. Based upon this evaluation, our chief executive officer and chief financial officer have concluded that as of May 16, 2022, as a result of the material weaknesses in our internal control over financial reporting discussed below, and in the Company’s annual report on Form 10-K for the year ended December 31, 2021, our disclosure controls and procedures were not effective.</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disclosed in Item 9 of our annual report on Form 10-K for the year ended December 31, 2021, management concluded that we lack a sufficient number of trained professionals with technical accounting expertise to identify, evaluate, value and account for complex transactions. We also found we have insufficient accounting resources to maintain appropriate segregation of duties, including to ensure journal entries are reviewed by personnel independent of the preparer.</w:t>
      </w:r>
    </w:p>
    <w:p>
      <w:pPr>
        <w:spacing w:after="0" w:line="207"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Management has taken steps to evaluate resources throughout the organization to determine where current resources should be reassigned and where additional resources are needed to consistently and timely execute internal control activities. The material weaknesses will not be considered remediated until remediated controls operate for a sufficient period of time and management has concluded that these controls are operating effectively.</w:t>
      </w:r>
    </w:p>
    <w:p>
      <w:pPr>
        <w:spacing w:after="0" w:line="18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firstLine="180"/>
        <w:spacing w:after="0" w:line="251" w:lineRule="auto"/>
        <w:rPr>
          <w:sz w:val="20"/>
          <w:szCs w:val="20"/>
          <w:color w:val="auto"/>
        </w:rPr>
      </w:pPr>
      <w:r>
        <w:rPr>
          <w:rFonts w:ascii="Times New Roman" w:cs="Times New Roman" w:eastAsia="Times New Roman" w:hAnsi="Times New Roman"/>
          <w:sz w:val="18"/>
          <w:szCs w:val="18"/>
          <w:color w:val="auto"/>
        </w:rPr>
        <w:t>During the quarter ended March 31, 2022, there were no significant changes in our internal control over financial reporting (as defined in Rule 13a-15(f) under the Securities Exchange Act of 1934, as amended) that have materially affected or are reasonably likely to materially affect the Company’s internal</w:t>
      </w:r>
    </w:p>
    <w:p>
      <w:pPr>
        <w:spacing w:after="0"/>
        <w:rPr>
          <w:sz w:val="20"/>
          <w:szCs w:val="20"/>
          <w:color w:val="auto"/>
        </w:rPr>
      </w:pPr>
      <w:r>
        <w:rPr>
          <w:rFonts w:ascii="Times New Roman" w:cs="Times New Roman" w:eastAsia="Times New Roman" w:hAnsi="Times New Roman"/>
          <w:sz w:val="18"/>
          <w:szCs w:val="18"/>
          <w:color w:val="auto"/>
        </w:rPr>
        <w:t>control over financial reporting</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80"/>
          </w:cols>
          <w:pgMar w:left="320" w:top="1440" w:right="39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risk factors set forth under Part I, Item 1A (“Risk Factors”) in our annual report on Form 10-K for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purchases of shares of our common stock by us during the quarterly period ended March 31,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2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0" w:type="dxa"/>
            <w:vAlign w:val="bottom"/>
          </w:tcPr>
          <w:p>
            <w:pPr>
              <w:spacing w:after="0"/>
              <w:rPr>
                <w:sz w:val="1"/>
                <w:szCs w:val="1"/>
                <w:color w:val="auto"/>
              </w:rPr>
            </w:pPr>
          </w:p>
        </w:tc>
      </w:tr>
      <w:tr>
        <w:trPr>
          <w:trHeight w:val="330"/>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 shares (or</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 shares (or</w:t>
            </w:r>
          </w:p>
        </w:tc>
        <w:tc>
          <w:tcPr>
            <w:tcW w:w="2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 per share</w:t>
            </w:r>
          </w:p>
        </w:tc>
        <w:tc>
          <w:tcPr>
            <w:tcW w:w="2320" w:type="dxa"/>
            <w:vAlign w:val="bottom"/>
            <w:gridSpan w:val="2"/>
            <w:vMerge w:val="continue"/>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230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units) purchased as part of</w:t>
            </w: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 (or units) that</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units) purchased</w:t>
            </w:r>
          </w:p>
        </w:tc>
        <w:tc>
          <w:tcPr>
            <w:tcW w:w="2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(or unit)</w:t>
            </w:r>
          </w:p>
        </w:tc>
        <w:tc>
          <w:tcPr>
            <w:tcW w:w="23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 plans or</w:t>
            </w: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1-31, 2022</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1-28, 2022</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1-31, 2022</w:t>
            </w:r>
          </w:p>
        </w:tc>
        <w:tc>
          <w:tcPr>
            <w:tcW w:w="2240" w:type="dxa"/>
            <w:vAlign w:val="bottom"/>
            <w:shd w:val="clear" w:color="auto" w:fill="CCEEFF"/>
          </w:tcPr>
          <w:p>
            <w:pPr>
              <w:jc w:val="center"/>
              <w:spacing w:after="0" w:line="219" w:lineRule="exact"/>
              <w:rPr>
                <w:sz w:val="20"/>
                <w:szCs w:val="20"/>
                <w:color w:val="auto"/>
              </w:rPr>
            </w:pPr>
            <w:r>
              <w:rPr>
                <w:rFonts w:ascii="Times New Roman" w:cs="Times New Roman" w:eastAsia="Times New Roman" w:hAnsi="Times New Roman"/>
                <w:sz w:val="16"/>
                <w:szCs w:val="16"/>
                <w:color w:val="auto"/>
                <w:w w:val="92"/>
              </w:rPr>
              <w:t>66,829</w:t>
            </w:r>
            <w:r>
              <w:rPr>
                <w:rFonts w:ascii="Times New Roman" w:cs="Times New Roman" w:eastAsia="Times New Roman" w:hAnsi="Times New Roman"/>
                <w:sz w:val="21"/>
                <w:szCs w:val="21"/>
                <w:color w:val="auto"/>
                <w:w w:val="92"/>
                <w:vertAlign w:val="superscript"/>
              </w:rPr>
              <w:t>(1)</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$8.23</w:t>
            </w:r>
          </w:p>
        </w:tc>
        <w:tc>
          <w:tcPr>
            <w:tcW w:w="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4"/>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66,829</w:t>
            </w:r>
          </w:p>
        </w:tc>
        <w:tc>
          <w:tcPr>
            <w:tcW w:w="8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w:t>
            </w:r>
          </w:p>
        </w:tc>
        <w:tc>
          <w:tcPr>
            <w:tcW w:w="8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left="340" w:hanging="332"/>
        <w:spacing w:after="0" w:line="281" w:lineRule="auto"/>
        <w:tabs>
          <w:tab w:leader="none" w:pos="36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March </w:t>
      </w:r>
      <w:r>
        <w:rPr>
          <w:rFonts w:ascii="Times New Roman" w:cs="Times New Roman" w:eastAsia="Times New Roman" w:hAnsi="Times New Roman"/>
          <w:sz w:val="17"/>
          <w:szCs w:val="17"/>
          <w:color w:val="auto"/>
        </w:rPr>
        <w:t>11, 2022, we purchased 66,829 shares of our common stock from Todd Glickman, Senior Vice President, Interim Chief Financial Officer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Treasurer, for $8.23 per share or an aggregate purchase price of $550,003. For additional information, see the disclosure under “Purchase of Shares from Executive Officer” in Note 15 of the Consolidated Financial Statements in Item 1 of Part I of this report, and the Stock Repurchase Agreement with Mr. Glickman filed as Exhibit 10.5 to this report, each of which is incorporated by reference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yet announced the date of the 2022 annual meeting of stockholders. We currently anticipate that the 2022 annual meeting of stockholders will be held between September 1, 2022 and December 1, 2022. For any proposal to be considered for inclusion in our proxy statement and form of proxy for submission to the stockholders at our 2022 annual meeting of stockholders, it must be submitted in writing and comply with the requirements of Rule 14a-8 of the Securities Exchange Act of 1934 and our bylaws. Such proposals must be received at our offices at 2101 East El Segundo Blvd., Suite 205, El Segundo, CA 90245, within a reasonable time before we begin to print and send proxy materials for the meeting.</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bylaws provide notice procedures for stockholders to propose business to be considered by stockholders at a meeting. To be timely, a stockholder’s notice must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7" w:name="page38"/>
    <w:bookmarkEnd w:id="37"/>
    <w:p>
      <w:pPr>
        <w:spacing w:after="0" w:line="3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 later than the close of business on the later of the 90th day prior to such annual meeting or the tenth day following the day on which public announcement of the date such meeting is first made. The chairman of the board may refuse to acknowledge the introduction of any stockholder proposal not made in compliance with the foregoing procedures.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our amended and restated bylaws provide notice procedures for stockholders to nominate a person as a director to be considered by stockholders at a meeting. To be timely, a stockholder’s notice must be received by the secretary at the principal executive offices of the company, in the case of an annual meeting not later than the close of business on the 90th day nor earlier than the close of business on the 120th day prior to the first anniversary of the preceding year’s annual meeting;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not later than the close of business on the later of the 90th day prior to such annual meeting or the tenth day following the day on which public announcement of the date of such meeting was first made. The chairman of the board may refuse to acknowledge the introduction of any stockholder nomination not made in compliance with the foregoing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440" w:right="37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140" w:type="dxa"/>
            <w:vAlign w:val="bottom"/>
            <w:tcBorders>
              <w:bottom w:val="single" w:sz="8" w:color="auto"/>
            </w:tcBorders>
          </w:tcPr>
          <w:p>
            <w:pPr>
              <w:spacing w:after="0"/>
              <w:rPr>
                <w:sz w:val="18"/>
                <w:szCs w:val="18"/>
                <w:color w:val="auto"/>
              </w:rPr>
            </w:pPr>
          </w:p>
        </w:tc>
      </w:tr>
      <w:tr>
        <w:trPr>
          <w:trHeight w:val="214"/>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8"/>
                <w:szCs w:val="18"/>
                <w:color w:val="auto"/>
              </w:rPr>
            </w:pPr>
          </w:p>
        </w:tc>
        <w:tc>
          <w:tcPr>
            <w:tcW w:w="582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60" w:type="dxa"/>
            <w:vAlign w:val="bottom"/>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8"/>
                <w:szCs w:val="18"/>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39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980" w:type="dxa"/>
            <w:vAlign w:val="bottom"/>
            <w:gridSpan w:val="2"/>
          </w:tcPr>
          <w:p>
            <w:pPr>
              <w:ind w:left="20"/>
              <w:spacing w:after="0"/>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Navitas Semiconductor Corporation 2021 Equity Incentive Plan</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7"/>
              </w:rPr>
              <w:t>8-K/A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11/15/2021</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980" w:type="dxa"/>
            <w:vAlign w:val="bottom"/>
            <w:gridSpan w:val="2"/>
          </w:tcPr>
          <w:p>
            <w:pPr>
              <w:ind w:left="20"/>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Form of Restricted Stock Unit Agreement</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10/25/2021</w:t>
            </w:r>
          </w:p>
        </w:tc>
      </w:tr>
      <w:tr>
        <w:trPr>
          <w:trHeight w:val="31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980" w:type="dxa"/>
            <w:vAlign w:val="bottom"/>
            <w:gridSpan w:val="2"/>
          </w:tcPr>
          <w:p>
            <w:pPr>
              <w:ind w:left="20"/>
              <w:spacing w:after="0"/>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Form of Stock Option Agreement</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10/25/2021</w:t>
            </w:r>
          </w:p>
        </w:tc>
      </w:tr>
      <w:tr>
        <w:trPr>
          <w:trHeight w:val="31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980" w:type="dxa"/>
            <w:vAlign w:val="bottom"/>
            <w:gridSpan w:val="2"/>
          </w:tcPr>
          <w:p>
            <w:pPr>
              <w:ind w:left="20"/>
              <w:spacing w:after="0"/>
              <w:rPr>
                <w:rFonts w:ascii="Times New Roman" w:cs="Times New Roman" w:eastAsia="Times New Roman" w:hAnsi="Times New Roman"/>
                <w:sz w:val="16"/>
                <w:szCs w:val="16"/>
                <w:color w:val="0000FF"/>
              </w:rPr>
            </w:pPr>
            <w:hyperlink r:id="rId25">
              <w:r>
                <w:rPr>
                  <w:rFonts w:ascii="Times New Roman" w:cs="Times New Roman" w:eastAsia="Times New Roman" w:hAnsi="Times New Roman"/>
                  <w:sz w:val="16"/>
                  <w:szCs w:val="16"/>
                  <w:color w:val="0000FF"/>
                </w:rPr>
                <w:t>Amended and Restated Navitas Semiconductor Limited 2020 Equity Incentive Plan</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S-4/A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8/23/2021</w:t>
            </w:r>
          </w:p>
        </w:tc>
      </w:tr>
      <w:tr>
        <w:trPr>
          <w:trHeight w:val="26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Repurchase Agreement, dated March 4, 2022, between Todd Glickman and</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Navitas Semiconductor Corporation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302 Certification of the Chief Executive Officer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24"/>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302 Certification of the Chief Financial Officer</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6"/>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Executive Officer pursuant to 18 U.S.C. 1350, as adopted</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pursuant to Section 906 of the Sarbanes-Oxley Act of 2002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6"/>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3"/>
                <w:szCs w:val="23"/>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Financial Officer pursuant to 18 U.S.C. 1350, as adopted</w:t>
            </w: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pursuant to Section 906 of the Sarbanes-Oxley Act of 2002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46" w:lineRule="exact"/>
        <w:rPr>
          <w:sz w:val="20"/>
          <w:szCs w:val="20"/>
          <w:color w:val="auto"/>
        </w:rPr>
      </w:pPr>
    </w:p>
    <w:p>
      <w:pPr>
        <w:ind w:right="7560" w:firstLine="8"/>
        <w:spacing w:after="0" w:line="299" w:lineRule="auto"/>
        <w:tabs>
          <w:tab w:leader="none" w:pos="24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arrangement. * Filed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9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77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Gene Sheridan</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4" w:lineRule="exact"/>
        <w:rPr>
          <w:sz w:val="20"/>
          <w:szCs w:val="20"/>
          <w:color w:val="auto"/>
        </w:rPr>
      </w:pPr>
    </w:p>
    <w:p>
      <w:pPr>
        <w:jc w:val="center"/>
        <w:ind w:right="260"/>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16, 2022</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20" w:val="left"/>
        </w:tabs>
        <w:rPr>
          <w:sz w:val="20"/>
          <w:szCs w:val="20"/>
          <w:color w:val="auto"/>
        </w:rPr>
      </w:pPr>
      <w:r>
        <w:rPr>
          <w:rFonts w:ascii="Times New Roman" w:cs="Times New Roman" w:eastAsia="Times New Roman" w:hAnsi="Times New Roman"/>
          <w:sz w:val="18"/>
          <w:szCs w:val="18"/>
          <w:color w:val="auto"/>
        </w:rPr>
        <w:t>By:</w:t>
        <w:tab/>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1903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Todd Glickman</w:t>
      </w:r>
    </w:p>
    <w:p>
      <w:pPr>
        <w:spacing w:after="0" w:line="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Sr. V.P., Interim Chief Financial Officer</w:t>
      </w:r>
    </w:p>
    <w:p>
      <w:pPr>
        <w:ind w:left="4940"/>
        <w:spacing w:after="0"/>
        <w:rPr>
          <w:sz w:val="20"/>
          <w:szCs w:val="20"/>
          <w:color w:val="auto"/>
        </w:rPr>
      </w:pPr>
      <w:r>
        <w:rPr>
          <w:rFonts w:ascii="Times New Roman" w:cs="Times New Roman" w:eastAsia="Times New Roman" w:hAnsi="Times New Roman"/>
          <w:sz w:val="18"/>
          <w:szCs w:val="18"/>
          <w:color w:val="auto"/>
        </w:rPr>
        <w:t>and Treasurer</w:t>
      </w:r>
    </w:p>
    <w:p>
      <w:pPr>
        <w:spacing w:after="0" w:line="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4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jc w:val="center"/>
        <w:ind w:right="420"/>
        <w:spacing w:after="0"/>
        <w:tabs>
          <w:tab w:leader="none" w:pos="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60"/>
          </w:cols>
          <w:pgMar w:left="320" w:top="1440" w:right="819" w:bottom="1440" w:gutter="0" w:footer="0" w:header="0"/>
        </w:sectPr>
      </w:pPr>
    </w:p>
    <w:bookmarkStart w:id="40" w:name="page41"/>
    <w:bookmarkEnd w:id="40"/>
    <w:p>
      <w:pPr>
        <w:spacing w:after="0" w:line="280"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9"/>
          <w:szCs w:val="19"/>
          <w:b w:val="1"/>
          <w:bCs w:val="1"/>
          <w:color w:val="auto"/>
        </w:rPr>
        <w:t xml:space="preserve">Exhibit </w:t>
      </w:r>
      <w:r>
        <w:rPr>
          <w:rFonts w:ascii="Times New Roman" w:cs="Times New Roman" w:eastAsia="Times New Roman" w:hAnsi="Times New Roman"/>
          <w:sz w:val="16"/>
          <w:szCs w:val="16"/>
          <w:b w:val="1"/>
          <w:bCs w:val="1"/>
          <w:color w:val="auto"/>
        </w:rPr>
        <w:t>10.5</w:t>
      </w:r>
    </w:p>
    <w:p>
      <w:pPr>
        <w:spacing w:after="0" w:line="2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STOCK REPURCHASE AGREEMENT</w:t>
      </w:r>
    </w:p>
    <w:p>
      <w:pPr>
        <w:spacing w:after="0" w:line="24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This Stock Repurchase Agreement (this “Agreement”) is entered into on March 4, 2022 (the “Signing Date”) between Todd Glickman (“Executive”) and Navitas Semiconductor Corporation, a Delaware corporation (the “Company”). Capitalized terms used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this Agreement have the meanings given to such terms herein.</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Executive is Senior Vice President, Interim Chief Financial Officer and Treasurer of the Company;</w:t>
      </w:r>
    </w:p>
    <w:p>
      <w:pPr>
        <w:spacing w:after="0" w:line="67" w:lineRule="exact"/>
        <w:rPr>
          <w:sz w:val="20"/>
          <w:szCs w:val="20"/>
          <w:color w:val="auto"/>
        </w:rPr>
      </w:pPr>
    </w:p>
    <w:p>
      <w:pPr>
        <w:jc w:val="both"/>
        <w:ind w:firstLine="647"/>
        <w:spacing w:after="0"/>
        <w:rPr>
          <w:sz w:val="20"/>
          <w:szCs w:val="20"/>
          <w:color w:val="auto"/>
        </w:rPr>
      </w:pPr>
      <w:r>
        <w:rPr>
          <w:rFonts w:ascii="Times New Roman" w:cs="Times New Roman" w:eastAsia="Times New Roman" w:hAnsi="Times New Roman"/>
          <w:sz w:val="20"/>
          <w:szCs w:val="20"/>
          <w:color w:val="auto"/>
        </w:rPr>
        <w:t>WHEREAS, Executive beneficially owns of a total of 829,896 shares of the Class A Common Stock, par value $0.0001 per share (the “Common Stock”), of the Company, and a total of 104,173 options to purchase shares of Common Stock;</w:t>
      </w:r>
    </w:p>
    <w:p>
      <w:pPr>
        <w:spacing w:after="0" w:line="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WHEREAS, prior to the business combination transaction (the “Business Combination”) between the Company (formerly known as Live Oak Acquisition Corp. II) and Navitas Semiconductor Limited, a private company limited by shares organized under</w:t>
      </w:r>
    </w:p>
    <w:p>
      <w:pPr>
        <w:spacing w:after="0" w:line="212" w:lineRule="auto"/>
        <w:rPr>
          <w:sz w:val="20"/>
          <w:szCs w:val="20"/>
          <w:color w:val="auto"/>
        </w:rPr>
      </w:pPr>
      <w:r>
        <w:rPr>
          <w:rFonts w:ascii="Times New Roman" w:cs="Times New Roman" w:eastAsia="Times New Roman" w:hAnsi="Times New Roman"/>
          <w:sz w:val="20"/>
          <w:szCs w:val="20"/>
          <w:color w:val="auto"/>
        </w:rPr>
        <w:t>the laws of Ireland and domesticated as a Delaware limited liability company named Navitas Semiconductor Ireland, LLC (“Legacy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Navitas”), Executive exercised certain options to purchase shares of Legacy Navitas, which shares were exchanged and converted into shares of Common Stock on October 19, 2021 upon the closing of the Business Combination;</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pursuant to a Lock-Up Agreement between the Company and Executive entered into on May 6, 2021 in</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connection with the Business Combination (the “Lock-Up Agreement”), the Company agreed to permit Executive to sell certain shares of Common Stock to satisfy certain tax obligations of Executive related to Executive’s exercise of the Legacy Navitas options</w:t>
      </w:r>
    </w:p>
    <w:p>
      <w:pPr>
        <w:spacing w:after="0"/>
        <w:rPr>
          <w:sz w:val="20"/>
          <w:szCs w:val="20"/>
          <w:color w:val="auto"/>
        </w:rPr>
      </w:pPr>
      <w:r>
        <w:rPr>
          <w:rFonts w:ascii="Times New Roman" w:cs="Times New Roman" w:eastAsia="Times New Roman" w:hAnsi="Times New Roman"/>
          <w:sz w:val="20"/>
          <w:szCs w:val="20"/>
          <w:color w:val="auto"/>
        </w:rPr>
        <w:t>referred to above;</w:t>
      </w:r>
    </w:p>
    <w:p>
      <w:pPr>
        <w:spacing w:after="0" w:line="4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Executive has been unable, through no fault of Executive, to execute the sales contemplated by the Lock-Up Agreement; and</w:t>
      </w:r>
    </w:p>
    <w:p>
      <w:pPr>
        <w:spacing w:after="0" w:line="53" w:lineRule="exact"/>
        <w:rPr>
          <w:sz w:val="20"/>
          <w:szCs w:val="20"/>
          <w:color w:val="auto"/>
        </w:rPr>
      </w:pPr>
    </w:p>
    <w:p>
      <w:pPr>
        <w:jc w:val="both"/>
        <w:ind w:firstLine="647"/>
        <w:spacing w:after="0" w:line="215" w:lineRule="auto"/>
        <w:rPr>
          <w:sz w:val="20"/>
          <w:szCs w:val="20"/>
          <w:color w:val="auto"/>
        </w:rPr>
      </w:pPr>
      <w:r>
        <w:rPr>
          <w:rFonts w:ascii="Times New Roman" w:cs="Times New Roman" w:eastAsia="Times New Roman" w:hAnsi="Times New Roman"/>
          <w:sz w:val="20"/>
          <w:szCs w:val="20"/>
          <w:color w:val="auto"/>
        </w:rPr>
        <w:t>WHEREAS, in order to effectuate the parties’ intentions under the Lock-Up Agreement in permitting such sales, and the purposes thereof, and to permit Executive to timely satisfy related and other tax obligations of Executive, the Company wishes to</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purchase the Purchased Shares from Executive, and Executive wishes to sell the Purchased Shares to the Company, all on the terms and subject to the conditions of this Agreement;</w:t>
      </w:r>
    </w:p>
    <w:p>
      <w:pPr>
        <w:spacing w:after="0" w:line="4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hereinafter set forth and for other good and valuable consideration, the receipt and sufficiency of which are hereby acknowledged, Executive and the Company agree as follows:</w:t>
      </w:r>
    </w:p>
    <w:p>
      <w:pPr>
        <w:spacing w:after="0" w:line="16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PURCHASE AND SALE</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19"/>
          <w:szCs w:val="19"/>
          <w:b w:val="1"/>
          <w:bCs w:val="1"/>
          <w:color w:val="auto"/>
        </w:rPr>
        <w:t>Purchase and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Subject to the terms and conditions set forth herein, at the Closing, Executive shall sell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and the Company shall purchase from Executive, the Purchased Shares, free and clear of any pledge, lien, charge, security interest, claim, community property interest, option, equitable interest or restriction of any kind, in exchange for the aggregate Purchase Price. “Purchased Shares” means that number of shares of Common Stock owned by Executive equal to</w:t>
      </w:r>
    </w:p>
    <w:p>
      <w:pPr>
        <w:spacing w:after="0" w:line="1" w:lineRule="exact"/>
        <w:rPr>
          <w:sz w:val="20"/>
          <w:szCs w:val="20"/>
          <w:color w:val="auto"/>
        </w:rPr>
      </w:pPr>
    </w:p>
    <w:p>
      <w:pPr>
        <w:ind w:firstLine="10"/>
        <w:spacing w:after="0" w:line="221" w:lineRule="auto"/>
        <w:tabs>
          <w:tab w:leader="none" w:pos="77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$550,000, </w:t>
      </w:r>
      <w:r>
        <w:rPr>
          <w:rFonts w:ascii="Times New Roman" w:cs="Times New Roman" w:eastAsia="Times New Roman" w:hAnsi="Times New Roman"/>
          <w:sz w:val="20"/>
          <w:szCs w:val="20"/>
          <w:i w:val="1"/>
          <w:iCs w:val="1"/>
          <w:u w:val="single" w:color="auto"/>
          <w:color w:val="auto"/>
        </w:rPr>
        <w:t>divided by</w:t>
      </w:r>
      <w:r>
        <w:rPr>
          <w:rFonts w:ascii="Times New Roman" w:cs="Times New Roman" w:eastAsia="Times New Roman" w:hAnsi="Times New Roman"/>
          <w:sz w:val="20"/>
          <w:szCs w:val="20"/>
          <w:color w:val="auto"/>
        </w:rPr>
        <w:t xml:space="preserve"> (b) the last reported sales price per share (the “Purchase Price”) of the Common Stock quoted on the Nasdaq Stock Market on the trading day immediately before the Closing Date, rounded to the nearest whole number of shares.</w:t>
      </w:r>
    </w:p>
    <w:p>
      <w:pPr>
        <w:spacing w:after="0" w:line="194" w:lineRule="exact"/>
        <w:rPr>
          <w:sz w:val="20"/>
          <w:szCs w:val="20"/>
          <w:color w:val="auto"/>
        </w:rPr>
      </w:pPr>
    </w:p>
    <w:p>
      <w:pPr>
        <w:jc w:val="both"/>
        <w:ind w:firstLine="64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closing of the purchase and sale of the Purchased Shares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shall occur on the fifth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(5th) trading day after the date the board of directors approves this Agreement as contemplated by Section 2.01 of this Agreement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remotely by the exchange of documents and signatures or their electronic counterparts. The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00"/>
          </w:cols>
          <w:pgMar w:left="840" w:top="1440" w:right="459" w:bottom="1440" w:gutter="0" w:footer="0" w:header="0"/>
        </w:sectPr>
      </w:pPr>
    </w:p>
    <w:bookmarkStart w:id="41" w:name="page42"/>
    <w:bookmarkEnd w:id="41"/>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and sale of the Purchased Shares shall be deemed to occur at 12:01 a.m. Pacific Time on the Closing Date.</w:t>
      </w:r>
    </w:p>
    <w:p>
      <w:pPr>
        <w:spacing w:after="0" w:line="2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19"/>
          <w:szCs w:val="19"/>
          <w:b w:val="1"/>
          <w:bCs w:val="1"/>
          <w:color w:val="auto"/>
        </w:rPr>
        <w:t xml:space="preserve">Closing Deliverables. </w:t>
      </w:r>
      <w:r>
        <w:rPr>
          <w:rFonts w:ascii="Times New Roman" w:cs="Times New Roman" w:eastAsia="Times New Roman" w:hAnsi="Times New Roman"/>
          <w:sz w:val="19"/>
          <w:szCs w:val="19"/>
          <w:color w:val="auto"/>
        </w:rPr>
        <w:t>At the Closing:</w:t>
      </w:r>
    </w:p>
    <w:p>
      <w:pPr>
        <w:spacing w:after="0" w:line="228" w:lineRule="exact"/>
        <w:rPr>
          <w:sz w:val="20"/>
          <w:szCs w:val="20"/>
          <w:color w:val="auto"/>
        </w:rPr>
      </w:pPr>
    </w:p>
    <w:p>
      <w:pPr>
        <w:jc w:val="both"/>
        <w:ind w:left="660" w:firstLine="645"/>
        <w:spacing w:after="0" w:line="223" w:lineRule="auto"/>
        <w:tabs>
          <w:tab w:leader="none" w:pos="20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 shall deliver to the Company stock powers or other instruments of transfer duly executed in blank and satisfactory to the Company to convey all of Executive’s right, title and interest in the Purchased Shares to the Company;</w:t>
      </w:r>
    </w:p>
    <w:p>
      <w:pPr>
        <w:spacing w:after="0" w:line="201" w:lineRule="exact"/>
        <w:rPr>
          <w:rFonts w:ascii="Times New Roman" w:cs="Times New Roman" w:eastAsia="Times New Roman" w:hAnsi="Times New Roman"/>
          <w:sz w:val="22"/>
          <w:szCs w:val="22"/>
          <w:color w:val="auto"/>
        </w:rPr>
      </w:pPr>
    </w:p>
    <w:p>
      <w:pPr>
        <w:ind w:left="660" w:right="20" w:firstLine="645"/>
        <w:spacing w:after="0" w:line="229" w:lineRule="auto"/>
        <w:tabs>
          <w:tab w:leader="none" w:pos="207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deliver to Executive an amount equal to the number of Purchased Shares multiplied by the Purchase Price, by wire transfer of immediately available funds to an account designated by Executive; and</w:t>
      </w:r>
    </w:p>
    <w:p>
      <w:pPr>
        <w:spacing w:after="0" w:line="200" w:lineRule="exact"/>
        <w:rPr>
          <w:rFonts w:ascii="Times New Roman" w:cs="Times New Roman" w:eastAsia="Times New Roman" w:hAnsi="Times New Roman"/>
          <w:sz w:val="22"/>
          <w:szCs w:val="22"/>
          <w:color w:val="auto"/>
        </w:rPr>
      </w:pPr>
    </w:p>
    <w:p>
      <w:pPr>
        <w:ind w:left="660" w:right="20" w:firstLine="645"/>
        <w:spacing w:after="0" w:line="229" w:lineRule="auto"/>
        <w:tabs>
          <w:tab w:leader="none" w:pos="20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party shall deliver to the other such other instruments or agreements reasonably requested to carry out the purposes and intent of this Agreement.</w:t>
      </w:r>
    </w:p>
    <w:p>
      <w:pPr>
        <w:spacing w:after="0" w:line="19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CONDITIONS AND UNDERTAKINGS</w:t>
      </w:r>
    </w:p>
    <w:p>
      <w:pPr>
        <w:spacing w:after="0" w:line="21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2.01 </w:t>
      </w:r>
      <w:r>
        <w:rPr>
          <w:rFonts w:ascii="Times New Roman" w:cs="Times New Roman" w:eastAsia="Times New Roman" w:hAnsi="Times New Roman"/>
          <w:sz w:val="19"/>
          <w:szCs w:val="19"/>
          <w:b w:val="1"/>
          <w:bCs w:val="1"/>
          <w:color w:val="auto"/>
        </w:rPr>
        <w:t>Board Approval.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performance of the Company’s obligations under this Agreement shall be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condition precedent that the purchase of the Purchased Shares as provided herein shall have been duly approved by the board of directors of the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2.02 </w:t>
      </w:r>
      <w:r>
        <w:rPr>
          <w:rFonts w:ascii="Times New Roman" w:cs="Times New Roman" w:eastAsia="Times New Roman" w:hAnsi="Times New Roman"/>
          <w:sz w:val="19"/>
          <w:szCs w:val="19"/>
          <w:b w:val="1"/>
          <w:bCs w:val="1"/>
          <w:color w:val="auto"/>
        </w:rPr>
        <w:t>Disclosure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Executive and the Company shall comply with all of their respective reporting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disclosure obligations arising in connection with the transactions contemplated by this Agreement, including without limitation the timely filing of SEC Form 4 and the disclosures required by Items 404 and 703 of Regulation S-K, 17 CFR §§ 229.404 and 229.703,</w:t>
      </w:r>
    </w:p>
    <w:p>
      <w:pPr>
        <w:spacing w:after="0"/>
        <w:rPr>
          <w:sz w:val="20"/>
          <w:szCs w:val="20"/>
          <w:color w:val="auto"/>
        </w:rPr>
      </w:pPr>
      <w:r>
        <w:rPr>
          <w:rFonts w:ascii="Times New Roman" w:cs="Times New Roman" w:eastAsia="Times New Roman" w:hAnsi="Times New Roman"/>
          <w:sz w:val="20"/>
          <w:szCs w:val="20"/>
          <w:color w:val="auto"/>
        </w:rPr>
        <w:t>as and when applicable.</w:t>
      </w:r>
    </w:p>
    <w:p>
      <w:pPr>
        <w:spacing w:after="0" w:line="185"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Section 2.03 </w:t>
      </w:r>
      <w:r>
        <w:rPr>
          <w:rFonts w:ascii="Times New Roman" w:cs="Times New Roman" w:eastAsia="Times New Roman" w:hAnsi="Times New Roman"/>
          <w:sz w:val="19"/>
          <w:szCs w:val="19"/>
          <w:b w:val="1"/>
          <w:bCs w:val="1"/>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parties agree that the transactions contemplated by this Agreement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undertaken in part by reason of the fact that Executive is an officer of the Company, and accordingly Executive shall be entitled to</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indemnification by the Company, pursuant to and subject to the conditions of the applicable provisions of the Bylaws of the Company and any indemnification agreement between Executive and the Company, in connection with the transactions contemplated</w:t>
      </w:r>
    </w:p>
    <w:p>
      <w:pPr>
        <w:spacing w:after="0"/>
        <w:rPr>
          <w:sz w:val="20"/>
          <w:szCs w:val="20"/>
          <w:color w:val="auto"/>
        </w:rPr>
      </w:pPr>
      <w:r>
        <w:rPr>
          <w:rFonts w:ascii="Times New Roman" w:cs="Times New Roman" w:eastAsia="Times New Roman" w:hAnsi="Times New Roman"/>
          <w:sz w:val="20"/>
          <w:szCs w:val="20"/>
          <w:color w:val="auto"/>
        </w:rPr>
        <w:t>by this Agreement.</w:t>
      </w:r>
    </w:p>
    <w:p>
      <w:pPr>
        <w:spacing w:after="0" w:line="1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8"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Section 3.01 </w:t>
      </w:r>
      <w:r>
        <w:rPr>
          <w:rFonts w:ascii="Times New Roman" w:cs="Times New Roman" w:eastAsia="Times New Roman" w:hAnsi="Times New Roman"/>
          <w:sz w:val="19"/>
          <w:szCs w:val="19"/>
          <w:b w:val="1"/>
          <w:bCs w:val="1"/>
          <w:color w:val="auto"/>
        </w:rPr>
        <w:t>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Subject to Section 2.03, all costs and expenses incurred in connection with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transactions contemplated hereby shall be paid by the party incurring such costs and expenses.</w:t>
      </w:r>
    </w:p>
    <w:p>
      <w:pPr>
        <w:spacing w:after="0" w:line="179"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3.02 </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If any term or provision of this Agreement is invalid, illegal, or unenforceable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jurisdiction, such invalidity, illegality, or unenforceability shall not affect any other term or provision of this Agreement.</w:t>
      </w:r>
    </w:p>
    <w:p>
      <w:pPr>
        <w:spacing w:after="0" w:line="16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Section 3.03 </w:t>
      </w:r>
      <w:r>
        <w:rPr>
          <w:rFonts w:ascii="Times New Roman" w:cs="Times New Roman" w:eastAsia="Times New Roman" w:hAnsi="Times New Roman"/>
          <w:sz w:val="19"/>
          <w:szCs w:val="19"/>
          <w:b w:val="1"/>
          <w:bCs w:val="1"/>
          <w:color w:val="auto"/>
        </w:rPr>
        <w:t>No Termination or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Following approval by the board of directors as contemplated by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2.01, this Agreement may not be amended or terminated by either party except in the case of an unforeseeable material adverse event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affecting the Company, as determined in the sole discretion of the board of directors, in which case this Agreement may be terminated by either the Company or Executive upon written notice to the other. Upon approval by the board of directors as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contemplated by Section 2.01, this Agreement shall constitute a contract for the sale of a security intended to comply with Rule 10b5-1(c) under the Securities Exchange Act of 1934 (17 CFR § 240.10b5-1(c)).</w:t>
      </w:r>
    </w:p>
    <w:p>
      <w:pPr>
        <w:spacing w:after="0" w:line="200" w:lineRule="exact"/>
        <w:rPr>
          <w:sz w:val="20"/>
          <w:szCs w:val="20"/>
          <w:color w:val="auto"/>
        </w:rPr>
      </w:pPr>
    </w:p>
    <w:p>
      <w:pPr>
        <w:spacing w:after="0" w:line="3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00"/>
          </w:cols>
          <w:pgMar w:left="840" w:top="1440" w:right="459" w:bottom="1440" w:gutter="0" w:footer="0" w:header="0"/>
        </w:sectPr>
      </w:pPr>
    </w:p>
    <w:bookmarkStart w:id="42" w:name="page43"/>
    <w:bookmarkEnd w:id="42"/>
    <w:p>
      <w:pPr>
        <w:spacing w:after="0" w:line="200" w:lineRule="exact"/>
        <w:rPr>
          <w:sz w:val="20"/>
          <w:szCs w:val="20"/>
          <w:color w:val="auto"/>
        </w:rPr>
      </w:pPr>
    </w:p>
    <w:p>
      <w:pPr>
        <w:spacing w:after="0" w:line="31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3.04 </w:t>
      </w: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This Agreement is the sole and entire agreement of the parties to this Agreement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respect to the subject matter contained herein, and supersedes all prior and contemporaneous understandings and agreements, both written and oral, with respect to such subject matter.</w:t>
      </w:r>
    </w:p>
    <w:p>
      <w:pPr>
        <w:spacing w:after="0" w:line="1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200" w:lineRule="exact"/>
        <w:rPr>
          <w:sz w:val="20"/>
          <w:szCs w:val="20"/>
          <w:color w:val="auto"/>
        </w:rPr>
      </w:pPr>
    </w:p>
    <w:p>
      <w:pPr>
        <w:spacing w:after="0" w:line="38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600"/>
          </w:cols>
          <w:pgMar w:left="840" w:top="1440" w:right="459" w:bottom="1440" w:gutter="0" w:footer="0" w:header="0"/>
        </w:sectPr>
      </w:pPr>
    </w:p>
    <w:bookmarkStart w:id="43" w:name="page44"/>
    <w:bookmarkEnd w:id="43"/>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or caused this Agreement to be executed on the Signing Date.</w:t>
      </w:r>
    </w:p>
    <w:p>
      <w:pPr>
        <w:sectPr>
          <w:pgSz w:w="11900" w:h="16838" w:orient="portrait"/>
          <w:cols w:equalWidth="0" w:num="1">
            <w:col w:w="9340"/>
          </w:cols>
          <w:pgMar w:left="1440" w:top="1440" w:right="1119" w:bottom="1440" w:gutter="0" w:footer="0" w:header="0"/>
        </w:sectPr>
      </w:pPr>
    </w:p>
    <w:p>
      <w:pPr>
        <w:spacing w:after="0" w:line="36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NAVITAS SEMICONDUCTOR CORPORATION</w:t>
      </w:r>
    </w:p>
    <w:p>
      <w:pPr>
        <w:spacing w:after="0" w:line="357" w:lineRule="exact"/>
        <w:rPr>
          <w:sz w:val="20"/>
          <w:szCs w:val="20"/>
          <w:color w:val="auto"/>
        </w:rPr>
      </w:pPr>
    </w:p>
    <w:p>
      <w:pPr>
        <w:ind w:left="3420"/>
        <w:spacing w:after="0"/>
        <w:tabs>
          <w:tab w:leader="none" w:pos="3880" w:val="left"/>
          <w:tab w:leader="none" w:pos="5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Gene Sheridan</w:t>
      </w:r>
      <w:r>
        <w:rPr>
          <w:sz w:val="20"/>
          <w:szCs w:val="20"/>
          <w:color w:val="auto"/>
        </w:rPr>
        <w:tab/>
      </w:r>
      <w:r>
        <w:rPr>
          <w:rFonts w:ascii="Times New Roman" w:cs="Times New Roman" w:eastAsia="Times New Roman" w:hAnsi="Times New Roman"/>
          <w:sz w:val="19"/>
          <w:szCs w:val="19"/>
          <w:color w:val="auto"/>
        </w:rPr>
        <w:t>Mar 4, 2022</w:t>
      </w:r>
    </w:p>
    <w:p>
      <w:pPr>
        <w:ind w:left="3620"/>
        <w:spacing w:after="0" w:line="211" w:lineRule="auto"/>
        <w:rPr>
          <w:sz w:val="20"/>
          <w:szCs w:val="20"/>
          <w:color w:val="auto"/>
        </w:rPr>
      </w:pPr>
      <w:r>
        <w:rPr>
          <w:rFonts w:ascii="Times New Roman" w:cs="Times New Roman" w:eastAsia="Times New Roman" w:hAnsi="Times New Roman"/>
          <w:sz w:val="20"/>
          <w:szCs w:val="20"/>
          <w:color w:val="auto"/>
        </w:rPr>
        <w:t>Gene Sheridan</w:t>
      </w:r>
    </w:p>
    <w:p>
      <w:pPr>
        <w:ind w:left="3620"/>
        <w:spacing w:after="0"/>
        <w:rPr>
          <w:sz w:val="20"/>
          <w:szCs w:val="20"/>
          <w:color w:val="auto"/>
        </w:rPr>
      </w:pPr>
      <w:r>
        <w:rPr>
          <w:rFonts w:ascii="Times New Roman" w:cs="Times New Roman" w:eastAsia="Times New Roman" w:hAnsi="Times New Roman"/>
          <w:sz w:val="20"/>
          <w:szCs w:val="20"/>
          <w:color w:val="auto"/>
        </w:rPr>
        <w:t>CEO</w:t>
      </w:r>
    </w:p>
    <w:p>
      <w:pPr>
        <w:spacing w:after="0" w:line="323" w:lineRule="exact"/>
        <w:rPr>
          <w:sz w:val="20"/>
          <w:szCs w:val="20"/>
          <w:color w:val="auto"/>
        </w:rPr>
      </w:pPr>
    </w:p>
    <w:p>
      <w:pPr>
        <w:ind w:left="3420"/>
        <w:spacing w:after="0"/>
        <w:tabs>
          <w:tab w:leader="none" w:pos="5960" w:val="left"/>
        </w:tabs>
        <w:rPr>
          <w:sz w:val="20"/>
          <w:szCs w:val="20"/>
          <w:color w:val="auto"/>
        </w:rPr>
      </w:pPr>
      <w:r>
        <w:rPr>
          <w:rFonts w:ascii="Times New Roman" w:cs="Times New Roman" w:eastAsia="Times New Roman" w:hAnsi="Times New Roman"/>
          <w:sz w:val="20"/>
          <w:szCs w:val="20"/>
          <w:u w:val="single" w:color="auto"/>
          <w:color w:val="auto"/>
        </w:rPr>
        <w:t>/s/ Todd Glickman</w:t>
      </w:r>
      <w:r>
        <w:rPr>
          <w:rFonts w:ascii="Times New Roman" w:cs="Times New Roman" w:eastAsia="Times New Roman" w:hAnsi="Times New Roman"/>
          <w:sz w:val="20"/>
          <w:szCs w:val="20"/>
          <w:color w:val="auto"/>
        </w:rPr>
        <w:t>_________</w:t>
      </w:r>
      <w:r>
        <w:rPr>
          <w:sz w:val="20"/>
          <w:szCs w:val="20"/>
          <w:color w:val="auto"/>
        </w:rPr>
        <w:tab/>
      </w:r>
      <w:r>
        <w:rPr>
          <w:rFonts w:ascii="Times New Roman" w:cs="Times New Roman" w:eastAsia="Times New Roman" w:hAnsi="Times New Roman"/>
          <w:sz w:val="19"/>
          <w:szCs w:val="19"/>
          <w:color w:val="auto"/>
        </w:rPr>
        <w:t>Mar 4, 2022</w:t>
      </w:r>
    </w:p>
    <w:p>
      <w:pPr>
        <w:ind w:left="3420"/>
        <w:spacing w:after="0"/>
        <w:rPr>
          <w:sz w:val="20"/>
          <w:szCs w:val="20"/>
          <w:color w:val="auto"/>
        </w:rPr>
      </w:pPr>
      <w:r>
        <w:rPr>
          <w:rFonts w:ascii="Times New Roman" w:cs="Times New Roman" w:eastAsia="Times New Roman" w:hAnsi="Times New Roman"/>
          <w:sz w:val="20"/>
          <w:szCs w:val="20"/>
          <w:color w:val="auto"/>
        </w:rPr>
        <w:t>Todd Glickman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340"/>
          </w:cols>
          <w:pgMar w:left="1440" w:top="1440" w:right="1119" w:bottom="1440" w:gutter="0" w:footer="0" w:header="0"/>
          <w:type w:val="continuous"/>
        </w:sectPr>
      </w:pPr>
    </w:p>
    <w:bookmarkStart w:id="44" w:name="page45"/>
    <w:bookmarkEnd w:id="44"/>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2022 of Navitas Semiconductor Corporation;</w:t>
      </w:r>
    </w:p>
    <w:p>
      <w:pPr>
        <w:spacing w:after="0" w:line="144"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4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 and</w:t>
      </w:r>
    </w:p>
    <w:p>
      <w:pPr>
        <w:spacing w:after="0" w:line="157"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50" w:lineRule="auto"/>
        <w:tabs>
          <w:tab w:leader="none" w:pos="7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u w:val="single" w:color="auto"/>
          <w:color w:val="auto"/>
        </w:rPr>
        <w:t>/s/ Gene Sheridan</w:t>
      </w:r>
    </w:p>
    <w:p>
      <w:pPr>
        <w:ind w:left="180"/>
        <w:spacing w:after="0" w:line="219" w:lineRule="auto"/>
        <w:rPr>
          <w:sz w:val="20"/>
          <w:szCs w:val="20"/>
          <w:color w:val="auto"/>
        </w:rPr>
      </w:pPr>
      <w:r>
        <w:rPr>
          <w:rFonts w:ascii="Times New Roman" w:cs="Times New Roman" w:eastAsia="Times New Roman" w:hAnsi="Times New Roman"/>
          <w:sz w:val="18"/>
          <w:szCs w:val="18"/>
          <w:color w:val="auto"/>
        </w:rPr>
        <w:t>Gene Sheridan</w:t>
      </w:r>
    </w:p>
    <w:p>
      <w:pPr>
        <w:ind w:left="18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Glickman, certify that:</w:t>
      </w:r>
    </w:p>
    <w:p>
      <w:pPr>
        <w:spacing w:after="0" w:line="15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2022,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 and</w:t>
      </w:r>
    </w:p>
    <w:p>
      <w:pPr>
        <w:spacing w:after="0" w:line="144" w:lineRule="exact"/>
        <w:rPr>
          <w:rFonts w:ascii="Times New Roman" w:cs="Times New Roman" w:eastAsia="Times New Roman" w:hAnsi="Times New Roman"/>
          <w:sz w:val="18"/>
          <w:szCs w:val="18"/>
          <w:color w:val="auto"/>
        </w:rPr>
      </w:pPr>
    </w:p>
    <w:p>
      <w:pPr>
        <w:ind w:left="740" w:hanging="408"/>
        <w:spacing w:after="0" w:line="250" w:lineRule="auto"/>
        <w:tabs>
          <w:tab w:leader="none" w:pos="8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340" w:hanging="332"/>
        <w:spacing w:after="0" w:line="237"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740" w:hanging="408"/>
        <w:spacing w:after="0" w:line="250" w:lineRule="auto"/>
        <w:tabs>
          <w:tab w:leader="none" w:pos="7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u w:val="single" w:color="auto"/>
          <w:color w:val="auto"/>
        </w:rPr>
        <w:t>/s/ Todd Glickman</w:t>
      </w:r>
    </w:p>
    <w:p>
      <w:pPr>
        <w:ind w:left="180"/>
        <w:spacing w:after="0" w:line="205" w:lineRule="auto"/>
        <w:rPr>
          <w:sz w:val="20"/>
          <w:szCs w:val="20"/>
          <w:color w:val="auto"/>
        </w:rPr>
      </w:pPr>
      <w:r>
        <w:rPr>
          <w:rFonts w:ascii="Times New Roman" w:cs="Times New Roman" w:eastAsia="Times New Roman" w:hAnsi="Times New Roman"/>
          <w:sz w:val="18"/>
          <w:szCs w:val="18"/>
          <w:color w:val="auto"/>
        </w:rPr>
        <w:t>Todd Glickman</w:t>
      </w:r>
    </w:p>
    <w:p>
      <w:pPr>
        <w:ind w:left="180"/>
        <w:spacing w:after="0" w:line="204" w:lineRule="auto"/>
        <w:rPr>
          <w:sz w:val="20"/>
          <w:szCs w:val="20"/>
          <w:color w:val="auto"/>
        </w:rPr>
      </w:pPr>
      <w:r>
        <w:rPr>
          <w:rFonts w:ascii="Times New Roman" w:cs="Times New Roman" w:eastAsia="Times New Roman" w:hAnsi="Times New Roman"/>
          <w:sz w:val="18"/>
          <w:szCs w:val="18"/>
          <w:color w:val="auto"/>
        </w:rPr>
        <w:t>Sr. V.P., Interim Chief Financial Officer and Treasurer</w:t>
      </w:r>
    </w:p>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Navitas Semiconductor Corporation (the “Company”) for the fiscal quarter ended March 31, 2022, as filed with the Securities and Exchange Commission (the “Report”), I, Gene Sheridan, President and Chief Executive Officer, and principal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1020" w:hanging="36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11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u w:val="single" w:color="auto"/>
          <w:color w:val="auto"/>
        </w:rPr>
        <w:t>/s/ Gene Sheridan</w:t>
      </w:r>
    </w:p>
    <w:p>
      <w:pPr>
        <w:ind w:left="180"/>
        <w:spacing w:after="0" w:line="205" w:lineRule="auto"/>
        <w:rPr>
          <w:sz w:val="20"/>
          <w:szCs w:val="20"/>
          <w:color w:val="auto"/>
        </w:rPr>
      </w:pPr>
      <w:r>
        <w:rPr>
          <w:rFonts w:ascii="Times New Roman" w:cs="Times New Roman" w:eastAsia="Times New Roman" w:hAnsi="Times New Roman"/>
          <w:sz w:val="18"/>
          <w:szCs w:val="18"/>
          <w:color w:val="auto"/>
        </w:rPr>
        <w:t>Gene Sheridan</w:t>
      </w:r>
    </w:p>
    <w:p>
      <w:pPr>
        <w:ind w:left="18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Navitas Semiconductor Corporation (the “Company”) for the fiscal quarter ended March 31, 2022, as filed with the Securities and Exchange Commission (the “Report”), I, Todd Glickman, Sr. V.P., Interim Chief Financial Officer and Treasurer, and principal financial and accounting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1020" w:hanging="36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11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u w:val="single" w:color="auto"/>
          <w:color w:val="auto"/>
        </w:rPr>
        <w:t>/s/ Todd Glickman</w:t>
      </w:r>
    </w:p>
    <w:p>
      <w:pPr>
        <w:ind w:left="180"/>
        <w:spacing w:after="0" w:line="205" w:lineRule="auto"/>
        <w:rPr>
          <w:sz w:val="20"/>
          <w:szCs w:val="20"/>
          <w:color w:val="auto"/>
        </w:rPr>
      </w:pPr>
      <w:r>
        <w:rPr>
          <w:rFonts w:ascii="Times New Roman" w:cs="Times New Roman" w:eastAsia="Times New Roman" w:hAnsi="Times New Roman"/>
          <w:sz w:val="18"/>
          <w:szCs w:val="18"/>
          <w:color w:val="auto"/>
        </w:rPr>
        <w:t>Todd Glickman</w:t>
      </w:r>
    </w:p>
    <w:p>
      <w:pPr>
        <w:ind w:left="180"/>
        <w:spacing w:after="0" w:line="204" w:lineRule="auto"/>
        <w:rPr>
          <w:sz w:val="20"/>
          <w:szCs w:val="20"/>
          <w:color w:val="auto"/>
        </w:rPr>
      </w:pPr>
      <w:r>
        <w:rPr>
          <w:rFonts w:ascii="Times New Roman" w:cs="Times New Roman" w:eastAsia="Times New Roman" w:hAnsi="Times New Roman"/>
          <w:sz w:val="18"/>
          <w:szCs w:val="18"/>
          <w:color w:val="auto"/>
        </w:rPr>
        <w:t>Sr. V.P., Interim Chief Financial Officer and Treasurer</w:t>
      </w:r>
    </w:p>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2" Type="http://schemas.openxmlformats.org/officeDocument/2006/relationships/hyperlink" Target="https://www.sec.gov/Archives/edgar/data/0001821769/000119312521329813/d606117dex105.htm" TargetMode="External"/><Relationship Id="rId23" Type="http://schemas.openxmlformats.org/officeDocument/2006/relationships/hyperlink" Target="http://www.sec.gov/Archives/edgar/data/1821769/000119312521306726/d225525dex106.htm" TargetMode="External"/><Relationship Id="rId24" Type="http://schemas.openxmlformats.org/officeDocument/2006/relationships/hyperlink" Target="http://www.sec.gov/Archives/edgar/data/1821769/000119312521306726/d225525dex107.htm" TargetMode="External"/><Relationship Id="rId25" Type="http://schemas.openxmlformats.org/officeDocument/2006/relationships/hyperlink" Target="https://www.sec.gov/Archives/edgar/data/1821769/000119312521253107/d123657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2022-05-17T05:24:39Z</dcterms:created>
  <dcterms:modified xsi:type="dcterms:W3CDTF">2022-05-17T05:24:39Z</dcterms:modified>
</cp:coreProperties>
</file>