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ind w:left="460"/>
        <w:spacing w:after="0" w:line="220" w:lineRule="auto"/>
        <w:rPr>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ind w:left="460" w:hanging="434"/>
        <w:spacing w:after="0" w:line="23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22"/>
          <w:szCs w:val="22"/>
          <w:b w:val="1"/>
          <w:bCs w:val="1"/>
          <w:color w:val="auto"/>
        </w:rPr>
        <w:t>1934</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2024</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300" w:hanging="434"/>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81915</wp:posOffset>
            </wp:positionV>
            <wp:extent cx="171450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Calibri" w:cs="Calibri" w:eastAsia="Calibri" w:hAnsi="Calibri"/>
          <w:sz w:val="32"/>
          <w:szCs w:val="32"/>
          <w:b w:val="1"/>
          <w:bCs w:val="1"/>
          <w:color w:val="auto"/>
        </w:rPr>
        <w:t>Navitas Semiconductor Corporaton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476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85-2560226</w:t>
            </w:r>
          </w:p>
        </w:tc>
        <w:tc>
          <w:tcPr>
            <w:tcW w:w="0" w:type="dxa"/>
            <w:vAlign w:val="bottom"/>
          </w:tcPr>
          <w:p>
            <w:pPr>
              <w:spacing w:after="0"/>
              <w:rPr>
                <w:sz w:val="1"/>
                <w:szCs w:val="1"/>
                <w:color w:val="auto"/>
              </w:rPr>
            </w:pPr>
          </w:p>
        </w:tc>
      </w:tr>
      <w:tr>
        <w:trPr>
          <w:trHeight w:val="225"/>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80" w:type="dxa"/>
            <w:vAlign w:val="bottom"/>
          </w:tcPr>
          <w:p>
            <w:pPr>
              <w:spacing w:after="0"/>
              <w:rPr>
                <w:sz w:val="19"/>
                <w:szCs w:val="19"/>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80" w:type="dxa"/>
            <w:vAlign w:val="bottom"/>
          </w:tcPr>
          <w:p>
            <w:pPr>
              <w:spacing w:after="0"/>
              <w:rPr>
                <w:sz w:val="20"/>
                <w:szCs w:val="20"/>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51"/>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3520 Challenger Street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90503-1640</w:t>
            </w:r>
          </w:p>
        </w:tc>
        <w:tc>
          <w:tcPr>
            <w:tcW w:w="0" w:type="dxa"/>
            <w:vAlign w:val="bottom"/>
          </w:tcPr>
          <w:p>
            <w:pPr>
              <w:spacing w:after="0"/>
              <w:rPr>
                <w:sz w:val="1"/>
                <w:szCs w:val="1"/>
                <w:color w:val="auto"/>
              </w:rPr>
            </w:pPr>
          </w:p>
        </w:tc>
      </w:tr>
      <w:tr>
        <w:trPr>
          <w:trHeight w:val="256"/>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2"/>
                <w:szCs w:val="22"/>
                <w:color w:val="auto"/>
              </w:rPr>
            </w:pPr>
          </w:p>
        </w:tc>
        <w:tc>
          <w:tcPr>
            <w:tcW w:w="47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68"/>
        </w:trPr>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37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80" w:type="dxa"/>
            <w:vAlign w:val="bottom"/>
          </w:tcPr>
          <w:p>
            <w:pPr>
              <w:spacing w:after="0"/>
              <w:rPr>
                <w:sz w:val="19"/>
                <w:szCs w:val="19"/>
                <w:color w:val="auto"/>
              </w:rPr>
            </w:pPr>
          </w:p>
        </w:tc>
        <w:tc>
          <w:tcPr>
            <w:tcW w:w="2080" w:type="dxa"/>
            <w:vAlign w:val="bottom"/>
            <w:tcBorders>
              <w:right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
        </w:trPr>
        <w:tc>
          <w:tcPr>
            <w:tcW w:w="4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4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404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380" w:type="dxa"/>
            <w:vAlign w:val="bottom"/>
          </w:tcPr>
          <w:p>
            <w:pPr>
              <w:spacing w:after="0"/>
              <w:rPr>
                <w:sz w:val="16"/>
                <w:szCs w:val="16"/>
                <w:color w:val="auto"/>
              </w:rPr>
            </w:pPr>
          </w:p>
        </w:tc>
        <w:tc>
          <w:tcPr>
            <w:tcW w:w="2080" w:type="dxa"/>
            <w:vAlign w:val="bottom"/>
            <w:tcBorders>
              <w:right w:val="single" w:sz="8" w:color="auto"/>
            </w:tcBorders>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Stock Market LLC</w:t>
            </w:r>
          </w:p>
        </w:tc>
        <w:tc>
          <w:tcPr>
            <w:tcW w:w="0" w:type="dxa"/>
            <w:vAlign w:val="bottom"/>
          </w:tcPr>
          <w:p>
            <w:pPr>
              <w:spacing w:after="0"/>
              <w:rPr>
                <w:sz w:val="1"/>
                <w:szCs w:val="1"/>
                <w:color w:val="auto"/>
              </w:rPr>
            </w:pPr>
          </w:p>
        </w:tc>
      </w:tr>
      <w:tr>
        <w:trPr>
          <w:trHeight w:val="13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380" w:type="dxa"/>
            <w:vAlign w:val="bottom"/>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47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Pr>
          <w:p>
            <w:pPr>
              <w:spacing w:after="0"/>
              <w:rPr>
                <w:sz w:val="9"/>
                <w:szCs w:val="9"/>
                <w:color w:val="auto"/>
              </w:rPr>
            </w:pPr>
          </w:p>
        </w:tc>
        <w:tc>
          <w:tcPr>
            <w:tcW w:w="2080" w:type="dxa"/>
            <w:vAlign w:val="bottom"/>
            <w:tcBorders>
              <w:right w:val="single" w:sz="8" w:color="auto"/>
            </w:tcBorders>
          </w:tcPr>
          <w:p>
            <w:pPr>
              <w:spacing w:after="0"/>
              <w:rPr>
                <w:sz w:val="9"/>
                <w:szCs w:val="9"/>
                <w:color w:val="auto"/>
              </w:rPr>
            </w:pPr>
          </w:p>
        </w:tc>
        <w:tc>
          <w:tcPr>
            <w:tcW w:w="47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2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98"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60"/>
          </w:cols>
          <w:pgMar w:left="320" w:top="1440" w:right="319" w:bottom="162"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186,796,500 shares of Class A Common Stock and 0 shares of Class B Common Stock were outstanding at November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Item 1A.</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5.</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8"/>
          <w:szCs w:val="18"/>
          <w:b w:val="1"/>
          <w:bCs w:val="1"/>
          <w:u w:val="single" w:color="auto"/>
          <w:color w:val="0E32E1"/>
        </w:rPr>
        <w:t>Part I - Financial Information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Financial Statements (unaudited)</w:t>
      </w:r>
    </w:p>
    <w:p>
      <w:pPr>
        <w:spacing w:after="0" w:line="5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Balance Sheets as of September 30, 2024 and December 31, 2023 September 30, 2024 and December 31,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for the Three and Nine Months Ended September 30, 2024 and 2023</w:t>
      </w:r>
    </w:p>
    <w:p>
      <w:pPr>
        <w:spacing w:after="0" w:line="2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(Loss)</w:t>
      </w:r>
      <w:r>
        <w:rPr>
          <w:rFonts w:ascii="Times New Roman" w:cs="Times New Roman" w:eastAsia="Times New Roman" w:hAnsi="Times New Roman"/>
          <w:sz w:val="18"/>
          <w:szCs w:val="18"/>
          <w:color w:val="0000FF"/>
        </w:rPr>
        <w:t xml:space="preserve"> for the Three and Nine Months Ended September </w:t>
      </w:r>
      <w:r>
        <w:rPr>
          <w:rFonts w:ascii="Times New Roman" w:cs="Times New Roman" w:eastAsia="Times New Roman" w:hAnsi="Times New Roman"/>
          <w:sz w:val="18"/>
          <w:szCs w:val="18"/>
          <w:u w:val="single" w:color="auto"/>
          <w:color w:val="0000FF"/>
        </w:rPr>
        <w:t>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-135890</wp:posOffset>
            </wp:positionV>
            <wp:extent cx="2284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4095" cy="8890"/>
                    </a:xfrm>
                    <a:prstGeom prst="rect">
                      <a:avLst/>
                    </a:prstGeom>
                    <a:noFill/>
                  </pic:spPr>
                </pic:pic>
              </a:graphicData>
            </a:graphic>
          </wp:anchor>
        </w:drawing>
      </w:r>
    </w:p>
    <w:p>
      <w:pPr>
        <w:ind w:right="2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 for the Three and Nine Months Ended September 30, 2024 and 2023</w:t>
      </w:r>
    </w:p>
    <w:p>
      <w:pPr>
        <w:spacing w:after="0" w:line="10" w:lineRule="exact"/>
        <w:rPr>
          <w:sz w:val="20"/>
          <w:szCs w:val="20"/>
          <w:color w:val="auto"/>
        </w:rPr>
      </w:pPr>
    </w:p>
    <w:p>
      <w:pPr>
        <w:ind w:right="820"/>
        <w:spacing w:after="0" w:line="268"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 for the Nine Months Ended September 30, 2024 and 2023 Condensed Notes to Consolidated Financial Statements</w:t>
      </w:r>
    </w:p>
    <w:p>
      <w:pPr>
        <w:spacing w:after="0" w:line="2" w:lineRule="exact"/>
        <w:rPr>
          <w:sz w:val="20"/>
          <w:szCs w:val="20"/>
          <w:color w:val="auto"/>
        </w:rPr>
      </w:pPr>
    </w:p>
    <w:p>
      <w:pPr>
        <w:ind w:right="2420"/>
        <w:spacing w:after="0" w:line="294"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Conditions and Operating Results Quantitative and Qualitative Disclosures About Market Risk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Control and Procedures</w:t>
      </w:r>
    </w:p>
    <w:p>
      <w:pPr>
        <w:spacing w:after="0" w:line="200" w:lineRule="exact"/>
        <w:rPr>
          <w:sz w:val="20"/>
          <w:szCs w:val="20"/>
          <w:color w:val="auto"/>
        </w:rPr>
      </w:pPr>
    </w:p>
    <w:p>
      <w:pPr>
        <w:spacing w:after="0" w:line="372"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Legal Proceedings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A2299"/>
        </w:rPr>
        <w:t>Risk Factors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Unregistered Sales of Equity Securities and Use of Proceeds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24765</wp:posOffset>
            </wp:positionV>
            <wp:extent cx="728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4</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4</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6</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7</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E32E1"/>
        </w:rPr>
        <w:t>9</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10</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27</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35</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37</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37</w:t>
      </w: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3051F2"/>
        </w:rPr>
        <w:t>37</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37</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E32E1"/>
        </w:rPr>
        <w:t>38</w:t>
      </w:r>
    </w:p>
    <w:p>
      <w:pPr>
        <w:spacing w:after="0" w:line="213" w:lineRule="exact"/>
        <w:rPr>
          <w:sz w:val="20"/>
          <w:szCs w:val="20"/>
          <w:color w:val="auto"/>
        </w:rPr>
      </w:pPr>
    </w:p>
    <w:p>
      <w:pPr>
        <w:sectPr>
          <w:pgSz w:w="11900" w:h="16838" w:orient="portrait"/>
          <w:cols w:equalWidth="0" w:num="3">
            <w:col w:w="660" w:space="500"/>
            <w:col w:w="8680" w:space="660"/>
            <w:col w:w="740"/>
          </w:cols>
          <w:pgMar w:left="320" w:top="121" w:right="339" w:bottom="1440" w:gutter="0" w:footer="0" w:header="0"/>
          <w:type w:val="continuous"/>
        </w:sectPr>
      </w:pP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shares and par value)</w:t>
            </w:r>
          </w:p>
        </w:tc>
        <w:tc>
          <w:tcPr>
            <w:tcW w:w="16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September 30, 2024</w:t>
            </w:r>
          </w:p>
        </w:tc>
        <w:tc>
          <w:tcPr>
            <w:tcW w:w="180" w:type="dxa"/>
            <w:vAlign w:val="bottom"/>
          </w:tcPr>
          <w:p>
            <w:pPr>
              <w:spacing w:after="0"/>
              <w:rPr>
                <w:sz w:val="17"/>
                <w:szCs w:val="17"/>
                <w:color w:val="auto"/>
              </w:rPr>
            </w:pPr>
          </w:p>
        </w:tc>
        <w:tc>
          <w:tcPr>
            <w:tcW w:w="1560" w:type="dxa"/>
            <w:vAlign w:val="bottom"/>
          </w:tcPr>
          <w:p>
            <w:pPr>
              <w:jc w:val="right"/>
              <w:ind w:right="171"/>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0" w:type="dxa"/>
            <w:vAlign w:val="bottom"/>
          </w:tcPr>
          <w:p>
            <w:pPr>
              <w:spacing w:after="0"/>
              <w:rPr>
                <w:sz w:val="1"/>
                <w:szCs w:val="1"/>
                <w:color w:val="auto"/>
              </w:rPr>
            </w:pPr>
          </w:p>
        </w:tc>
      </w:tr>
      <w:tr>
        <w:trPr>
          <w:trHeight w:val="21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of $211 and $0, respectively</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207,109</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NONCURRENT, net of allowance of $773 and $0, respectively</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91,099</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163,215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0" w:type="dxa"/>
            <w:vAlign w:val="bottom"/>
          </w:tcPr>
          <w:p>
            <w:pPr>
              <w:spacing w:after="0"/>
              <w:rPr>
                <w:sz w:val="1"/>
                <w:szCs w:val="1"/>
                <w:color w:val="auto"/>
              </w:rPr>
            </w:pPr>
          </w:p>
        </w:tc>
      </w:tr>
      <w:tr>
        <w:trPr>
          <w:trHeight w:val="223"/>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 NONCURRENT</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23"/>
        </w:trPr>
        <w:tc>
          <w:tcPr>
            <w:tcW w:w="7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A common stock, $0.0001 par value, 750,000,000 shares authorized as of September 30, 2024 and</w:t>
            </w: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2023, and 186,788,292 and 179,196,418 shares issued and outstanding at September 30,</w:t>
            </w:r>
          </w:p>
        </w:tc>
        <w:tc>
          <w:tcPr>
            <w:tcW w:w="1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6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as of September 30, 2024 and</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December 31, 2023, and 0 shares issued and outstanding at both September 30, 2024 and December 31,</w:t>
            </w:r>
          </w:p>
        </w:tc>
        <w:tc>
          <w:tcPr>
            <w:tcW w:w="160" w:type="dxa"/>
            <w:vAlign w:val="bottom"/>
          </w:tcPr>
          <w:p>
            <w:pPr>
              <w:spacing w:after="0"/>
              <w:rPr>
                <w:sz w:val="15"/>
                <w:szCs w:val="15"/>
                <w:color w:val="auto"/>
              </w:rPr>
            </w:pPr>
          </w:p>
        </w:tc>
        <w:tc>
          <w:tcPr>
            <w:tcW w:w="1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680,790</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(300,187)</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380,617</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485,546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ectPr>
          <w:pgSz w:w="11900" w:h="16838" w:orient="portrait"/>
          <w:cols w:equalWidth="0" w:num="1">
            <w:col w:w="11220"/>
          </w:cols>
          <w:pgMar w:left="320" w:top="4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0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28"/>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r>
      <w:tr>
        <w:trPr>
          <w:trHeight w:val="175"/>
        </w:trPr>
        <w:tc>
          <w:tcPr>
            <w:tcW w:w="5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included below)</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50,740</w:t>
            </w: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w:t>
            </w:r>
          </w:p>
        </w:tc>
      </w:tr>
      <w:tr>
        <w:trPr>
          <w:trHeight w:val="230"/>
        </w:trPr>
        <w:tc>
          <w:tcPr>
            <w:tcW w:w="5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111,415</w:t>
            </w: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(91,338)</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5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(22,048)</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(113,386)</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LESS: NET LOSS ATTRIBUTABLE TO NONCONTROLLING INTERESTS</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70"/>
        </w:trPr>
        <w:tc>
          <w:tcPr>
            <w:tcW w:w="5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75"/>
        </w:trPr>
        <w:tc>
          <w:tcPr>
            <w:tcW w:w="5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NET INCOME</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ATTRIBUTABLE TO COMMON STOCKHOLDERS: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165,719</w:t>
            </w: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165,719</w:t>
            </w: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140" w:type="dxa"/>
            <w:vAlign w:val="bottom"/>
          </w:tcPr>
          <w:p>
            <w:pPr>
              <w:spacing w:after="0"/>
              <w:rPr>
                <w:sz w:val="17"/>
                <w:szCs w:val="17"/>
                <w:color w:val="auto"/>
              </w:rPr>
            </w:pPr>
          </w:p>
        </w:tc>
        <w:tc>
          <w:tcPr>
            <w:tcW w:w="2540" w:type="dxa"/>
            <w:vAlign w:val="bottom"/>
            <w:gridSpan w:val="4"/>
          </w:tcPr>
          <w:p>
            <w:pPr>
              <w:jc w:val="right"/>
              <w:ind w:right="112"/>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2"/>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10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155"/>
        </w:trPr>
        <w:tc>
          <w:tcPr>
            <w:tcW w:w="5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100" w:type="dxa"/>
            <w:vAlign w:val="bottom"/>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gridSpan w:val="6"/>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7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8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28"/>
              <w:spacing w:after="0" w:line="11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3"/>
            <w:vMerge w:val="restart"/>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6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179,196</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680,790</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(300,187)</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380,617</w:t>
            </w:r>
          </w:p>
        </w:tc>
        <w:tc>
          <w:tcPr>
            <w:tcW w:w="0" w:type="dxa"/>
            <w:vAlign w:val="bottom"/>
          </w:tcPr>
          <w:p>
            <w:pPr>
              <w:spacing w:after="0"/>
              <w:rPr>
                <w:sz w:val="1"/>
                <w:szCs w:val="1"/>
                <w:color w:val="auto"/>
              </w:rPr>
            </w:pPr>
          </w:p>
        </w:tc>
      </w:tr>
      <w:tr>
        <w:trPr>
          <w:trHeight w:val="139"/>
        </w:trPr>
        <w:tc>
          <w:tcPr>
            <w:tcW w:w="4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10,734</w:t>
            </w:r>
          </w:p>
        </w:tc>
        <w:tc>
          <w:tcPr>
            <w:tcW w:w="0" w:type="dxa"/>
            <w:vAlign w:val="bottom"/>
          </w:tcPr>
          <w:p>
            <w:pPr>
              <w:spacing w:after="0"/>
              <w:rPr>
                <w:sz w:val="1"/>
                <w:szCs w:val="1"/>
                <w:color w:val="auto"/>
              </w:rPr>
            </w:pPr>
          </w:p>
        </w:tc>
      </w:tr>
      <w:tr>
        <w:trPr>
          <w:trHeight w:val="193"/>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182,997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701,771</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(303,868)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397,917</w:t>
            </w:r>
          </w:p>
        </w:tc>
        <w:tc>
          <w:tcPr>
            <w:tcW w:w="0" w:type="dxa"/>
            <w:vAlign w:val="bottom"/>
          </w:tcPr>
          <w:p>
            <w:pPr>
              <w:spacing w:after="0"/>
              <w:rPr>
                <w:sz w:val="1"/>
                <w:szCs w:val="1"/>
                <w:color w:val="auto"/>
              </w:rPr>
            </w:pPr>
          </w:p>
        </w:tc>
      </w:tr>
      <w:tr>
        <w:trPr>
          <w:trHeight w:val="139"/>
        </w:trPr>
        <w:tc>
          <w:tcPr>
            <w:tcW w:w="4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93"/>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(22,328)</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183,502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714,282</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(326,196)</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388,100</w:t>
            </w:r>
          </w:p>
        </w:tc>
        <w:tc>
          <w:tcPr>
            <w:tcW w:w="0" w:type="dxa"/>
            <w:vAlign w:val="bottom"/>
          </w:tcPr>
          <w:p>
            <w:pPr>
              <w:spacing w:after="0"/>
              <w:rPr>
                <w:sz w:val="1"/>
                <w:szCs w:val="1"/>
                <w:color w:val="auto"/>
              </w:rPr>
            </w:pPr>
          </w:p>
        </w:tc>
      </w:tr>
      <w:tr>
        <w:trPr>
          <w:trHeight w:val="139"/>
        </w:trPr>
        <w:tc>
          <w:tcPr>
            <w:tcW w:w="4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0" w:type="dxa"/>
            <w:vAlign w:val="bottom"/>
          </w:tcPr>
          <w:p>
            <w:pPr>
              <w:spacing w:after="0"/>
              <w:rPr>
                <w:sz w:val="1"/>
                <w:szCs w:val="1"/>
                <w:color w:val="auto"/>
              </w:rPr>
            </w:pPr>
          </w:p>
        </w:tc>
      </w:tr>
      <w:tr>
        <w:trPr>
          <w:trHeight w:val="193"/>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(18,730)</w:t>
            </w:r>
          </w:p>
        </w:tc>
        <w:tc>
          <w:tcPr>
            <w:tcW w:w="0" w:type="dxa"/>
            <w:vAlign w:val="bottom"/>
          </w:tcPr>
          <w:p>
            <w:pPr>
              <w:spacing w:after="0"/>
              <w:rPr>
                <w:sz w:val="1"/>
                <w:szCs w:val="1"/>
                <w:color w:val="auto"/>
              </w:rPr>
            </w:pPr>
          </w:p>
        </w:tc>
      </w:tr>
      <w:tr>
        <w:trPr>
          <w:trHeight w:val="226"/>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725,739</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(344,926)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380,828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sz w:val="20"/>
                <w:szCs w:val="20"/>
                <w:color w:val="auto"/>
              </w:rPr>
            </w:pPr>
            <w:r>
              <w:rPr>
                <w:rFonts w:ascii="Arial" w:cs="Arial" w:eastAsia="Arial" w:hAnsi="Arial"/>
                <w:sz w:val="14"/>
                <w:szCs w:val="14"/>
                <w:color w:val="929292"/>
              </w:rPr>
              <w:t>TABLE OF CONTENTS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6"/>
        </w:trPr>
        <w:tc>
          <w:tcPr>
            <w:tcW w:w="1520" w:type="dxa"/>
            <w:vAlign w:val="bottom"/>
            <w:tcBorders>
              <w:top w:val="single" w:sz="8" w:color="929292"/>
            </w:tcBorders>
          </w:tcPr>
          <w:p>
            <w:pPr>
              <w:spacing w:after="0"/>
              <w:rPr>
                <w:sz w:val="24"/>
                <w:szCs w:val="24"/>
                <w:color w:val="auto"/>
              </w:rPr>
            </w:pPr>
          </w:p>
        </w:tc>
        <w:tc>
          <w:tcPr>
            <w:tcW w:w="2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6"/>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restart"/>
          </w:tcPr>
          <w:p>
            <w:pPr>
              <w:jc w:val="right"/>
              <w:ind w:right="128"/>
              <w:spacing w:after="0" w:line="119" w:lineRule="exact"/>
              <w:rPr>
                <w:sz w:val="20"/>
                <w:szCs w:val="20"/>
                <w:color w:val="auto"/>
              </w:rPr>
            </w:pPr>
            <w:r>
              <w:rPr>
                <w:rFonts w:ascii="Times New Roman" w:cs="Times New Roman" w:eastAsia="Times New Roman" w:hAnsi="Times New Roman"/>
                <w:sz w:val="13"/>
                <w:szCs w:val="13"/>
                <w:b w:val="1"/>
                <w:bCs w:val="1"/>
                <w:color w:val="auto"/>
              </w:rPr>
              <w:t>paid in</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3"/>
            <w:vMerge w:val="restart"/>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60" w:type="dxa"/>
            <w:vAlign w:val="bottom"/>
            <w:gridSpan w:val="3"/>
            <w:vMerge w:val="restart"/>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153,629</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535,875</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(154,754)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384,760</w:t>
            </w:r>
          </w:p>
        </w:tc>
        <w:tc>
          <w:tcPr>
            <w:tcW w:w="0" w:type="dxa"/>
            <w:vAlign w:val="bottom"/>
          </w:tcPr>
          <w:p>
            <w:pPr>
              <w:spacing w:after="0"/>
              <w:rPr>
                <w:sz w:val="1"/>
                <w:szCs w:val="1"/>
                <w:color w:val="auto"/>
              </w:rPr>
            </w:pPr>
          </w:p>
        </w:tc>
      </w:tr>
      <w:tr>
        <w:trPr>
          <w:trHeight w:val="139"/>
        </w:trPr>
        <w:tc>
          <w:tcPr>
            <w:tcW w:w="40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0" w:type="dxa"/>
            <w:vAlign w:val="bottom"/>
          </w:tcPr>
          <w:p>
            <w:pPr>
              <w:spacing w:after="0"/>
              <w:rPr>
                <w:sz w:val="1"/>
                <w:szCs w:val="1"/>
                <w:color w:val="auto"/>
              </w:rPr>
            </w:pPr>
          </w:p>
        </w:tc>
      </w:tr>
      <w:tr>
        <w:trPr>
          <w:trHeight w:val="193"/>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14,884</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issued in connection with buyout agreement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(62,365)</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160,943</w:t>
            </w:r>
          </w:p>
        </w:tc>
        <w:tc>
          <w:tcPr>
            <w:tcW w:w="100" w:type="dxa"/>
            <w:vAlign w:val="bottom"/>
          </w:tcPr>
          <w:p>
            <w:pPr>
              <w:spacing w:after="0"/>
              <w:rPr>
                <w:sz w:val="16"/>
                <w:szCs w:val="16"/>
                <w:color w:val="auto"/>
              </w:rPr>
            </w:pPr>
          </w:p>
        </w:tc>
        <w:tc>
          <w:tcPr>
            <w:tcW w:w="72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561,193</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(216,601)</w:t>
            </w:r>
          </w:p>
        </w:tc>
        <w:tc>
          <w:tcPr>
            <w:tcW w:w="8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344,603</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0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issued in May 2023 public offering, including underwriter's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86,459</w:t>
            </w:r>
          </w:p>
        </w:tc>
        <w:tc>
          <w:tcPr>
            <w:tcW w:w="0" w:type="dxa"/>
            <w:vAlign w:val="bottom"/>
          </w:tcPr>
          <w:p>
            <w:pPr>
              <w:spacing w:after="0"/>
              <w:rPr>
                <w:sz w:val="1"/>
                <w:szCs w:val="1"/>
                <w:color w:val="auto"/>
              </w:rPr>
            </w:pPr>
          </w:p>
        </w:tc>
      </w:tr>
      <w:tr>
        <w:trPr>
          <w:trHeight w:val="193"/>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exercise of option to purchase shares, net of issuance costs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(58,527)</w:t>
            </w:r>
          </w:p>
        </w:tc>
        <w:tc>
          <w:tcPr>
            <w:tcW w:w="0" w:type="dxa"/>
            <w:vAlign w:val="bottom"/>
          </w:tcPr>
          <w:p>
            <w:pPr>
              <w:spacing w:after="0"/>
              <w:rPr>
                <w:sz w:val="1"/>
                <w:szCs w:val="1"/>
                <w:color w:val="auto"/>
              </w:rPr>
            </w:pPr>
          </w:p>
        </w:tc>
      </w:tr>
      <w:tr>
        <w:trPr>
          <w:trHeight w:val="201"/>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173,650</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658,530</w:t>
            </w: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(275,128)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383,414</w:t>
            </w:r>
          </w:p>
        </w:tc>
        <w:tc>
          <w:tcPr>
            <w:tcW w:w="0" w:type="dxa"/>
            <w:vAlign w:val="bottom"/>
          </w:tcPr>
          <w:p>
            <w:pPr>
              <w:spacing w:after="0"/>
              <w:rPr>
                <w:sz w:val="1"/>
                <w:szCs w:val="1"/>
                <w:color w:val="auto"/>
              </w:rPr>
            </w:pPr>
          </w:p>
        </w:tc>
      </w:tr>
      <w:tr>
        <w:trPr>
          <w:trHeight w:val="139"/>
        </w:trPr>
        <w:tc>
          <w:tcPr>
            <w:tcW w:w="40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 employee stock option and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93"/>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award plans</w:t>
            </w: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08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Stock-based compensation expense related to employee and non-</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10,239</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awards</w:t>
            </w:r>
          </w:p>
        </w:tc>
        <w:tc>
          <w:tcPr>
            <w:tcW w:w="104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226"/>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670,947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403,350</w:t>
            </w: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0" w:type="dxa"/>
            <w:vAlign w:val="bottom"/>
          </w:tcPr>
          <w:p>
            <w:pPr>
              <w:spacing w:after="0"/>
              <w:rPr>
                <w:sz w:val="1"/>
                <w:szCs w:val="1"/>
                <w:color w:val="auto"/>
              </w:rPr>
            </w:pPr>
          </w:p>
        </w:tc>
      </w:tr>
      <w:tr>
        <w:trPr>
          <w:trHeight w:val="229"/>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compensation and other accrued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20,761</w:t>
            </w:r>
          </w:p>
        </w:tc>
        <w:tc>
          <w:tcPr>
            <w:tcW w:w="0" w:type="dxa"/>
            <w:vAlign w:val="bottom"/>
          </w:tcPr>
          <w:p>
            <w:pPr>
              <w:spacing w:after="0"/>
              <w:rPr>
                <w:sz w:val="1"/>
                <w:szCs w:val="1"/>
                <w:color w:val="auto"/>
              </w:rPr>
            </w:pPr>
          </w:p>
        </w:tc>
      </w:tr>
      <w:tr>
        <w:trPr>
          <w:trHeight w:val="230"/>
        </w:trPr>
        <w:tc>
          <w:tcPr>
            <w:tcW w:w="8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Customer deposit and 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purchases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May 2023 public offering</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86,941</w:t>
            </w:r>
          </w:p>
        </w:tc>
        <w:tc>
          <w:tcPr>
            <w:tcW w:w="0" w:type="dxa"/>
            <w:vAlign w:val="bottom"/>
          </w:tcPr>
          <w:p>
            <w:pPr>
              <w:spacing w:after="0"/>
              <w:rPr>
                <w:sz w:val="1"/>
                <w:szCs w:val="1"/>
                <w:color w:val="auto"/>
              </w:rPr>
            </w:pPr>
          </w:p>
        </w:tc>
      </w:tr>
      <w:tr>
        <w:trPr>
          <w:trHeight w:val="229"/>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May 2023 public offering costs</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66,361</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176,698</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in connection with buyout agreement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0" w:type="dxa"/>
            <w:vAlign w:val="bottom"/>
          </w:tcPr>
          <w:p>
            <w:pPr>
              <w:spacing w:after="0"/>
              <w:rPr>
                <w:sz w:val="1"/>
                <w:szCs w:val="1"/>
                <w:color w:val="auto"/>
              </w:rPr>
            </w:pPr>
          </w:p>
        </w:tc>
      </w:tr>
      <w:tr>
        <w:trPr>
          <w:trHeight w:val="234"/>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54" w:right="4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Navitas Semiconductor Corporation (“the Company”) designs, develops and markets next-generation power semiconductors including gallium nitride (“GaN”) power integrated circuits (“ICs”), silicon carbide (“SiC”) devices and associated high-speed silicon system controllers, and digital isolators used in power conversion and charging. Power supplies incorporating the Company’s products may be used in a wide variety of applications including fast chargers for mobile phones and laptops, consumer electronics, data centers, solar products, electric vehicles and infrastructure,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Third Party</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3, 2024, the Company made an additional investment of $2.5 million in preferred interests in a third party. The Company’s new ownership percentage increased to 15.48%. The investment is $5.0 million and $2.5 million as of September 30, 2024 and December 31, 2023, respectively. Such investment is included in Other Assets in the Condensed Consolidated Balance Sheets and is accounted for as an equity investment under ASC 321 Investments - Equity Securities.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Public Offering</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2023, the Company announced an agreement to acquire the remaining minority interest in its silicon control IC joint venture from Halo Microelectronics International Corporation for a purchase price of $22.4 million in Navitas stock. The transaction was completed in February 2023. See Note 16, Noncontrolling Interest, for more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included herein have been prepared pursuant to the rules and regulations of the Securities and Exchange Commission (“SEC”). The information contained in the condensed consolidated financial statements includes normal recurring adjustments and reflects all adjustments, which are in the opinion of management, necessary for a fair presentation of such condensed consolidated financial statements. Operating results for the three and nine months ended September 30, 2024, are not necessarily indicative of results to be expected for the full year ending December 31, 2024. Certain footnote disclosures normally included in annual consolidated financial statements prepared in accordance with generally accepted accounting principles (“GAAP”) in the United States of America have been condensed or omitted pursuant to SEC rules and regulations relating to interim financial statements. The accompanying condensed consolidated financial statements should be read in conjunction with consolidated financial statements and notes thereto contained in the Company’s annual report on Form 10-K/A filed for the fiscal year ended December 31, 2023, filed with the SEC on July 23, 2024. Except as further described below, there have been no significant changes in the Company’s accounting policies from those disclosed in its Form 10-K filed with the SEC on March 6, 2024.</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AND RECENT ACCOUNTING PRONOUNCEMENTS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Contingent Consideration Resulting from a Business Combination</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may be required to pay future consideration that is contingent upon the achievement of specified milestone events. The Company records contingent consideration resulting from a business combination at its fair value on the acquisition date. Each quarter thereafter, the Company revalues these obligations and record increases or decreases in their fair value within the Company’s condensed consolidated statements of operations until such time as the specified milestone achievement period is complete.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the Company’s results of operations in any given period. Actual results may differ from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ind w:right="20" w:firstLine="486"/>
        <w:spacing w:after="0" w:line="273" w:lineRule="auto"/>
        <w:rPr>
          <w:sz w:val="20"/>
          <w:szCs w:val="20"/>
          <w:color w:val="auto"/>
        </w:rPr>
      </w:pPr>
      <w:r>
        <w:rPr>
          <w:rFonts w:ascii="Times New Roman" w:cs="Times New Roman" w:eastAsia="Times New Roman" w:hAnsi="Times New Roman"/>
          <w:sz w:val="18"/>
          <w:szCs w:val="18"/>
          <w:color w:val="auto"/>
        </w:rPr>
        <w:t>Certain items in the prior period’s condensed consolidated balance sheets and condensed consolidated statements of operations have been reclassified to conform to the presentation for the three and nine months ended September 30, 2024. Dividend income was previously included within</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interest income (expense), net. Additionally, for the prior period, the Company reclassed $0.9 million from inventories to prepaids and other current assets related to the sales returns inventory. Lastly, the Company reclassed $1.4 million from prepaids and other current assets to other assets and $1.9 million from accounts payable and other accrued expenses to its own line for accrued royalties related to an indemnity asset and royalty liability, respectively. There was no impact to net loss and retained earnings as a result of the reclassifications.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introduced Accounting Standard Update (ASU) 2023-07, titled Segment Reporting (Topic 280): Improvements to Reportable Segment Disclosures. This update mandates that all public entities, including those with a single reportable segment, disclose one or more measures of segment profit or loss that the chief operating decision maker (CODM) uses to allocate resources and assess performance during interim and annual reporting periods. Furthermore, the standard requires the disclosure of significant segment expenses, other relevant segment items, and additional qualitative information. The new guidance will be effective for fiscal years starting after December 15, 2023, and for interim periods following December 15, 2024. The Company is currently assessing how this update will impact its disclosures.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ASU 2023-09 becomes effective for fiscal years beginning after December 15, 2024, with early adoption permitted. While the Company is currently assessing the impact of this standard, anticipate it will result in disclosure changes only.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Form 10-Q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trade, net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2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(current and noncurrent),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 activity (in thousands):</w:t>
            </w: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written-off</w:t>
            </w:r>
          </w:p>
        </w:tc>
        <w:tc>
          <w:tcPr>
            <w:tcW w:w="3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31, 2024</w:t>
            </w:r>
          </w:p>
        </w:tc>
        <w:tc>
          <w:tcPr>
            <w:tcW w:w="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6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24"/>
                <w:szCs w:val="24"/>
                <w:color w:val="auto"/>
              </w:rPr>
            </w:pPr>
          </w:p>
        </w:tc>
        <w:tc>
          <w:tcPr>
            <w:tcW w:w="2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20" w:type="dxa"/>
            <w:vAlign w:val="bottom"/>
          </w:tcPr>
          <w:p>
            <w:pPr>
              <w:spacing w:after="0"/>
              <w:rPr>
                <w:sz w:val="16"/>
                <w:szCs w:val="16"/>
                <w:color w:val="auto"/>
              </w:rPr>
            </w:pPr>
          </w:p>
        </w:tc>
        <w:tc>
          <w:tcPr>
            <w:tcW w:w="19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65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w:t>
            </w: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7"/>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r>
      <w:tr>
        <w:trPr>
          <w:trHeight w:val="27"/>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88"/>
        </w:trPr>
        <w:tc>
          <w:tcPr>
            <w:tcW w:w="6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depreciation expense was $0.8 million and $2.2 million for the three and nine months ended September 30, 2024 and $0.6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for three and nine months ended September 30, 2023, respectively, and was determined using the straight-line method over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8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3 — 7 years</w:t>
            </w:r>
          </w:p>
        </w:tc>
      </w:tr>
      <w:tr>
        <w:trPr>
          <w:trHeight w:val="27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482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2 — 5 years</w:t>
            </w:r>
          </w:p>
        </w:tc>
      </w:t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8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rPr>
              <w:t>2 — 6 years</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and current liabilities causes each of their carrying values to approximate fair value for all periods presented. Cash equivalents classified as Level 1 instruments were $85.5 million as of September 30, 2024 and $139.0 million for December 31, 2023.</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September 30, 2024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2023 (in thousands):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2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70"/>
        </w:trPr>
        <w:tc>
          <w:tcPr>
            <w:tcW w:w="53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w:t>
            </w:r>
          </w:p>
        </w:tc>
      </w:tr>
      <w:tr>
        <w:trPr>
          <w:trHeight w:val="214"/>
        </w:trPr>
        <w:tc>
          <w:tcPr>
            <w:tcW w:w="7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46,852</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(42,920)</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did not transfer any investments between Level 1 and Level 2 of the fair value hierarchy during the three months ended September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estimated fair value of assets acquired and liabilities assumed in a business combination. Intangible assets are measured at their respective fair values as of the 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 As of the annual measurement date of September 30, 2024, the fair market value of the Company’s stock price remains above carrying value, and no indicators of impairment are present.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as of September 30, 2024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29,681</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5-15 years</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76,856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intangible asset balance (in thousands):</w:t>
      </w: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80" w:type="dxa"/>
            <w:vAlign w:val="bottom"/>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r>
      <w:tr>
        <w:trPr>
          <w:trHeight w:val="23"/>
        </w:trPr>
        <w:tc>
          <w:tcPr>
            <w:tcW w:w="7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91,099</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5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54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r>
      <w:tr>
        <w:trPr>
          <w:trHeight w:val="22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76,856</w:t>
            </w:r>
          </w:p>
        </w:tc>
      </w:tr>
      <w:tr>
        <w:trPr>
          <w:trHeight w:val="20"/>
        </w:trPr>
        <w:tc>
          <w:tcPr>
            <w:tcW w:w="7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amortization expense was $4.7 million and $14.3 million for the three and nine months ended September 30, 2024, and $4.8 million and $14.0 million for the three and nine months ended September 30, 2023, respectively.</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future amortization expense of intangible assets is estimated to be as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380" w:type="dxa"/>
            <w:vAlign w:val="bottom"/>
          </w:tcPr>
          <w:p>
            <w:pPr>
              <w:spacing w:after="0"/>
              <w:rPr>
                <w:sz w:val="16"/>
                <w:szCs w:val="16"/>
                <w:color w:val="auto"/>
              </w:rPr>
            </w:pPr>
          </w:p>
        </w:tc>
        <w:tc>
          <w:tcPr>
            <w:tcW w:w="4200" w:type="dxa"/>
            <w:vAlign w:val="bottom"/>
          </w:tcPr>
          <w:p>
            <w:pPr>
              <w:jc w:val="right"/>
              <w:ind w:right="2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fiscal 2024)</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tcPr>
          <w:p>
            <w:pPr>
              <w:spacing w:after="0"/>
              <w:rPr>
                <w:sz w:val="19"/>
                <w:szCs w:val="19"/>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shd w:val="clear" w:color="auto" w:fill="CCEEFF"/>
          </w:tcPr>
          <w:p>
            <w:pPr>
              <w:spacing w:after="0"/>
              <w:rPr>
                <w:sz w:val="19"/>
                <w:szCs w:val="19"/>
                <w:color w:val="auto"/>
              </w:rPr>
            </w:pP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28,301</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impairment charges during the three and nine months ended September 30,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As of September 30, 2024,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September 30, 2024, all leases recorded on the Company’s consolidated balance sheets were operating leases.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Rent expense, including short-term lease cost, was $0.6 million and $2.0 million for the three and nine months ended September 30, 2024, respectively. Rent expense, including short-term lease cost, was $0.5 million and $1.5 million for the three and nine months ended September 30, 2023,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expenses were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$0.1 million and $0.2 million for the three and nine months ended September 30, 2024 and they were not material for the three and nine months ended September 30, 2023.</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lease liabilities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332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240" w:type="dxa"/>
            <w:vAlign w:val="bottom"/>
          </w:tcPr>
          <w:p>
            <w:pPr>
              <w:spacing w:after="0"/>
              <w:rPr>
                <w:sz w:val="16"/>
                <w:szCs w:val="16"/>
                <w:color w:val="auto"/>
              </w:rPr>
            </w:pP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r>
      <w:tr>
        <w:trPr>
          <w:trHeight w:val="37"/>
        </w:trPr>
        <w:tc>
          <w:tcPr>
            <w:tcW w:w="724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26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60" w:type="dxa"/>
            <w:vAlign w:val="bottom"/>
          </w:tcPr>
          <w:p>
            <w:pPr>
              <w:jc w:val="right"/>
              <w:ind w:right="10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3"/>
                <w:szCs w:val="23"/>
                <w:color w:val="auto"/>
              </w:rPr>
            </w:pPr>
          </w:p>
        </w:tc>
        <w:tc>
          <w:tcPr>
            <w:tcW w:w="128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1,449</w:t>
            </w: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right-of-use assets obtained in exchange for new operating lease obligations</w:t>
            </w:r>
          </w:p>
        </w:tc>
        <w:tc>
          <w:tcPr>
            <w:tcW w:w="126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776</w:t>
            </w: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1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Maturities of lease liabilities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2056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056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(remainder of fiscal 2024)</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7"/>
        </w:trPr>
        <w:tc>
          <w:tcPr>
            <w:tcW w:w="9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r>
      <w:tr>
        <w:trPr>
          <w:trHeight w:val="27"/>
        </w:trPr>
        <w:tc>
          <w:tcPr>
            <w:tcW w:w="9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w:t>
            </w:r>
          </w:p>
        </w:tc>
      </w:tr>
      <w:tr>
        <w:trPr>
          <w:trHeight w:val="20"/>
        </w:trPr>
        <w:tc>
          <w:tcPr>
            <w:tcW w:w="9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 BASED COMPENSATION:</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Navitas Semiconductor Limited 2020 Equity Incentive Plan, initially adopted by the Company’s board of directors on August 5, 2020 as an amendment and restatement of the 2013 Equity Incentive Plan (“2013 Plan”), was amended and restated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Class A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September 30, 2024 the Company has issued 9,750,000 non-statutory stock options under the 2021 Plan.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performance stock options (“LTIP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three and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4"/>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49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21,673</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41,810</w:t>
            </w:r>
          </w:p>
        </w:tc>
      </w:tr>
      <w:tr>
        <w:trPr>
          <w:trHeight w:val="21"/>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Generally, stock options granted under the Plans have terms of ten years and vest in 1/4th increments on the anniversary of the vesting commencement date and in 1/48th increments monthly thereafter. Stock options with performance vesting conditions begin to vest upon achievement of the performance condition. Expense is recognized beginning in the period in which performance is considered probable.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incentive stock options and non-statutory stock options issued was estimated using the Black-Scholes model. The Company did not grant any stock option awards during the three and nine months ended September 30, 2024 or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firstLine="486"/>
        <w:spacing w:after="0" w:line="275" w:lineRule="auto"/>
        <w:rPr>
          <w:sz w:val="20"/>
          <w:szCs w:val="20"/>
          <w:color w:val="auto"/>
        </w:rPr>
      </w:pPr>
      <w:r>
        <w:rPr>
          <w:rFonts w:ascii="Times New Roman" w:cs="Times New Roman" w:eastAsia="Times New Roman" w:hAnsi="Times New Roman"/>
          <w:sz w:val="18"/>
          <w:szCs w:val="18"/>
          <w:color w:val="auto"/>
        </w:rPr>
        <w:t>A summary of stock options outstanding, excluding LTIP Options as of September 30, 2024, and activity during the three months then ended, is presented below:</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620" w:type="dxa"/>
            <w:vAlign w:val="bottom"/>
            <w:vMerge w:val="restart"/>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0" w:type="dxa"/>
            <w:vAlign w:val="bottom"/>
          </w:tcPr>
          <w:p>
            <w:pPr>
              <w:spacing w:after="0"/>
              <w:rPr>
                <w:sz w:val="1"/>
                <w:szCs w:val="1"/>
                <w:color w:val="auto"/>
              </w:rPr>
            </w:pPr>
          </w:p>
        </w:tc>
      </w:tr>
      <w:tr>
        <w:trPr>
          <w:trHeight w:val="214"/>
        </w:trPr>
        <w:tc>
          <w:tcPr>
            <w:tcW w:w="4600" w:type="dxa"/>
            <w:vAlign w:val="bottom"/>
            <w:vMerge w:val="continue"/>
          </w:tcPr>
          <w:p>
            <w:pPr>
              <w:spacing w:after="0"/>
              <w:rPr>
                <w:sz w:val="18"/>
                <w:szCs w:val="18"/>
                <w:color w:val="auto"/>
              </w:rPr>
            </w:pPr>
          </w:p>
        </w:tc>
        <w:tc>
          <w:tcPr>
            <w:tcW w:w="16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52"/>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2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center"/>
              <w:ind w:left="1753"/>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200" w:type="dxa"/>
            <w:vAlign w:val="bottom"/>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2200" w:type="dxa"/>
            <w:vAlign w:val="bottom"/>
          </w:tcPr>
          <w:p>
            <w:pPr>
              <w:jc w:val="center"/>
              <w:ind w:left="1753"/>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2200" w:type="dxa"/>
            <w:vAlign w:val="bottom"/>
          </w:tcPr>
          <w:p>
            <w:pPr>
              <w:jc w:val="center"/>
              <w:ind w:left="1753"/>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tcPr>
          <w:p>
            <w:pPr>
              <w:jc w:val="center"/>
              <w:ind w:left="17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6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center"/>
              <w:ind w:left="1753"/>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8"/>
        </w:trPr>
        <w:tc>
          <w:tcPr>
            <w:tcW w:w="4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2024</w:t>
            </w:r>
          </w:p>
        </w:tc>
        <w:tc>
          <w:tcPr>
            <w:tcW w:w="1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top w:val="single" w:sz="8" w:color="CCEEFF"/>
            </w:tcBorders>
          </w:tcPr>
          <w:p>
            <w:pPr>
              <w:spacing w:after="0"/>
              <w:rPr>
                <w:sz w:val="18"/>
                <w:szCs w:val="18"/>
                <w:color w:val="auto"/>
              </w:rPr>
            </w:pPr>
          </w:p>
        </w:tc>
        <w:tc>
          <w:tcPr>
            <w:tcW w:w="2200" w:type="dxa"/>
            <w:vAlign w:val="bottom"/>
            <w:tcBorders>
              <w:top w:val="single" w:sz="8" w:color="auto"/>
            </w:tcBorders>
          </w:tcPr>
          <w:p>
            <w:pPr>
              <w:jc w:val="center"/>
              <w:ind w:left="1753"/>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$0.0 million and $0.1 million of stock-based compensation expense for the vesting of outstanding stock options, excluding $1.0 million and $3.8 million, respectively, related to the LTIP Options described below. During the three and nine months ended September 30, 2023, the Company recognized $0.1 million and $0.4 million of stock-based compensation expense for the vesting of outstanding stock options, excluding $1.8 million and $6.1 million related to the LTIP Options. At September 30, 2024, unrecognized compensation cost related to unvested options was immaterial. The weighted-average period over which this remaining compensation cost will be recognized is 0.2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awarded a total of 6,500,000 LTIP Options (“2021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$9.14 based on the Black-Scholes model and a Monte Carlo simulation incorporating 500,000 scenarios. The weighted average contractual period remaining is 7.4 years. The Company utilized the services of a professional valuation firm to finalize these assumptions during the fiscal year ended December 31, 2023. The valuation model utilized the following assumptions: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“2021 LTIP Options”, the Company recognized $0.8 million and $3.2 million of stock-based compensation expense for the three and nine months ended September 30, 2024, respectively. The Company recognized $1.6 million and $5.3 million of stock-based compensation expense for three and nine months ended September 30, 2023, respectively. The unrecognized compensation expense related to these LTIP Options is $3.0 million as of September 30, 2024, and compensation expense will be recognized over 2.7 years. On a quarterly basis, after evaluating the 2021 LTIP Options based on the probability of achieving certain market and performance conditions, the Company may true up the 2021 LTIP Options expense as needed.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$2.89. The</w:t>
      </w:r>
    </w:p>
    <w:p>
      <w:pPr>
        <w:spacing w:after="0" w:line="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weighted average contractual period remaining is 7.9 years. Th</w:t>
      </w:r>
      <w:r>
        <w:rPr>
          <w:rFonts w:ascii="Times New Roman" w:cs="Times New Roman" w:eastAsia="Times New Roman" w:hAnsi="Times New Roman"/>
          <w:sz w:val="21"/>
          <w:szCs w:val="21"/>
          <w:color w:val="auto"/>
        </w:rPr>
        <w:t>e</w:t>
      </w:r>
      <w:r>
        <w:rPr>
          <w:rFonts w:ascii="Times New Roman" w:cs="Times New Roman" w:eastAsia="Times New Roman" w:hAnsi="Times New Roman"/>
          <w:sz w:val="18"/>
          <w:szCs w:val="18"/>
          <w:color w:val="auto"/>
        </w:rPr>
        <w:t xml:space="preserve"> Black-Scholes model and a Monte Carlo simulation incorporated 100,000 scenarios. The valuation model utilized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“2022 LTIP Options”, the Company recognized $0.2 million and $0.6 million of stock-based compensation expense for the three and nine months ended September 30, 2024, respectively. The Company recognized $0.3 million and $0.8 million of stock-based compensation expense for three and nine months ended September 30, 2023, respectively. The unrecognized compensation expense related to the LTIP Options is $1.1 million as of September 30, 2024, and compensation expense will be recognized over 2.7 years. On a quarterly basis, after evaluating the 2022 LTIP Options based on the probability of achieving certain market and performance conditions, the Company may true up the 2022 LTIP Options expense as needed.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regularly grants RSUs to employees as a component of their compensation. A summary of RSUs outstanding as of September 30, 2024, and activity during the nine months then ended, is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236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Weighted-Average Grant Date Fair Value</w:t>
            </w:r>
          </w:p>
        </w:tc>
        <w:tc>
          <w:tcPr>
            <w:tcW w:w="0" w:type="dxa"/>
            <w:vAlign w:val="bottom"/>
          </w:tcPr>
          <w:p>
            <w:pPr>
              <w:spacing w:after="0"/>
              <w:rPr>
                <w:sz w:val="1"/>
                <w:szCs w:val="1"/>
                <w:color w:val="auto"/>
              </w:rPr>
            </w:pPr>
          </w:p>
        </w:tc>
      </w:tr>
      <w:tr>
        <w:trPr>
          <w:trHeight w:val="214"/>
        </w:trPr>
        <w:tc>
          <w:tcPr>
            <w:tcW w:w="4780" w:type="dxa"/>
            <w:vAlign w:val="bottom"/>
            <w:tcBorders>
              <w:bottom w:val="single" w:sz="8" w:color="CCEEFF"/>
            </w:tcBorders>
            <w:vMerge w:val="continue"/>
          </w:tcPr>
          <w:p>
            <w:pPr>
              <w:spacing w:after="0"/>
              <w:rPr>
                <w:sz w:val="18"/>
                <w:szCs w:val="18"/>
                <w:color w:val="auto"/>
              </w:rPr>
            </w:pPr>
          </w:p>
        </w:tc>
        <w:tc>
          <w:tcPr>
            <w:tcW w:w="2360" w:type="dxa"/>
            <w:vAlign w:val="bottom"/>
            <w:tcBorders>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0"/>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2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7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3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2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$9.1 million and $27.0 million of stock-based compensation expense for the vesting of RSUs, respectively. During three and nine months ended September 30, 2023, the Company recognized $8.1 million and $23.5 million of stock-based compensation expense for the vesting of RSUs, respectively. As of September 30, 2024, unrecognized compensation cost related to unvested RSU awards totaled $62.4 million. The weighted-average period over which this remaining compensation cost is expected be recognized is 2.4 years.</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Of the Company’s $5.2 million bonus plan for the fiscal year 2024 (included in accrued compensation expense liability on the condensed consolidated balance sheets), $4.9 million will be distributed as fully vested restricted stock units with a variable share count and is expected to settle in the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first quarter of 2025. Additionally, the Company accrued a $0.3 million cash bonus for the President and CEO. Based on the closing share price of the Company’s Class A common stock of $2.45 on September 30, 2024, approximately 1,993,244 shares would be issued, however the actual number of shares will be based on the share price at the date of settlement.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2022 ESPP, eligible employees are granted the right to purchase shares of common stock at the lower of 85% of the fair value at the time of offering or 85% of the fair value at the time of purchase, generally over a six-month period. The first offering period under the 2022 ESPP commenced in February 2023 and the second offering in September 2023. For the three and nine months ended September 30, 2024, employees who elected to</w:t>
      </w:r>
    </w:p>
    <w:p>
      <w:pPr>
        <w:jc w:val="both"/>
        <w:spacing w:after="0" w:line="259" w:lineRule="auto"/>
        <w:rPr>
          <w:sz w:val="20"/>
          <w:szCs w:val="20"/>
          <w:color w:val="auto"/>
        </w:rPr>
      </w:pPr>
      <w:r>
        <w:rPr>
          <w:rFonts w:ascii="Times New Roman" w:cs="Times New Roman" w:eastAsia="Times New Roman" w:hAnsi="Times New Roman"/>
          <w:sz w:val="18"/>
          <w:szCs w:val="18"/>
          <w:color w:val="auto"/>
        </w:rPr>
        <w:t>participate in the ESPP purchased 408,326 and 801,465 shares of common stock under the 2022 ESPP, resulting in cash proceeds to the Company of $0.9 million and $2.7 million for the three and nine months ended September 30, 2024. The purchase price was $4.55 and $2.19, which was 15% of the fair market value in March and September 2024, respectively. As of September 30, 2024, the Company had 1,940,572 remaining authorized shares available for purchase. During the three and nine months ended September 30, 2024, the Company recognized $0.4 million and $1.5 million of stock-based compensation expense for the 2022 ESPP, respectively. During the three and nine months ended September 30, 2023, the Company recognized $0.3 million and $0.8 million of stock-based compensation expense for the 2022 ESPP,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 Awards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the remaining minority interest of a silicon control IC joint venture, as described in Note 16, the Company issued 841,729 fully vested shares to certain former employees of the joint venture with a grant date fair value totaling $4.5 million. Such amount has been recognized as stock-based compensation expense during the three months ended March 31, 2023.</w:t>
      </w:r>
    </w:p>
    <w:p>
      <w:pPr>
        <w:spacing w:after="0" w:line="20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four and three years, respectively, following the date of issue. These restricted shares are subject to certain individuals maintaining employment with the Company and, therefore, are accounted for under ASC 718. The Company recognized $0.1 million and $0.4 million of stock-based compensation expense related to the vesting of these shares during three and nine months ended September 30, 2024, respectively. The Company recognized $0.1 million and $0.7 million of stock-based compensation expense related to the vesting of these shares during the three and nine months ended September 30, 2023, respectively.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portion of the earnout shares (discussed in Note 10 below)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The Company recognized $0.0 million and $0.2 million of stock-based compensation expense related to the vesting of these shares during three and nine months ended September 30, 2024, respectively. The Company recognized $0.0 million and $0.3 million of stock-based compensation expense related to the vesting of these shares during the three and nine months ended September 30, 2023, respectively. As of September 30, 2024, there was no remaining compensation cost related to unvested earnout shares, except for forfeitures. Refer to Note 10, Earnout Liability.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EARNOUT LIABILITY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an aggregate of 10,000,000 “earnout shares” of the Company’s Class A common stock if earnout milestones are met. The earnout milestones represent three independent criteria, each of which entitles the eligible stockholders to 3,333,333 aggregate earn-out shares if the milestone is met.</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earnout liability is remeasured at the end of each reporting period. The change in fair value of the earnout liability is recorded as part of other income (expense), net in the consolidated statements of operations.</w:t>
      </w:r>
    </w:p>
    <w:p>
      <w:pPr>
        <w:spacing w:after="0" w:line="54"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8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2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r>
      <w:tr>
        <w:trPr>
          <w:trHeight w:val="27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volatility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80.00 %</w:t>
            </w:r>
          </w:p>
        </w:tc>
        <w:tc>
          <w:tcPr>
            <w:tcW w:w="100" w:type="dxa"/>
            <w:vAlign w:val="bottom"/>
          </w:tcPr>
          <w:p>
            <w:pPr>
              <w:spacing w:after="0"/>
              <w:rPr>
                <w:sz w:val="23"/>
                <w:szCs w:val="23"/>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the earnout liability had a fair value of $3.9 million and $46.9 million, respectively, which resulted in a gain in the fair value of the earnout liability of $9.2 million and $42.9 million for the three and nine months ended September 30, 2024, respectively. As of September 30, 2023, the earnout liability had a fair value of $38.6 million, which resulted in a gain in the fair value of the earnout liability of $34.5 million and a loss in the fair value of the earnout liability of $25.5 million for the three and nine months ended September 30,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 AND CREDIT CONCENTRATIONS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for the three and nine months ended September 30, 2024 and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3360" w:type="dxa"/>
            <w:vAlign w:val="bottom"/>
            <w:gridSpan w:val="4"/>
          </w:tcPr>
          <w:p>
            <w:pPr>
              <w:ind w:left="4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320" w:type="dxa"/>
            <w:vAlign w:val="bottom"/>
            <w:gridSpan w:val="3"/>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Customer</w:t>
            </w:r>
          </w:p>
        </w:tc>
        <w:tc>
          <w:tcPr>
            <w:tcW w:w="15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Distributor A</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60 %</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29 %</w:t>
            </w:r>
          </w:p>
        </w:tc>
      </w:tr>
      <w:tr>
        <w:trPr>
          <w:trHeight w:val="198"/>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Distributor B</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r>
    </w:tbl>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customer net revenues were less than 10% of total net 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considers the domicile of its end customers, rather than the distributors it sells to directly, to be the basis for attributing revenues from external customers to individual countries. Revenues for the three and nine months ended September 30, 2024 and 2023 were attributable to end customers in the following countries or regions: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3540" w:type="dxa"/>
            <w:vAlign w:val="bottom"/>
            <w:gridSpan w:val="4"/>
          </w:tcPr>
          <w:p>
            <w:pPr>
              <w:ind w:left="5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460" w:type="dxa"/>
            <w:vAlign w:val="bottom"/>
            <w:gridSpan w:val="3"/>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2"/>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Country</w:t>
            </w:r>
          </w:p>
        </w:tc>
        <w:tc>
          <w:tcPr>
            <w:tcW w:w="1680" w:type="dxa"/>
            <w:vAlign w:val="bottom"/>
            <w:tcBorders>
              <w:top w:val="single" w:sz="8" w:color="auto"/>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China</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55 %</w:t>
            </w:r>
          </w:p>
        </w:tc>
      </w:tr>
      <w:tr>
        <w:trPr>
          <w:trHeight w:val="200"/>
        </w:trPr>
        <w:tc>
          <w:tcPr>
            <w:tcW w:w="3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16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c>
          <w:tcPr>
            <w:tcW w:w="80" w:type="dxa"/>
            <w:vAlign w:val="bottom"/>
          </w:tcPr>
          <w:p>
            <w:pPr>
              <w:spacing w:after="0"/>
              <w:rPr>
                <w:sz w:val="17"/>
                <w:szCs w:val="17"/>
                <w:color w:val="auto"/>
              </w:rPr>
            </w:pPr>
          </w:p>
        </w:tc>
        <w:tc>
          <w:tcPr>
            <w:tcW w:w="16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16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7"/>
                <w:szCs w:val="17"/>
                <w:color w:val="auto"/>
              </w:rPr>
            </w:pPr>
          </w:p>
        </w:tc>
        <w:tc>
          <w:tcPr>
            <w:tcW w:w="16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w:t>
            </w: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Asia excluding China</w:t>
            </w:r>
          </w:p>
        </w:tc>
        <w:tc>
          <w:tcPr>
            <w:tcW w:w="16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8</w:t>
            </w:r>
          </w:p>
        </w:tc>
      </w:tr>
      <w:tr>
        <w:trPr>
          <w:trHeight w:val="20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Europe*</w:t>
            </w:r>
          </w:p>
        </w:tc>
        <w:tc>
          <w:tcPr>
            <w:tcW w:w="16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22</w:t>
            </w:r>
          </w:p>
        </w:tc>
      </w:tr>
      <w:tr>
        <w:trPr>
          <w:trHeight w:val="22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*Impractical to disclose the revenue percentages by individual countries within Europe and therefore Europe is presented in total. Concentration of Credit Risk</w:t>
      </w:r>
    </w:p>
    <w:p>
      <w:pPr>
        <w:spacing w:after="0" w:line="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22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1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Distributor A</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bl>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a customer deposit from a primary customer of $2.0 million and $11.0 million, as of September 30, 2024 and December 31, 2023, respectively, and the Company intends to apply a portion of the customer deposit to outstanding accounts receivable.</w:t>
      </w:r>
    </w:p>
    <w:p>
      <w:pPr>
        <w:spacing w:after="0" w:line="54"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As of September 30, 2024, the Company reassessed the risk pooling of its accounts receivable and determined that certain customer trade receivables associated with a customer have an expected term greater than one year. These receivables were discounted to present value using a discounted cash flow model based on the Company’s expectation of the timing of future payments over the next two years and are presented as accounts receivable noncurrent within the condensed consolidated balance sheets. A $0.8 million allowance for credit losses was recorded associated with this reassessment.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to purchase raw materials from a supplier from September 29, 2022 through December 31, 2025, and accordingly made a $2.0 million deposit to be received as invoice credits toward future purchases. The Company is not obligated to purchase from this supplier, however, if the Company does not meet minimum purchase requirements during the term, the Company may forfeit all or a portion of its $2.0 million deposit. Currently the Company is not projecting to meet the minimum purchase requirements, therefore, the Company does not expect to receive any credits within the next 12 months beginning in the fourth quarter of 2024.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Basic loss per share is calculated by dividing net loss by the weighted-average shares of common stock outstanding during the period. Diluted loss per share is calculated by dividing net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(but not restricted stock unit awards) are eligible to receive all dividends declared on the Company’s common shares during the vesting period; however, such dividends are not paid until the restrictions lapse. The Company has no plans to declare dividends.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20" w:type="dxa"/>
            <w:vAlign w:val="bottom"/>
          </w:tcPr>
          <w:p>
            <w:pPr>
              <w:spacing w:after="0"/>
              <w:rPr>
                <w:sz w:val="17"/>
                <w:szCs w:val="17"/>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000" w:type="dxa"/>
            <w:vAlign w:val="bottom"/>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35"/>
        </w:trPr>
        <w:tc>
          <w:tcPr>
            <w:tcW w:w="50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37"/>
        </w:trPr>
        <w:tc>
          <w:tcPr>
            <w:tcW w:w="5900" w:type="dxa"/>
            <w:vAlign w:val="bottom"/>
            <w:tcBorders>
              <w:bottom w:val="single" w:sz="8" w:color="CCEEFF"/>
            </w:tcBorders>
            <w:gridSpan w:val="2"/>
            <w:shd w:val="clear" w:color="auto" w:fill="CCEEFF"/>
          </w:tcPr>
          <w:p>
            <w:pPr>
              <w:ind w:left="5580"/>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4"/>
        </w:trPr>
        <w:tc>
          <w:tcPr>
            <w:tcW w:w="5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common shares - basic common stock</w:t>
            </w: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184,672</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175,103</w:t>
            </w:r>
          </w:p>
        </w:tc>
        <w:tc>
          <w:tcPr>
            <w:tcW w:w="24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182,551</w:t>
            </w: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165,719</w:t>
            </w:r>
          </w:p>
        </w:tc>
      </w:tr>
      <w:tr>
        <w:trPr>
          <w:trHeight w:val="205"/>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and other dilutive awards</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10,523</w:t>
            </w:r>
          </w:p>
        </w:tc>
        <w:tc>
          <w:tcPr>
            <w:tcW w:w="2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50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Weighted-average common shares - diluted common stock</w:t>
            </w: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8"/>
              </w:rPr>
              <w:t>184,672</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185,626</w:t>
            </w:r>
          </w:p>
        </w:tc>
        <w:tc>
          <w:tcPr>
            <w:tcW w:w="24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182,551</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165,719</w:t>
            </w:r>
          </w:p>
        </w:tc>
      </w:tr>
      <w:tr>
        <w:trPr>
          <w:trHeight w:val="35"/>
        </w:trPr>
        <w:tc>
          <w:tcPr>
            <w:tcW w:w="50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0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Shares excluded from diluted weighted-average shares: ¹</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3"/>
        </w:trPr>
        <w:tc>
          <w:tcPr>
            <w:tcW w:w="5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Dilutive shares excluded ²</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3,584</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4,658</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10,731</w:t>
            </w:r>
          </w:p>
        </w:tc>
      </w:tr>
      <w:tr>
        <w:trPr>
          <w:trHeight w:val="208"/>
        </w:trPr>
        <w:tc>
          <w:tcPr>
            <w:tcW w:w="59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Earnout shares (potentially issuable common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r>
      <w:tr>
        <w:trPr>
          <w:trHeight w:val="35"/>
        </w:trPr>
        <w:tc>
          <w:tcPr>
            <w:tcW w:w="5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23"/>
        </w:trPr>
        <w:tc>
          <w:tcPr>
            <w:tcW w:w="5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Unvested restricted stock units and restricted stock awards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r>
      <w:tr>
        <w:trPr>
          <w:trHeight w:val="208"/>
        </w:trPr>
        <w:tc>
          <w:tcPr>
            <w:tcW w:w="590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Stock options potentially exercisable for common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9,750</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9,750</w:t>
            </w:r>
          </w:p>
        </w:tc>
      </w:tr>
      <w:tr>
        <w:trPr>
          <w:trHeight w:val="35"/>
        </w:trPr>
        <w:tc>
          <w:tcPr>
            <w:tcW w:w="50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62"/>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Shares excluded from diluted weighted average shares</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22,409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20,013</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23,483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30,744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140" w:hanging="8"/>
        <w:spacing w:after="0" w:line="261" w:lineRule="auto"/>
        <w:tabs>
          <w:tab w:leader="none" w:pos="419"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potentially dilutive securities, which include unexercised stock options, unvested shares, and earnout shares, have been excluded from the computation of diluted net loss per share as the effect would be to reduce the net loss per share for both the three and nine months ended September 30, 2024 and the nine months ended September 30, 2023.</w:t>
      </w:r>
    </w:p>
    <w:p>
      <w:pPr>
        <w:ind w:left="340" w:right="460"/>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² The Company exclude the impact of restricted stock from the calculation of diluted net loss per common share in periods where we have a net loss or when their inclusion would be antidilutive.</w:t>
      </w:r>
    </w:p>
    <w:p>
      <w:pPr>
        <w:spacing w:after="0" w:line="310"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FOR INCOME TAXES</w:t>
      </w:r>
    </w:p>
    <w:p>
      <w:pPr>
        <w:spacing w:after="0" w:line="36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determined the income tax provision for interim periods using an estimate of the Company’s annual effective tax rate, adjusted for discrete items arising during the quarter. The Company’s effective tax rate for the three and nine months ended September 30, 2024 was (0.7)% and (0.6)%, respectively. The Company’s effective tax rate for the three and nine months ended September 30, 2023 was 0.3% and 0.0%, respectively. The effective tax rate for 2024 differs from the prior year primarily due to tax expense in foreign as a result of tax expense in foreign jurisdictions not impacted by valuation allowance.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the Company’s ability to accurately predict the proportion of the Company’s income (loss) before provision for income taxes in multiple jurisdictions, the tax effects of the Company’s stock-based compensation, and the effects of its foreign entities.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no unrecognized tax benefits for the three and nine months ended September 30, 2024 and 2023. The Company recognizes interest and penalties related to unrecognized tax benefits in operating expenses. No such interest and penalties were recognized during the three and nine months ended September 30, 2024 and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2024, the Company had no non-cancelable contractual arrangements that were due beyond one year besides lease obligations.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September 30, 2024.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and license agreement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for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2021, Navitas entered into a silicon control IC joint venture with Halo Microelectronics Co., Ltd. (“Halo”), a manufacturer of power management ICs, to develop products and technology relating to AC/DC converters. Navitas’ initial contribution to the joint venture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On January 19, 2023, the Company announced an agreement to acquire the remaining minority interest in the joint venture as well as rights to certain intellectual property from Halo and its U.S. affiliate for a total purchase price of $22.4 million in Navitas stock. See Note 16, Noncontrolling Interest,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from the family member of a senior executive of the Company, which expired in March 2024, and is now a month-to-month lease. During the three and nine months ended September 30, 2024, the Company paid an immaterial amount in rental payments. These payments were made at standard market rates in the ordinary course of business. There was no rent obligation as of September 30, 2024.</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property from an entity that it is owned by an executive of the Company, which expired in September 2023, and was on a month-to-month lease through May 2024, and then was terminated. During the three and nine months ended September 30, 2023, the Company paid an immaterial amount in rental payments in relation to this lease. These payments were made at standard market rates in the ordinary course of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NONCONTROLLING INTEREST</w:t>
      </w:r>
    </w:p>
    <w:p>
      <w:pPr>
        <w:spacing w:after="0" w:line="36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July 2021, the Company formed a joint venture for the purpose of conducting research and development on technology in the area of AC/DC converters for chargers and adapters. Refer to Note 15.</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income (loss) excludes income (loss) attributable to the noncontrolling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 Goodwill of $3.1 million was recorded in connection with this transaction.</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the joint venture as well as rights to certain intellectual property from Halo and its U.S. affiliate for a total purchase price of $22.4 million in Navitas stock. The transaction was completed on February 13, 2023. In connection with the purchase of intellectual property, the Company recognized developed technology as an intangible asset at its estimated fair value of $4.4 million.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929292"/>
        </w:rPr>
        <w:t>TABLE OF CONTENTS</w:t>
      </w:r>
    </w:p>
    <w:p>
      <w:pPr>
        <w:spacing w:after="0" w:line="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NAVITAS SEMICONDUCTOR CORPORATION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evaluated material subsequent events from the consolidated balance sheet date of September 30, 2024, through November 5, 2024, the date the condensed consolidated financial statements were issued. There were no material subsequent events as of November 5, 2024, except as discussed below.</w:t>
      </w:r>
    </w:p>
    <w:p>
      <w:pPr>
        <w:spacing w:after="0" w:line="20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October 25, 2024, the Company entered into a second amended and restated voting agreement (the “Voting Agreement”) with a third party (see Note 1 </w:t>
      </w:r>
      <w:r>
        <w:rPr>
          <w:rFonts w:ascii="Times New Roman" w:cs="Times New Roman" w:eastAsia="Times New Roman" w:hAnsi="Times New Roman"/>
          <w:sz w:val="18"/>
          <w:szCs w:val="18"/>
          <w:i w:val="1"/>
          <w:iCs w:val="1"/>
          <w:color w:val="auto"/>
        </w:rPr>
        <w:t>Investment in Third Party</w:t>
      </w:r>
      <w:r>
        <w:rPr>
          <w:rFonts w:ascii="Times New Roman" w:cs="Times New Roman" w:eastAsia="Times New Roman" w:hAnsi="Times New Roman"/>
          <w:sz w:val="18"/>
          <w:szCs w:val="18"/>
          <w:color w:val="auto"/>
        </w:rPr>
        <w:t xml:space="preserve">) that grants the Company the right to appoint a member to the third party’s Board of Directors. The Company has assessed the impact of the Voting Agreement under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and determined that the Company has significant influence and therefore will account for the investment in the third party as an equity method investment during the fourth quarter of 2024. The Company expects to fair value its investment in the third party on the Company’s balance sheet and then record the Company’s proportionate share of gains/losses in other income (expense) in the Company’s statements of operations. The Company expects the change in accounting to not have a material impact on its financial statements.</w:t>
      </w:r>
    </w:p>
    <w:p>
      <w:pPr>
        <w:spacing w:after="0" w:line="21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15, 2024, the Company announced a cost-reduction plan to streamline the organization with increased focus on artificial intelligence data center, EV and mobile applications, accelerating the Company’s path to profitability. The cost-reduction plan includes a 14% reduction in headcount with a majority of the costs consisting of severances and stock-based compensation, the expense of which the Company is still determining, but amounts are not expected to be significant. The Company expects to incur the majority of these expenses associated with this cost-reduction plan during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5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Founded in 2013, Navitas is a U.S. based developer of gallium nitride and silicon carbide power semiconductor devices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South Korea and the Philippines, with principal executive offices in Torrance, California.</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10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three and nine months ended September 30, 2024, we spent approximately 82% and 87%, respectively, of our revenue on research and development. In the three and nine months ended September 30, 2023, we spent approximately 75% and 95%, respectively, of our revenue on research and development. Navitas’ research and development activities are located primarily in the US and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Public Offering</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Buyout of Elevation Semiconductor</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its silicon control IC joint venture as well as rights to certain intellectual property from Halo Microelectronics for a total purchase price of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Our revenue represents the sale of semiconductors through specialized distributors to original equipment manufacturers (“OEMs”), their suppliers and other end customers.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less estimated returns. We provide a non-conformity warranty which is not sold separately and does not represent a separate performance obligation.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impairments, consumables, system and shipping costs. Cost of revenues also includes compensation related to personnel associated with manufacturing, including costs related to cash and share-based employee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(expense), net primarily consists of interest earned from our cash on hand.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Dividend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 income consist of income earned on money market treasury funds that are recorded as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13, Provision for Income Taxes, in our accompanying condensed consolidated financial statements elsewhere in this quarterly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and discussion below present our results for the three months ended September 30, 2024 and 2023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95"/>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8"/>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6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(28,973)</w:t>
            </w:r>
          </w:p>
        </w:tc>
        <w:tc>
          <w:tcPr>
            <w:tcW w:w="8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from change in fair value of earnout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7"/>
        </w:trPr>
        <w:tc>
          <w:tcPr>
            <w:tcW w:w="4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7"/>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7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9"/>
        </w:trPr>
        <w:tc>
          <w:tcPr>
            <w:tcW w:w="4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54" w:right="4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6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below)</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6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(91,685)</w:t>
            </w:r>
          </w:p>
        </w:tc>
        <w:tc>
          <w:tcPr>
            <w:tcW w:w="8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income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7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42,920</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7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37"/>
        </w:trPr>
        <w:tc>
          <w:tcPr>
            <w:tcW w:w="4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controlling interests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3480"/>
        <w:spacing w:after="0" w:line="319" w:lineRule="auto"/>
        <w:rPr>
          <w:sz w:val="20"/>
          <w:szCs w:val="20"/>
          <w:color w:val="auto"/>
        </w:rPr>
      </w:pPr>
      <w:r>
        <w:rPr>
          <w:rFonts w:ascii="Times New Roman" w:cs="Times New Roman" w:eastAsia="Times New Roman" w:hAnsi="Times New Roman"/>
          <w:sz w:val="18"/>
          <w:szCs w:val="18"/>
          <w:b w:val="1"/>
          <w:bCs w:val="1"/>
          <w:color w:val="auto"/>
        </w:rPr>
        <w:t xml:space="preserve">Three Months Ended September 30, 2024 Compared to the Three Months Ended September 30, 2023 </w:t>
      </w:r>
      <w:r>
        <w:rPr>
          <w:rFonts w:ascii="Times New Roman" w:cs="Times New Roman" w:eastAsia="Times New Roman" w:hAnsi="Times New Roman"/>
          <w:sz w:val="18"/>
          <w:szCs w:val="18"/>
          <w:b w:val="1"/>
          <w:bCs w:val="1"/>
          <w:i w:val="1"/>
          <w:iCs w:val="1"/>
          <w:u w:val="single" w:color="auto"/>
          <w:color w:val="auto"/>
        </w:rPr>
        <w:t>Revenue</w:t>
      </w:r>
    </w:p>
    <w:p>
      <w:pPr>
        <w:ind w:right="300" w:firstLine="486"/>
        <w:spacing w:after="0" w:line="239" w:lineRule="auto"/>
        <w:rPr>
          <w:sz w:val="20"/>
          <w:szCs w:val="20"/>
          <w:color w:val="auto"/>
        </w:rPr>
      </w:pPr>
      <w:r>
        <w:rPr>
          <w:rFonts w:ascii="Times New Roman" w:cs="Times New Roman" w:eastAsia="Times New Roman" w:hAnsi="Times New Roman"/>
          <w:sz w:val="18"/>
          <w:szCs w:val="18"/>
          <w:color w:val="auto"/>
        </w:rPr>
        <w:t>Revenue for the three months ended September 30, 2024 was $21.7 million compared to $22.0 million for the three months ended September 30, 2023, a decrease of $0.3 million, or 1%. The slight decline in sales was due to the decline in high power markets partially offset by growth in mobile compared to the three months ended September 30,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for the three months ended September 30, 2024 was $13.1 million compared to $14.9 million for the three months ended September 30, 2023, a decrease of $1.8 million or 12%. The decrease was primarily driven by an inventory write-off of $2.0 million that occurred during the three months ended September 30, 2023 slightly offset by product mix.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September 30, 2024 of $17.8 million increased by $1.3 million, or 8%, when compared to the three months ended September 30, 2023. This is primarily driven by an increase in headcount-related expenses and software costs as we build out our target end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September 30, 2024 of $15.0 million increased by $0.6 million, or 4%, when compared to the three months ended September 30, 2023, driven by increases in professional fees, salaries and benefits and a $0.8 million increase in the allowance for expected credit losses, offset by lower stock-based compensation expense.</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the same as we did not acquire new intangible assets.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Dividend income consists of income earned on our money market treasury funds that are recorded as cash equivalents on our consolidated balance sheet. Decrease of $0.4 million is primarily due to decreases in our investment balances in September 2024 compared to September 2023.</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a $9.2 million gain from the change in fair value of our earn-out liabilities. The decrease in the gain of our earn-out liabilities of $25.3 million was primarily a result of the decrease of the closing price of our Class A common stock listed on the Nasdaq, resulting in the decrease in the estimated fair value of the earnout shares from $4.53 as of September 30, 2023 to $0.46 as of September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tax provision for the three months ended September 30, 2024 increased $0.1 million when compared to the income tax benefit of $0.0 million for the three months ended September 30, 2023. We expect our tax rate to remain close to zero in the near term due to full valuation allowances against deferred tax assets.</w:t>
      </w:r>
    </w:p>
    <w:p>
      <w:pPr>
        <w:spacing w:after="0" w:line="199" w:lineRule="exact"/>
        <w:rPr>
          <w:sz w:val="20"/>
          <w:szCs w:val="20"/>
          <w:color w:val="auto"/>
        </w:rPr>
      </w:pPr>
    </w:p>
    <w:p>
      <w:pPr>
        <w:ind w:right="36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Nine Months Ended September 30, 2024 Compared to the Nine Months Ended September 30, 2023 </w:t>
      </w:r>
      <w:r>
        <w:rPr>
          <w:rFonts w:ascii="Times New Roman" w:cs="Times New Roman" w:eastAsia="Times New Roman" w:hAnsi="Times New Roman"/>
          <w:sz w:val="18"/>
          <w:szCs w:val="18"/>
          <w:b w:val="1"/>
          <w:bCs w:val="1"/>
          <w:i w:val="1"/>
          <w:iCs w:val="1"/>
          <w:u w:val="single" w:color="auto"/>
          <w:color w:val="auto"/>
        </w:rPr>
        <w:t>Revenue</w:t>
      </w: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Revenue for the nine months ended September 30, 2024 was $65.3 million compared to $53.4 million for the nine months ended September 30, 2023, an increase of $11.9 million, or 22%. Sales have increased due to strong mobile and consumer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revenues for the nine months ended September 30, 2024 was $39.2 million compared to $33.3 million for the nine months ended September 30, 2023, an increase of $5.9 million or 18%. The increase was primarily driven by increases in mobile and consumer product revenue partially offset by the inventory write-off of $2.0 million from September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2024 of $57.0 million increased by $6.3 million, or 12%, when compared to the nine months ended September 30, 2023. This is primarily driven by an increase in product development as it relates to EV, enterprise and solar. Additionally, salaries and benefits have increased as we build out our target end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for the nine months ended September 30, 2024 of $46.5 million decreased by $0.1 million, or —%, when compared to the nine months ended September 30, 2023. The decrease is primarily driven by a decrease in stock-based compensation expense of $4.1 million offset by increases in professional fees, sales force expenses, and coupled with the increase in the allowance for expected credit losses described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Intangible Assets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remained fairly consistent as we did not acquire new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interest (expense) income for the nine months ended September 30, 2024 was $(0.1) million compared to $1.3 million net interest income (expense) for the nine months ended September 30, 2023, primarily due to the higher interest rate received on money markets funds in the prior year.</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Increase of $2.1 million in dividend income is primarily due to the timing of when we transferred money into our money market treasury funds. As a result, the prior-year figure reflects only six months of activity compared to nine months in the current period.</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a $42.9 million gain from the change in fair value of our earn-out liabilities. The increase in the gain of our earn-out liabilities of $68.4 million was primarily a result of the decrease of the closing price of our Class A common stock listed on the Nasdaq, resulting in the decrease in the estimated fair value of the earnout shares from $4.53 as of September 30, 2023 to $0.46 as of September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Provision (Benefit)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tax provision for the nine months ended September 30, 2024 increased $0.3 million when compared to the income tax benefit of $0.0 million for the nine months ended September 30, 2023. We expect our tax rate to remain close to zero in the near term due to full valuation allowances against deferred tax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$98.6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nine months ended September 30, 2024 and 2023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0"/>
                <w:szCs w:val="20"/>
                <w:color w:val="auto"/>
              </w:rPr>
            </w:pPr>
          </w:p>
        </w:tc>
        <w:tc>
          <w:tcPr>
            <w:tcW w:w="2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 Data:</w:t>
            </w:r>
          </w:p>
        </w:tc>
        <w:tc>
          <w:tcPr>
            <w:tcW w:w="30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(48,633)</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(17,442)</w:t>
            </w:r>
          </w:p>
        </w:tc>
      </w:tr>
      <w:tr>
        <w:trPr>
          <w:trHeight w:val="2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88,213</w:t>
            </w:r>
          </w:p>
        </w:tc>
      </w:tr>
    </w:tbl>
    <w:p>
      <w:pPr>
        <w:spacing w:after="0" w:line="184"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We derive liquidity primarily from equity financing activities. As of September 30, 2024, our balance of cash and cash equivalents was $98.6 million, which is a decrease of $54.2 million or 35% compared to December 31,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operating activities was $48.6 million, which primarily reflects a net loss of $44.7 million. This decrease to operating cash flows is partially offset by adjustments for non-cash share-based compensation of $38.0 million, depreciation of $2.2 million, non-cash gains of $42.9 million in earnout liabilities, amortization of intangible assets of $14.3 million, and an aggregate cash used in operating assets and liabilities of $18.2 million. Specifically, increases in accounts receivables of $1.5 million, decreases in accounts payable, accrued compensation and other expenses of $9.9 million, decline in customer deposits and deferred revenue of $8.9 million, partially offset by decreases in inventories and prepaid expenses and other current assets of $3.0 million.</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2023, net cash used in operating activities was $17.4 million, which primarily reflects a net loss of $113.4 million. This decrease to operating cash flows are partially offset by adjustments for non-cash share-based compensation of $41.8 million, non-cash losses of $25.5 million in earnout liabilities, amortization of intangible assets of $14.0 million, and an aggregate cash provided by operating assets and liabilities of $11.5 million. Specifically, increases in deferred revenue of $13.3 million, accrued compensation expense of $12.2 million, increases in accrued expenses of $3.2 million, and increases in account payable of $2.5 million, partially offset by a $8.4 million increase in account receivable and $1.6 million increase in other assets, a $0.9 million increase in prepaid expenses and other, and a decrease in operating lease liabilities of $1.5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of $8.7 million was primarily due to $2.5 million cash funding of a joint venture and $6.2 million for purchases of fixed assets.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of $4.4 million was primarily due to $1.0 million cash funding of a joint venture and $3.4 million for purchases of fixed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of $3.1 million was primarily due to proceeds from stock option exercises of $0.4 million and proceeds from our employee stock purchase plan of $2.7 million.</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of $88.2 million was primarily due to proceeds from the issuance of common stock in May 2023 of $86.9 million and proceeds from stock option exercises of $1.8 million, offset by the payment of May 2023public offering costs of $0.5 million.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3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September 30, 2024, our non-cancellable contractual arrangements consisted entirely of lease obligations. Refer to Note 8 - Leases for further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2024, we did not have any off-balance sheet arrangements as defined in Item 303(a)(4)(ii) of Regulation 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in Item 7, “Management’s Discussion and Analysis of Financial Condition and Results of Operations”, included in our 2023 annual report on Form 10-K.</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Adverse changes in the global economic landscape have impacted, and may continue to affect, the demand for our products. This impact includes alterations in customer order behaviors, such as cancellations, and shifts in vendor inventory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face exposure to market price fluctuations of specific commodity raw materials, notably gold, which are integrated into our end products or utilized by our suppliers in production. Rising commodity prices result in increased costs passed on to us by suppliers, either through general price hikes or commodity surcharges. While our interactions with suppliers typically occur through purchase orders rather than long-term contracts, we strive to secure firm pricing aligned with planned production volumes.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management, with the supervision and involvement of our Principal Executive Officer and Principal Financial Officer, has evaluated the effectiveness of the design and operation of our disclosure controls and procedures (as defined in Rules 13a-15(e) and 15d-15(e) under the Exchange Act) as of the end of the period covered by this report, pursuant to Exchange Act Rule 13a-15. Based upon this evaluation, our chief executive officer and chief financial officer have concluded that, as of September 30, 2024, as a result of the material weaknesses in our internal control over financial reporting discussed below and filed in our amended annual report on Form 10-K for the year ended December 31, 2023 on July 23, 2024 with the SEC, our disclosure controls and procedures were not effective.</w:t>
      </w:r>
    </w:p>
    <w:p>
      <w:pPr>
        <w:spacing w:after="0" w:line="21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w:t>
      </w:r>
    </w:p>
    <w:p>
      <w:pPr>
        <w:spacing w:after="0" w:line="237" w:lineRule="exact"/>
        <w:rPr>
          <w:sz w:val="20"/>
          <w:szCs w:val="20"/>
          <w:color w:val="auto"/>
        </w:rPr>
      </w:pPr>
    </w:p>
    <w:p>
      <w:pPr>
        <w:jc w:val="both"/>
        <w:ind w:left="660" w:hanging="328"/>
        <w:spacing w:after="0" w:line="26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did not fully maintain components of the COSO framework, including elements of the control environment, risk assessment, control activities, and monitoring activities components, relating to: (i) sufficiency of processes related to identifying and analyzing risks to the</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achievement of objectives across the entity, (ii) sufficiency of competent personnel with appropriate levels of knowledge, experience, and training in accounting for complex and non-routine transactions, and internal control matters to perform assigned responsibilities and have appropriate</w:t>
      </w:r>
    </w:p>
    <w:p>
      <w:pPr>
        <w:spacing w:after="0" w:line="1" w:lineRule="exact"/>
        <w:rPr>
          <w:rFonts w:ascii="Arial" w:cs="Arial" w:eastAsia="Arial" w:hAnsi="Arial"/>
          <w:sz w:val="22"/>
          <w:szCs w:val="22"/>
          <w:color w:val="auto"/>
        </w:rPr>
      </w:pPr>
    </w:p>
    <w:p>
      <w:pPr>
        <w:jc w:val="both"/>
        <w:ind w:left="660"/>
        <w:spacing w:after="0" w:line="305" w:lineRule="auto"/>
        <w:rPr>
          <w:rFonts w:ascii="Arial" w:cs="Arial" w:eastAsia="Arial" w:hAnsi="Arial"/>
          <w:sz w:val="22"/>
          <w:szCs w:val="22"/>
          <w:color w:val="auto"/>
        </w:rPr>
      </w:pPr>
      <w:r>
        <w:rPr>
          <w:rFonts w:ascii="Times New Roman" w:cs="Times New Roman" w:eastAsia="Times New Roman" w:hAnsi="Times New Roman"/>
          <w:sz w:val="18"/>
          <w:szCs w:val="18"/>
          <w:color w:val="auto"/>
        </w:rPr>
        <w:t>accountability for the design and operation of internal control over financial reporting; (iii) performing control activities in accordance with established policies in a timely manner, and (iv) performing ongoing evaluation to ascertain whether the components of internal controls are present and functioning.</w:t>
      </w:r>
    </w:p>
    <w:p>
      <w:pPr>
        <w:spacing w:after="0" w:line="210"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The entity level material weaknesses contributed to other material weaknesses within the Company’s system of internal control over financial reporting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such that, personnel within the Company have incompatible duties which allow for</w:t>
      </w:r>
    </w:p>
    <w:p>
      <w:pPr>
        <w:spacing w:after="0" w:line="49" w:lineRule="exact"/>
        <w:rPr>
          <w:rFonts w:ascii="Times New Roman" w:cs="Times New Roman" w:eastAsia="Times New Roman" w:hAnsi="Times New Roman"/>
          <w:sz w:val="18"/>
          <w:szCs w:val="18"/>
          <w:color w:val="auto"/>
        </w:rPr>
      </w:pPr>
    </w:p>
    <w:p>
      <w:pPr>
        <w:ind w:left="660" w:right="5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review and processing of journal entries without independent review and authorization, which affects substantially all financial statement account balances and disclosures.</w:t>
      </w:r>
    </w:p>
    <w:p>
      <w:pPr>
        <w:spacing w:after="0" w:line="1"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over the accounting for share-based payments, including the long-term incentive plan awards and earnout liability.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over the accounting for its license and release agreement.</w:t>
      </w:r>
    </w:p>
    <w:p>
      <w:pPr>
        <w:spacing w:after="0" w:line="36"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effective controls over the inputs and assumptions used in the valuation of the earnout liability and information utilized to classify awards as either equity or liability.</w:t>
      </w:r>
    </w:p>
    <w:p>
      <w:pPr>
        <w:spacing w:after="0" w:line="1" w:lineRule="exact"/>
        <w:rPr>
          <w:rFonts w:ascii="Times New Roman" w:cs="Times New Roman" w:eastAsia="Times New Roman" w:hAnsi="Times New Roman"/>
          <w:sz w:val="18"/>
          <w:szCs w:val="18"/>
          <w:color w:val="auto"/>
        </w:rPr>
      </w:pPr>
    </w:p>
    <w:p>
      <w:pPr>
        <w:ind w:left="660" w:right="240" w:hanging="328"/>
        <w:spacing w:after="0" w:line="32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maintain effective controls over its determination of reportable segments for purposes of segment reporting and reporting units for purposes of goodwill.</w:t>
      </w:r>
    </w:p>
    <w:p>
      <w:pPr>
        <w:spacing w:after="0" w:line="175"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These material weaknesses did not result in a misstatement to the consolidated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principles generally accepted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Remediation Plan</w:t>
      </w:r>
    </w:p>
    <w:p>
      <w:pPr>
        <w:spacing w:after="0" w:line="270"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We have commenced developing a plan to enhance the design and operating effectiveness of our internal controls over financial reporting, including maintaining sufficient contemporaneous documentation of management review controls over accounting for share-based payments, including the long-term incentive plan awards, earnout liability, as well as the accounting for the Company’s license and release agreement, which we believe will address the material weakness described above. At least on an annual basis or as warranted due to organizational changes, we will perform a segment/reporting unit analysis. We expect our remediation will be complete prior to the end of the fourth quarter of fiscal 2024.</w:t>
      </w:r>
    </w:p>
    <w:p>
      <w:pPr>
        <w:spacing w:after="0" w:line="20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hired a Director of Information Technology at the end of 2023 to, among other responsibilities, segregate financial accounting systems access and system changes between IT and accounting department. The Company will continue to review and modify system access for accounting personnel to ensure proper segregation of duties around manual journal entries.</w:t>
      </w:r>
    </w:p>
    <w:p>
      <w:pPr>
        <w:spacing w:after="0" w:line="21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We have implemented enhanced workflows within our ERP system across key financial processes, including journal entry approvals, sales invoice approvals, expense payments, and cash application workflows, to strengthen control activities, ensure proper authorization, and maintain accurate documentation. Additionally, we improved the segregation of duties by refining access controls and reassigning responsibilities to prevent conflicts, reducing the risk of unauthorized transactions. We also expanded our analysis around the sensitivity of our long-term incentive plan awards and earnout liability. Specifically, for the earnout liability, we performed a more thorough review of the volatility component to improve the precision of our financial estimates and ensure compliance with applicable accounting standards.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Changes in Internal Control Over Financial Reporting</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Other than the material weaknesses and remediation plan described above, there have been no significant changes in our internal control over financial reporting (as defined in Exchange Act Rules 13a-15(f) and 15d-15(f)) that occurred during our most recent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disputes and litigation matters that arise in the ordinary course of business. We are currently not a party to any material legal proceedings.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from the risk factors previously disclosed in Part I—Item 1A, “Risk Factors,” of our annual report on Form10-K/A for the</w:t>
      </w:r>
    </w:p>
    <w:p>
      <w:pPr>
        <w:spacing w:after="0" w:line="6"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fiscal year ended December 31, 2023, filed with the SEC on July 23, 2024, and in Part II—Item 1A, “Risk Factors,” of our quarterly reports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Q for the quarter ended March 31, 2024, filed with the SEC on May 15, 2024 and for the quarter ended June 30, 2024, filed with the SEC on August 5, 2024, except as discussed below.</w:t>
      </w:r>
    </w:p>
    <w:p>
      <w:pPr>
        <w:spacing w:after="0" w:line="7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key distributors and the loss of one or more of these distributors could have a material adverse effect on our business, financial condition and results of operations.</w:t>
      </w:r>
    </w:p>
    <w:p>
      <w:pPr>
        <w:spacing w:after="0" w:line="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cannot assure that any of our current or future distributors will not cease purchasing products from us in favor of products of other suppliers, significantly reduce orders or seek price reductions in the future, and any such event could have a material adverse effect on our revenue, profitability, and results of operations.</w:t>
      </w:r>
    </w:p>
    <w:p>
      <w:pPr>
        <w:spacing w:after="0" w:line="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Furthermore, a significant portion of our revenue and accounts receivable is derived from one distributor.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Customers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Concentrations</w:t>
      </w:r>
      <w:r>
        <w:rPr>
          <w:rFonts w:ascii="Times New Roman" w:cs="Times New Roman" w:eastAsia="Times New Roman" w:hAnsi="Times New Roman"/>
          <w:sz w:val="18"/>
          <w:szCs w:val="18"/>
          <w:color w:val="auto"/>
        </w:rPr>
        <w:t>, included in this Form 10-Q for the percentages of revenues and accounts receivable attributable to this one distributor. A downturn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or lower sales could materially adversely affect our business and results of operations.</w:t>
      </w:r>
    </w:p>
    <w:p>
      <w:pPr>
        <w:spacing w:after="0" w:line="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We employ modeling techniques to support the valuation of our accounts receivable and to project the timing and amount of expected collections. While these models are designed to provide reliable insights, they involve certain inherent risks, especially if any assumptions or inputs prove inaccurate, incomplete, or less indicative of future outcomes than anticipated.</w:t>
      </w:r>
    </w:p>
    <w:p>
      <w:pPr>
        <w:spacing w:after="0" w:line="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part of our risk management efforts, we use a discounted cash flow model for certain accounts receivable, informed by historical trends and robust assumptions. However, should these assumptions or historical patterns deviate from actual results, there is potential for variance in the model’s accuracy, which could affect decisions based on these forecasts.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25, 2024, we issued 24,000 shares of our common stock to a professional advisor in exchange for consulting services provided to a subsidiary. The issuance was made in reliance on the exemption from registration provided by Section 4(a)(2) of the Securities Act of 1933, as amended, for transactions by an issuer not involving a public offering. The Company did not receive any cash proceeds from the issuance. The advisor represented its intention to acquire the securities for investment only and not with a view to or for sale in connection with any distribution thereof. Appropriate legends have been applied to the book-entry positions reflecting the shares issued in the transaction.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10b5-1 Trading Plans of Directors and Executive Officers</w:t>
      </w:r>
    </w:p>
    <w:p>
      <w:pPr>
        <w:spacing w:after="0" w:line="187"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18"/>
          <w:szCs w:val="18"/>
          <w:color w:val="auto"/>
        </w:rPr>
        <w:t>On September 9, 2024, Gene Sheridan, President and Chief Executive Officer, terminated a trading plan adopted on March 13, 2024 which was intended to satisfy the affirmative defense conditions of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1(c) under the Securities Exchange Act of 1934.</w:t>
      </w:r>
    </w:p>
    <w:p>
      <w:pPr>
        <w:spacing w:after="0" w:line="112"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 plans are generally in the form of prearranged written plans to buy or sell company stock at predetermined times or prices. Such plans are designed to provide an affirmative defense against insider trading liability, provided they satisfy the conditions of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1(c), including, but not limited to, a condition requiring directors and executive officers of public companies to observe a waiting period of at least 90 days, after the plan adoption date, before any trades can be executed under the plan.</w:t>
      </w:r>
    </w:p>
    <w:p>
      <w:pPr>
        <w:spacing w:after="0" w:line="149"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The company does not undertake any obligation to report the establishment, modification or termination of any Rule 10b5</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1 trading plans by directors or executive officers, except to the extent required by law.</w:t>
      </w:r>
    </w:p>
    <w:p>
      <w:pPr>
        <w:sectPr>
          <w:pgSz w:w="11900" w:h="16838" w:orient="portrait"/>
          <w:cols w:equalWidth="0" w:num="1">
            <w:col w:w="11240"/>
          </w:cols>
          <w:pgMar w:left="320" w:top="454"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3"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2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6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220" w:type="dxa"/>
            <w:vAlign w:val="bottom"/>
          </w:tcPr>
          <w:p>
            <w:pPr>
              <w:ind w:left="37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53"/>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2"/>
                <w:szCs w:val="22"/>
                <w:color w:val="auto"/>
              </w:rPr>
            </w:pPr>
          </w:p>
        </w:tc>
        <w:tc>
          <w:tcPr>
            <w:tcW w:w="8220" w:type="dxa"/>
            <w:vAlign w:val="bottom"/>
            <w:tcBorders>
              <w:top w:val="single" w:sz="8" w:color="auto"/>
            </w:tcBorders>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Letter agreement with Ranbir Singh dated July 31, 2024 (incorporated by reference to Exhibit 10.1 of our quarterly report on</w:t>
              </w:r>
            </w:hyperlink>
          </w:p>
        </w:tc>
      </w:tr>
      <w:tr>
        <w:trPr>
          <w:trHeight w:val="210"/>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rFonts w:ascii="Times New Roman" w:cs="Times New Roman" w:eastAsia="Times New Roman" w:hAnsi="Times New Roman"/>
                <w:sz w:val="16"/>
                <w:szCs w:val="16"/>
                <w:color w:val="0000FF"/>
              </w:rPr>
            </w:pPr>
            <w:hyperlink r:id="rId52">
              <w:r>
                <w:rPr>
                  <w:rFonts w:ascii="Times New Roman" w:cs="Times New Roman" w:eastAsia="Times New Roman" w:hAnsi="Times New Roman"/>
                  <w:sz w:val="16"/>
                  <w:szCs w:val="16"/>
                  <w:color w:val="0000FF"/>
                </w:rPr>
                <w:t>Form 10-Q for the quarter ended June 30, 2024, filed with the SEC on August 5, 2024)</w:t>
              </w:r>
            </w:hyperlink>
          </w:p>
        </w:tc>
      </w:tr>
      <w:tr>
        <w:trPr>
          <w:trHeight w:val="310"/>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 Act</w:t>
            </w:r>
          </w:p>
        </w:tc>
      </w:tr>
      <w:tr>
        <w:trPr>
          <w:trHeight w:val="270"/>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3"/>
                <w:szCs w:val="23"/>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 13a-14(a) of the Exchange Act</w:t>
            </w:r>
          </w:p>
        </w:tc>
      </w:tr>
      <w:tr>
        <w:trPr>
          <w:trHeight w:val="222"/>
        </w:trPr>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 Rule 13a-14(b) of the Exchange Act</w:t>
            </w:r>
          </w:p>
        </w:tc>
      </w:tr>
      <w:tr>
        <w:trPr>
          <w:trHeight w:val="210"/>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0000FF"/>
              </w:rPr>
              <w:t>and 18 U.S.C. § 1350</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7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Filed herewith</w:t>
      </w:r>
    </w:p>
    <w:p>
      <w:pPr>
        <w:spacing w:after="0" w:line="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929292"/>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80"/>
        <w:spacing w:after="0"/>
        <w:tabs>
          <w:tab w:leader="none" w:pos="5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18345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Gene Sheridan</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40" w:lineRule="exact"/>
        <w:rPr>
          <w:sz w:val="20"/>
          <w:szCs w:val="20"/>
          <w:color w:val="auto"/>
        </w:rPr>
      </w:pPr>
    </w:p>
    <w:p>
      <w:pPr>
        <w:jc w:val="center"/>
        <w:ind w:right="-79"/>
        <w:spacing w:after="0"/>
        <w:tabs>
          <w:tab w:leader="none" w:pos="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5, 2024</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NAVITAS SEMICONDUCTOR</w:t>
      </w:r>
    </w:p>
    <w:p>
      <w:pPr>
        <w:ind w:left="4400"/>
        <w:spacing w:after="0"/>
        <w:rPr>
          <w:sz w:val="20"/>
          <w:szCs w:val="20"/>
          <w:color w:val="auto"/>
        </w:rPr>
      </w:pPr>
      <w:r>
        <w:rPr>
          <w:rFonts w:ascii="Times New Roman" w:cs="Times New Roman" w:eastAsia="Times New Roman" w:hAnsi="Times New Roman"/>
          <w:sz w:val="18"/>
          <w:szCs w:val="18"/>
          <w:color w:val="auto"/>
        </w:rPr>
        <w:t>CORPORATION</w:t>
      </w:r>
    </w:p>
    <w:p>
      <w:pPr>
        <w:spacing w:after="0" w:line="232" w:lineRule="exact"/>
        <w:rPr>
          <w:sz w:val="20"/>
          <w:szCs w:val="20"/>
          <w:color w:val="auto"/>
        </w:rPr>
      </w:pPr>
    </w:p>
    <w:p>
      <w:pPr>
        <w:ind w:left="4400"/>
        <w:spacing w:after="0"/>
        <w:tabs>
          <w:tab w:leader="none" w:pos="4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17145</wp:posOffset>
            </wp:positionV>
            <wp:extent cx="1860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Todd Glickman</w:t>
      </w:r>
    </w:p>
    <w:p>
      <w:pPr>
        <w:spacing w:after="0" w:line="1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Sr. V.P., Chief Financial Officer and</w:t>
      </w:r>
    </w:p>
    <w:p>
      <w:pPr>
        <w:ind w:left="4960"/>
        <w:spacing w:after="0"/>
        <w:rPr>
          <w:sz w:val="20"/>
          <w:szCs w:val="20"/>
          <w:color w:val="auto"/>
        </w:rPr>
      </w:pPr>
      <w:r>
        <w:rPr>
          <w:rFonts w:ascii="Times New Roman" w:cs="Times New Roman" w:eastAsia="Times New Roman" w:hAnsi="Times New Roman"/>
          <w:sz w:val="18"/>
          <w:szCs w:val="18"/>
          <w:color w:val="auto"/>
        </w:rPr>
        <w:t>Treasurer</w:t>
      </w:r>
    </w:p>
    <w:p>
      <w:pPr>
        <w:spacing w:after="0" w:line="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w:t>
      </w:r>
    </w:p>
    <w:p>
      <w:pPr>
        <w:ind w:left="4960"/>
        <w:spacing w:after="0"/>
        <w:rPr>
          <w:sz w:val="20"/>
          <w:szCs w:val="20"/>
          <w:color w:val="auto"/>
        </w:rPr>
      </w:pPr>
      <w:r>
        <w:rPr>
          <w:rFonts w:ascii="Times New Roman" w:cs="Times New Roman" w:eastAsia="Times New Roman" w:hAnsi="Times New Roman"/>
          <w:sz w:val="18"/>
          <w:szCs w:val="18"/>
          <w:color w:val="auto"/>
        </w:rPr>
        <w:t>officer)</w:t>
      </w:r>
    </w:p>
    <w:p>
      <w:pPr>
        <w:spacing w:after="0" w:line="273"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60"/>
          </w:cols>
          <w:pgMar w:left="320" w:top="454" w:right="8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2024,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6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1460" w:type="dxa"/>
            <w:vAlign w:val="bottom"/>
          </w:tcPr>
          <w:p>
            <w:pPr>
              <w:spacing w:after="0"/>
              <w:rPr>
                <w:sz w:val="13"/>
                <w:szCs w:val="13"/>
                <w:color w:val="auto"/>
              </w:rPr>
            </w:pPr>
          </w:p>
        </w:tc>
      </w:tr>
      <w:tr>
        <w:trPr>
          <w:trHeight w:val="180"/>
        </w:trPr>
        <w:tc>
          <w:tcPr>
            <w:tcW w:w="5460" w:type="dxa"/>
            <w:vAlign w:val="bottom"/>
          </w:tcPr>
          <w:p>
            <w:pPr>
              <w:spacing w:after="0"/>
              <w:rPr>
                <w:sz w:val="15"/>
                <w:szCs w:val="15"/>
                <w:color w:val="auto"/>
              </w:rPr>
            </w:pP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54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Glickman, certify that:</w:t>
      </w:r>
    </w:p>
    <w:p>
      <w:pPr>
        <w:spacing w:after="0" w:line="158"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2024,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tabs>
          <w:tab w:leader="none" w:pos="414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u w:val="single" w:color="auto"/>
          <w:color w:val="auto"/>
        </w:rPr>
        <w:t>/s/ Todd Glickman</w:t>
      </w:r>
    </w:p>
    <w:p>
      <w:pPr>
        <w:ind w:left="4160"/>
        <w:spacing w:after="0" w:line="205" w:lineRule="auto"/>
        <w:rPr>
          <w:sz w:val="20"/>
          <w:szCs w:val="20"/>
          <w:color w:val="auto"/>
        </w:rPr>
      </w:pPr>
      <w:r>
        <w:rPr>
          <w:rFonts w:ascii="Times New Roman" w:cs="Times New Roman" w:eastAsia="Times New Roman" w:hAnsi="Times New Roman"/>
          <w:sz w:val="18"/>
          <w:szCs w:val="18"/>
          <w:color w:val="auto"/>
        </w:rPr>
        <w:t>Todd Glickman</w:t>
      </w:r>
    </w:p>
    <w:p>
      <w:pPr>
        <w:ind w:left="4160"/>
        <w:spacing w:after="0" w:line="204" w:lineRule="auto"/>
        <w:rPr>
          <w:sz w:val="20"/>
          <w:szCs w:val="20"/>
          <w:color w:val="auto"/>
        </w:rPr>
      </w:pPr>
      <w:r>
        <w:rPr>
          <w:rFonts w:ascii="Times New Roman" w:cs="Times New Roman" w:eastAsia="Times New Roman" w:hAnsi="Times New Roman"/>
          <w:sz w:val="18"/>
          <w:szCs w:val="18"/>
          <w:color w:val="auto"/>
        </w:rPr>
        <w:t>Sr. V.P., Chief Financial Officer and Treasurer</w:t>
      </w:r>
    </w:p>
    <w:p>
      <w:pPr>
        <w:ind w:left="41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the undersigned’s capacity as an officer of Navitas Semiconductor Corporation (“Navitas”), that, to his knowledge, Navitas’ quarterly report on Form 10-Q for the period ended September 30, 2024, fully complies with the requirements of Section 13(a) of the Securities Exchange Act of 1934 and that the information contained in such report fairly presents, in all material respects, the financial condition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472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Todd Glickman</w:t>
            </w:r>
          </w:p>
        </w:tc>
      </w:tr>
      <w:tr>
        <w:trPr>
          <w:trHeight w:val="151"/>
        </w:trPr>
        <w:tc>
          <w:tcPr>
            <w:tcW w:w="4720" w:type="dxa"/>
            <w:vAlign w:val="bottom"/>
          </w:tcPr>
          <w:p>
            <w:pPr>
              <w:spacing w:after="0"/>
              <w:rPr>
                <w:sz w:val="13"/>
                <w:szCs w:val="13"/>
                <w:color w:val="auto"/>
              </w:rPr>
            </w:pPr>
          </w:p>
        </w:tc>
        <w:tc>
          <w:tcPr>
            <w:tcW w:w="134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Todd Glickman</w:t>
            </w:r>
          </w:p>
        </w:tc>
        <w:tc>
          <w:tcPr>
            <w:tcW w:w="1980" w:type="dxa"/>
            <w:vAlign w:val="bottom"/>
          </w:tcPr>
          <w:p>
            <w:pPr>
              <w:spacing w:after="0"/>
              <w:rPr>
                <w:sz w:val="13"/>
                <w:szCs w:val="13"/>
                <w:color w:val="auto"/>
              </w:rPr>
            </w:pPr>
          </w:p>
        </w:tc>
      </w:tr>
      <w:tr>
        <w:trPr>
          <w:trHeight w:val="180"/>
        </w:trPr>
        <w:tc>
          <w:tcPr>
            <w:tcW w:w="4720" w:type="dxa"/>
            <w:vAlign w:val="bottom"/>
          </w:tcPr>
          <w:p>
            <w:pPr>
              <w:spacing w:after="0"/>
              <w:rPr>
                <w:sz w:val="15"/>
                <w:szCs w:val="15"/>
                <w:color w:val="auto"/>
              </w:rPr>
            </w:pPr>
          </w:p>
        </w:tc>
        <w:tc>
          <w:tcPr>
            <w:tcW w:w="33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4720" w:type="dxa"/>
            <w:vAlign w:val="bottom"/>
          </w:tcPr>
          <w:p>
            <w:pPr>
              <w:spacing w:after="0"/>
              <w:rPr>
                <w:sz w:val="20"/>
                <w:szCs w:val="20"/>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2"/>
    </w:lvl>
    <w:lvl w:ilvl="1">
      <w:lvlJc w:val="left"/>
      <w:lvlText w:val="¹"/>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2" Type="http://schemas.openxmlformats.org/officeDocument/2006/relationships/hyperlink" Target="https://www.sec.gov/Archives/edgar/data/0001821769/000182176924000094/exhibit101-letter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2024-11-05T15:34:35Z</dcterms:created>
  <dcterms:modified xsi:type="dcterms:W3CDTF">2024-11-05T15:34:35Z</dcterms:modified>
</cp:coreProperties>
</file>