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20"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2024</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30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Calibri" w:cs="Calibri" w:eastAsia="Calibri" w:hAnsi="Calibri"/>
          <w:sz w:val="32"/>
          <w:szCs w:val="32"/>
          <w:b w:val="1"/>
          <w:bCs w:val="1"/>
          <w:color w:val="auto"/>
        </w:rPr>
        <w:t>Navitas Semiconductor Corporaton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85-2560226</w:t>
            </w:r>
          </w:p>
        </w:tc>
        <w:tc>
          <w:tcPr>
            <w:tcW w:w="0" w:type="dxa"/>
            <w:vAlign w:val="bottom"/>
          </w:tcPr>
          <w:p>
            <w:pPr>
              <w:spacing w:after="0"/>
              <w:rPr>
                <w:sz w:val="1"/>
                <w:szCs w:val="1"/>
                <w:color w:val="auto"/>
              </w:rPr>
            </w:pPr>
          </w:p>
        </w:tc>
      </w:tr>
      <w:tr>
        <w:trPr>
          <w:trHeight w:val="225"/>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6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380" w:type="dxa"/>
            <w:vAlign w:val="bottom"/>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183,457,686 shares of Class A Common Stock were outstanding at 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E32E1"/>
              </w:rPr>
              <w:t>Part I - Financial Information</w:t>
            </w:r>
          </w:p>
        </w:tc>
        <w:tc>
          <w:tcPr>
            <w:tcW w:w="3320" w:type="dxa"/>
            <w:vAlign w:val="bottom"/>
            <w:gridSpan w:val="6"/>
            <w:vMerge w:val="restart"/>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tcBorders>
              <w:bottom w:val="single" w:sz="8" w:color="0E32E1"/>
            </w:tcBorders>
            <w:gridSpan w:val="5"/>
            <w:vMerge w:val="continue"/>
          </w:tcPr>
          <w:p>
            <w:pPr>
              <w:spacing w:after="0"/>
              <w:rPr>
                <w:sz w:val="14"/>
                <w:szCs w:val="14"/>
                <w:color w:val="auto"/>
              </w:rPr>
            </w:pPr>
          </w:p>
        </w:tc>
        <w:tc>
          <w:tcPr>
            <w:tcW w:w="3320" w:type="dxa"/>
            <w:vAlign w:val="bottom"/>
            <w:gridSpan w:val="6"/>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736"/>
        </w:trPr>
        <w:tc>
          <w:tcPr>
            <w:tcW w:w="2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60" w:type="dxa"/>
            <w:vAlign w:val="bottom"/>
            <w:gridSpan w:val="12"/>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December 31, 2023</w:t>
            </w:r>
          </w:p>
        </w:tc>
        <w:tc>
          <w:tcPr>
            <w:tcW w:w="2800" w:type="dxa"/>
            <w:vAlign w:val="bottom"/>
            <w:gridSpan w:val="5"/>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209"/>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Six Months Ended June 30, 2024 and 2023</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10"/>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9"/>
        </w:trPr>
        <w:tc>
          <w:tcPr>
            <w:tcW w:w="88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 for the Six Months Ended June 30, 2024 and 2023</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rPr>
                <w:sz w:val="1"/>
                <w:szCs w:val="1"/>
                <w:color w:val="auto"/>
              </w:rPr>
            </w:pPr>
          </w:p>
        </w:tc>
      </w:tr>
      <w:tr>
        <w:trPr>
          <w:trHeight w:val="209"/>
        </w:trPr>
        <w:tc>
          <w:tcPr>
            <w:tcW w:w="40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Notes to Consolidated Financial Statements</w:t>
            </w:r>
          </w:p>
        </w:tc>
        <w:tc>
          <w:tcPr>
            <w:tcW w:w="3300" w:type="dxa"/>
            <w:vAlign w:val="bottom"/>
            <w:tcBorders>
              <w:top w:val="single" w:sz="8" w:color="0000FF"/>
            </w:tcBorders>
            <w:gridSpan w:val="6"/>
          </w:tcPr>
          <w:p>
            <w:pPr>
              <w:spacing w:after="0"/>
              <w:rPr>
                <w:sz w:val="18"/>
                <w:szCs w:val="18"/>
                <w:color w:val="auto"/>
              </w:rPr>
            </w:pPr>
          </w:p>
        </w:tc>
        <w:tc>
          <w:tcPr>
            <w:tcW w:w="1640" w:type="dxa"/>
            <w:vAlign w:val="bottom"/>
            <w:gridSpan w:val="3"/>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9</w:t>
            </w:r>
          </w:p>
        </w:tc>
        <w:tc>
          <w:tcPr>
            <w:tcW w:w="0" w:type="dxa"/>
            <w:vAlign w:val="bottom"/>
          </w:tcPr>
          <w:p>
            <w:pPr>
              <w:spacing w:after="0"/>
              <w:rPr>
                <w:sz w:val="1"/>
                <w:szCs w:val="1"/>
                <w:color w:val="auto"/>
              </w:rPr>
            </w:pPr>
          </w:p>
        </w:tc>
      </w:tr>
      <w:tr>
        <w:trPr>
          <w:trHeight w:val="209"/>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Conditions and Operating Results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26</w:t>
            </w:r>
          </w:p>
        </w:tc>
        <w:tc>
          <w:tcPr>
            <w:tcW w:w="0" w:type="dxa"/>
            <w:vAlign w:val="bottom"/>
          </w:tcPr>
          <w:p>
            <w:pPr>
              <w:spacing w:after="0"/>
              <w:rPr>
                <w:sz w:val="1"/>
                <w:szCs w:val="1"/>
                <w:color w:val="auto"/>
              </w:rPr>
            </w:pPr>
          </w:p>
        </w:tc>
      </w:tr>
      <w:tr>
        <w:trPr>
          <w:trHeight w:val="223"/>
        </w:trPr>
        <w:tc>
          <w:tcPr>
            <w:tcW w:w="43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900" w:type="dxa"/>
            <w:vAlign w:val="bottom"/>
            <w:tcBorders>
              <w:top w:val="single" w:sz="8" w:color="0000FF"/>
            </w:tcBorders>
            <w:gridSpan w:val="4"/>
          </w:tcPr>
          <w:p>
            <w:pPr>
              <w:spacing w:after="0"/>
              <w:rPr>
                <w:sz w:val="19"/>
                <w:szCs w:val="19"/>
                <w:color w:val="auto"/>
              </w:rPr>
            </w:pPr>
          </w:p>
        </w:tc>
        <w:tc>
          <w:tcPr>
            <w:tcW w:w="2680" w:type="dxa"/>
            <w:vAlign w:val="bottom"/>
            <w:gridSpan w:val="4"/>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34</w:t>
            </w:r>
          </w:p>
        </w:tc>
        <w:tc>
          <w:tcPr>
            <w:tcW w:w="0" w:type="dxa"/>
            <w:vAlign w:val="bottom"/>
          </w:tcPr>
          <w:p>
            <w:pPr>
              <w:spacing w:after="0"/>
              <w:rPr>
                <w:sz w:val="1"/>
                <w:szCs w:val="1"/>
                <w:color w:val="auto"/>
              </w:rPr>
            </w:pPr>
          </w:p>
        </w:tc>
      </w:tr>
      <w:tr>
        <w:trPr>
          <w:trHeight w:val="250"/>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 and Procedures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35</w:t>
            </w:r>
          </w:p>
        </w:tc>
        <w:tc>
          <w:tcPr>
            <w:tcW w:w="0" w:type="dxa"/>
            <w:vAlign w:val="bottom"/>
          </w:tcPr>
          <w:p>
            <w:pPr>
              <w:spacing w:after="0"/>
              <w:rPr>
                <w:sz w:val="1"/>
                <w:szCs w:val="1"/>
                <w:color w:val="auto"/>
              </w:rPr>
            </w:pPr>
          </w:p>
        </w:tc>
      </w:tr>
      <w:tr>
        <w:trPr>
          <w:trHeight w:val="763"/>
        </w:trPr>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4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00" w:type="dxa"/>
            <w:vAlign w:val="bottom"/>
            <w:gridSpan w:val="14"/>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37</w:t>
            </w:r>
          </w:p>
        </w:tc>
        <w:tc>
          <w:tcPr>
            <w:tcW w:w="0" w:type="dxa"/>
            <w:vAlign w:val="bottom"/>
          </w:tcPr>
          <w:p>
            <w:pPr>
              <w:spacing w:after="0"/>
              <w:rPr>
                <w:sz w:val="1"/>
                <w:szCs w:val="1"/>
                <w:color w:val="auto"/>
              </w:rPr>
            </w:pPr>
          </w:p>
        </w:tc>
      </w:tr>
      <w:tr>
        <w:trPr>
          <w:trHeight w:val="250"/>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37</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20" w:type="dxa"/>
            <w:vAlign w:val="bottom"/>
            <w:gridSpan w:val="15"/>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w w:val="99"/>
              </w:rPr>
              <w:t>38</w:t>
            </w:r>
          </w:p>
        </w:tc>
        <w:tc>
          <w:tcPr>
            <w:tcW w:w="0" w:type="dxa"/>
            <w:vAlign w:val="bottom"/>
          </w:tcPr>
          <w:p>
            <w:pPr>
              <w:spacing w:after="0" w:line="20" w:lineRule="exact"/>
              <w:rPr>
                <w:sz w:val="1"/>
                <w:szCs w:val="1"/>
                <w:color w:val="auto"/>
              </w:rPr>
            </w:pPr>
          </w:p>
        </w:tc>
      </w:tr>
      <w:tr>
        <w:trPr>
          <w:trHeight w:val="250"/>
        </w:trPr>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20" w:type="dxa"/>
            <w:vAlign w:val="bottom"/>
            <w:gridSpan w:val="15"/>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340" w:type="dxa"/>
            <w:vAlign w:val="bottom"/>
            <w:gridSpan w:val="17"/>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 w:space="500"/>
            <w:col w:w="10080"/>
          </w:cols>
          <w:pgMar w:left="320" w:top="121" w:right="339" w:bottom="1440" w:gutter="0" w:footer="0" w:header="0"/>
          <w:type w:val="continuous"/>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shares and par value)</w:t>
            </w:r>
          </w:p>
        </w:tc>
        <w:tc>
          <w:tcPr>
            <w:tcW w:w="26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Pr>
          <w:p>
            <w:pPr>
              <w:spacing w:after="0"/>
              <w:rPr>
                <w:sz w:val="17"/>
                <w:szCs w:val="17"/>
                <w:color w:val="auto"/>
              </w:rPr>
            </w:pPr>
          </w:p>
        </w:tc>
        <w:tc>
          <w:tcPr>
            <w:tcW w:w="1540" w:type="dxa"/>
            <w:vAlign w:val="bottom"/>
          </w:tcPr>
          <w:p>
            <w:pPr>
              <w:jc w:val="right"/>
              <w:ind w:right="151"/>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207,109</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91,099</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0" w:type="dxa"/>
            <w:vAlign w:val="bottom"/>
          </w:tcPr>
          <w:p>
            <w:pPr>
              <w:spacing w:after="0"/>
              <w:rPr>
                <w:sz w:val="1"/>
                <w:szCs w:val="1"/>
                <w:color w:val="auto"/>
              </w:rPr>
            </w:pP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23"/>
        </w:trPr>
        <w:tc>
          <w:tcPr>
            <w:tcW w:w="7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ROYALTIES NONCURRENT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104,929</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$0.0001 par value, 750,000,000 shares authorized as of June 30, 2024 and December 31,</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2023, and 183,502,186 and 179,196,418 shares issued and outstanding at June 30, 2024 and December 31,</w:t>
            </w:r>
          </w:p>
        </w:tc>
        <w:tc>
          <w:tcPr>
            <w:tcW w:w="2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respectively</w:t>
            </w:r>
          </w:p>
        </w:tc>
        <w:tc>
          <w:tcPr>
            <w:tcW w:w="2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00" w:type="dxa"/>
            <w:vAlign w:val="bottom"/>
            <w:gridSpan w:val="4"/>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28"/>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w:t>
            </w:r>
          </w:p>
        </w:tc>
      </w:tr>
      <w:tr>
        <w:trPr>
          <w:trHeight w:val="175"/>
        </w:trPr>
        <w:tc>
          <w:tcPr>
            <w:tcW w:w="5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below)</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34,186</w:t>
            </w: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r>
      <w:tr>
        <w:trPr>
          <w:trHeight w:val="230"/>
        </w:trPr>
        <w:tc>
          <w:tcPr>
            <w:tcW w:w="5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(62,692)</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(59,976)</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(58,236)</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(120,928)</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LESS: NET LOSS ATTRIBUTABLE TO NONCONTROLLING INTERESTS</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CONTROLLING INTERESTS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70"/>
        </w:trPr>
        <w:tc>
          <w:tcPr>
            <w:tcW w:w="5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175"/>
        </w:trPr>
        <w:tc>
          <w:tcPr>
            <w:tcW w:w="5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NET LOSS PER</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161,086</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161,086</w:t>
            </w: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280" w:type="dxa"/>
            <w:vAlign w:val="bottom"/>
          </w:tcPr>
          <w:p>
            <w:pPr>
              <w:spacing w:after="0"/>
              <w:rPr>
                <w:sz w:val="17"/>
                <w:szCs w:val="17"/>
                <w:color w:val="auto"/>
              </w:rPr>
            </w:pPr>
          </w:p>
        </w:tc>
        <w:tc>
          <w:tcPr>
            <w:tcW w:w="2400" w:type="dxa"/>
            <w:vAlign w:val="bottom"/>
            <w:gridSpan w:val="4"/>
          </w:tcPr>
          <w:p>
            <w:pPr>
              <w:jc w:val="right"/>
              <w:ind w:right="352"/>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02"/>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155"/>
        </w:trPr>
        <w:tc>
          <w:tcPr>
            <w:tcW w:w="5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COMPREHENSIVE LOSS ATTRIBUTABLE TO CONTROLLING</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(120,375)</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6"/>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7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8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040" w:type="dxa"/>
            <w:vAlign w:val="bottom"/>
            <w:gridSpan w:val="3"/>
            <w:vMerge w:val="restart"/>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6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179,196</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680,790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(300,187)</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380,617</w:t>
            </w:r>
          </w:p>
        </w:tc>
        <w:tc>
          <w:tcPr>
            <w:tcW w:w="0" w:type="dxa"/>
            <w:vAlign w:val="bottom"/>
          </w:tcPr>
          <w:p>
            <w:pPr>
              <w:spacing w:after="0"/>
              <w:rPr>
                <w:sz w:val="1"/>
                <w:szCs w:val="1"/>
                <w:color w:val="auto"/>
              </w:rPr>
            </w:pPr>
          </w:p>
        </w:tc>
      </w:tr>
      <w:tr>
        <w:trPr>
          <w:trHeight w:val="139"/>
        </w:trPr>
        <w:tc>
          <w:tcPr>
            <w:tcW w:w="4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0" w:type="dxa"/>
            <w:vAlign w:val="bottom"/>
          </w:tcPr>
          <w:p>
            <w:pPr>
              <w:spacing w:after="0"/>
              <w:rPr>
                <w:sz w:val="1"/>
                <w:szCs w:val="1"/>
                <w:color w:val="auto"/>
              </w:rPr>
            </w:pPr>
          </w:p>
        </w:tc>
      </w:tr>
      <w:tr>
        <w:trPr>
          <w:trHeight w:val="193"/>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182,997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701,771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(303,868)</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397,917</w:t>
            </w:r>
          </w:p>
        </w:tc>
        <w:tc>
          <w:tcPr>
            <w:tcW w:w="0" w:type="dxa"/>
            <w:vAlign w:val="bottom"/>
          </w:tcPr>
          <w:p>
            <w:pPr>
              <w:spacing w:after="0"/>
              <w:rPr>
                <w:sz w:val="1"/>
                <w:szCs w:val="1"/>
                <w:color w:val="auto"/>
              </w:rPr>
            </w:pPr>
          </w:p>
        </w:tc>
      </w:tr>
      <w:tr>
        <w:trPr>
          <w:trHeight w:val="139"/>
        </w:trPr>
        <w:tc>
          <w:tcPr>
            <w:tcW w:w="4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93"/>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(22,328)</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(22,328)</w:t>
            </w:r>
          </w:p>
        </w:tc>
        <w:tc>
          <w:tcPr>
            <w:tcW w:w="0" w:type="dxa"/>
            <w:vAlign w:val="bottom"/>
          </w:tcPr>
          <w:p>
            <w:pPr>
              <w:spacing w:after="0"/>
              <w:rPr>
                <w:sz w:val="1"/>
                <w:szCs w:val="1"/>
                <w:color w:val="auto"/>
              </w:rPr>
            </w:pPr>
          </w:p>
        </w:tc>
      </w:tr>
      <w:tr>
        <w:trPr>
          <w:trHeight w:val="226"/>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388,100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7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08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(154,754)</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384,760</w:t>
            </w:r>
          </w:p>
        </w:tc>
        <w:tc>
          <w:tcPr>
            <w:tcW w:w="0" w:type="dxa"/>
            <w:vAlign w:val="bottom"/>
          </w:tcPr>
          <w:p>
            <w:pPr>
              <w:spacing w:after="0"/>
              <w:rPr>
                <w:sz w:val="1"/>
                <w:szCs w:val="1"/>
                <w:color w:val="auto"/>
              </w:rPr>
            </w:pPr>
          </w:p>
        </w:tc>
      </w:tr>
      <w:tr>
        <w:trPr>
          <w:trHeight w:val="135"/>
        </w:trPr>
        <w:tc>
          <w:tcPr>
            <w:tcW w:w="4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0" w:type="dxa"/>
            <w:vAlign w:val="bottom"/>
          </w:tcPr>
          <w:p>
            <w:pPr>
              <w:spacing w:after="0"/>
              <w:rPr>
                <w:sz w:val="1"/>
                <w:szCs w:val="1"/>
                <w:color w:val="auto"/>
              </w:rPr>
            </w:pPr>
          </w:p>
        </w:tc>
      </w:tr>
      <w:tr>
        <w:trPr>
          <w:trHeight w:val="195"/>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in connection with buyout agreement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(62,365)</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160,943</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561,193</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(216,601)</w:t>
            </w:r>
          </w:p>
        </w:tc>
        <w:tc>
          <w:tcPr>
            <w:tcW w:w="80" w:type="dxa"/>
            <w:vAlign w:val="bottom"/>
          </w:tcPr>
          <w:p>
            <w:pPr>
              <w:spacing w:after="0"/>
              <w:rPr>
                <w:sz w:val="16"/>
                <w:szCs w:val="16"/>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344,603</w:t>
            </w:r>
          </w:p>
        </w:tc>
        <w:tc>
          <w:tcPr>
            <w:tcW w:w="0" w:type="dxa"/>
            <w:vAlign w:val="bottom"/>
          </w:tcPr>
          <w:p>
            <w:pPr>
              <w:spacing w:after="0"/>
              <w:rPr>
                <w:sz w:val="1"/>
                <w:szCs w:val="1"/>
                <w:color w:val="auto"/>
              </w:rPr>
            </w:pPr>
          </w:p>
        </w:tc>
      </w:tr>
      <w:tr>
        <w:trPr>
          <w:trHeight w:val="142"/>
        </w:trPr>
        <w:tc>
          <w:tcPr>
            <w:tcW w:w="4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in May 2023 public offering, including underwriter's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86,458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86,459</w:t>
            </w:r>
          </w:p>
        </w:tc>
        <w:tc>
          <w:tcPr>
            <w:tcW w:w="0" w:type="dxa"/>
            <w:vAlign w:val="bottom"/>
          </w:tcPr>
          <w:p>
            <w:pPr>
              <w:spacing w:after="0"/>
              <w:rPr>
                <w:sz w:val="1"/>
                <w:szCs w:val="1"/>
                <w:color w:val="auto"/>
              </w:rPr>
            </w:pPr>
          </w:p>
        </w:tc>
      </w:tr>
      <w:tr>
        <w:trPr>
          <w:trHeight w:val="195"/>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option to purchase shares, net of issuance costs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(58,527)</w:t>
            </w:r>
          </w:p>
        </w:tc>
        <w:tc>
          <w:tcPr>
            <w:tcW w:w="0" w:type="dxa"/>
            <w:vAlign w:val="bottom"/>
          </w:tcPr>
          <w:p>
            <w:pPr>
              <w:spacing w:after="0"/>
              <w:rPr>
                <w:sz w:val="1"/>
                <w:szCs w:val="1"/>
                <w:color w:val="auto"/>
              </w:rPr>
            </w:pPr>
          </w:p>
        </w:tc>
      </w:tr>
      <w:tr>
        <w:trPr>
          <w:trHeight w:val="226"/>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383,414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59,976</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0" w:type="dxa"/>
            <w:vAlign w:val="bottom"/>
          </w:tcPr>
          <w:p>
            <w:pPr>
              <w:spacing w:after="0"/>
              <w:rPr>
                <w:sz w:val="1"/>
                <w:szCs w:val="1"/>
                <w:color w:val="auto"/>
              </w:rPr>
            </w:pPr>
          </w:p>
        </w:tc>
      </w:tr>
      <w:tr>
        <w:trPr>
          <w:trHeight w:val="21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purchases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May 2023 public offering</w:t>
            </w: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May 2023 public offering costs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87,313</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67,411</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177,748</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in connection with buyout agreement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4" w:right="4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Navitas Semiconductor Corporation (“the Company”) designs, develops and markets next-generation power semiconductors including gallium nitride (“GaN”) power integrated circuits (“ICs”), silicon carbide (“SiC”) devices and associated high-speed silicon system controllers, and digital isolators used in power conversion and charging. Power supplies incorporating the Company’s products may be used in a wide variety of applications including fast chargers for mobile phones and laptops, consumer electronics, data centers, solar products, electric vehicles and infrastructure,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Third Party</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3, 2024, the Company made an additional investment of $2.5 million in preferred interests in a third party. The Company’s new ownership percentage increased to 15.48%. The investment is $5.0 million and $2.5 million as of June 30, 2024 and December 31, 2023, respectively. Such investment is included in Other Assets in the Condensed Consolidated Balance Sheets and is accounted for as an equity investment under ASC 321 Investments - Equity Securities.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Public Offering</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2023, the Company announced an agreement to acquire the remaining minority interest in its silicon control IC joint venture from Halo Microelectronics International Corporation for a purchase price of $22.4 million in Navitas stock. The transaction was completed in February 2023. See Note 15, Noncontrolling Interest, for more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pursuant to the rules and regulations of the Securities and Exchange Commission (“SEC”). The information contained in the condensed consolidated financial statements includes normal recurring adjustments and reflects all adjustments, which are in the opinion of management, necessary for a fair presentation of such condensed consolidated financial statements. Operating results for the three and six months ended June 30, 2024, are not necessarily indicative of results to be expected for the full year ending December 31, 2024. Certain footnote disclosures normally included in annual consolidated financial statements prepared in accordance with generally accepted accounting principles (“GAAP”) in the United States of America have been condensed or omitted pursuant to SEC rules and regulations relating to interim financial statements. The accompanying condensed consolidated financial statements should be read in conjunction with consolidated financial statements and notes thereto contained in the Company’s annual report on Form 10-K/A filed for the fiscal year ended December 31, 2023, filed with the SEC on July 23, 2024. Except as further described below, there have been no significant changes in the Company’s accounting policies from those disclosed in its Form 10-K filed with the SEC on March 6,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AND RECENT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Contingent Consideration Resulting from a Business Combination</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may be required to pay future consideration that is contingent upon the achievement of specified milestone events. The Company records contingent consideration resulting from a business combination at its fair value on the acquisition date. Each quarter thereafter, the Company revalues these obligations and record increases or decreases in their fair value within the Company’s Condensed Consolidated Statements of Operations until such time as the specified milestone achievement period is complete.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the Company’s results of operations in any given period. Actual results may differ from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Certain items in the prior period’s condensed consolidated balance sheets and condensed consolidated statements of operations have been reclassified to conform to the presentation for the three and six months ended June 30, 2024. Dividend income was previously included within interest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(expense), net. Additionally, for the prior period, the Company reclassed $0.9 million from inventories to prepaids and other current assets related to the sales returns inventory. Lastly, the Company reclassed $1.4 million from prepaids and other current assets to other assets and $1.9 million from accounts payable and other accrued expenses to its own line for accrued royalties related to an indemnity asset and royalty liability, respectively. There was no impact to net loss and retained earnings as a result of the reclassifications.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ASU 2023-09 becomes effective for fiscal years beginning after December 15, 2024, with early adoption permitted. While the Company is currently assessing the impact of this standard, anticipate it will result in disclosure changes only.</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Form 10-Q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7,743</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10,863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37"/>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22,234</w:t>
            </w: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48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6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depreciation expense was $0.7 million and $1.4 million for the three and six months ended June 30, 2024 and $0.5 million and $1.0 million for three and six months ended June 30, 2023, respectively, and was determined using the straight-line method over the following estimated useful lives: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140" w:type="dxa"/>
            <w:vAlign w:val="bottom"/>
            <w:shd w:val="clear" w:color="auto" w:fill="CCEEFF"/>
          </w:tcPr>
          <w:p>
            <w:pPr>
              <w:ind w:left="6240"/>
              <w:spacing w:after="0"/>
              <w:rPr>
                <w:sz w:val="20"/>
                <w:szCs w:val="20"/>
                <w:color w:val="auto"/>
              </w:rPr>
            </w:pPr>
            <w:r>
              <w:rPr>
                <w:rFonts w:ascii="Times New Roman" w:cs="Times New Roman" w:eastAsia="Times New Roman" w:hAnsi="Times New Roman"/>
                <w:sz w:val="18"/>
                <w:szCs w:val="18"/>
                <w:color w:val="auto"/>
              </w:rPr>
              <w:t>3 — 7 years</w:t>
            </w:r>
          </w:p>
        </w:tc>
        <w:tc>
          <w:tcPr>
            <w:tcW w:w="160" w:type="dxa"/>
            <w:vAlign w:val="bottom"/>
          </w:tcPr>
          <w:p>
            <w:pPr>
              <w:spacing w:after="0"/>
              <w:rPr>
                <w:sz w:val="23"/>
                <w:szCs w:val="23"/>
                <w:color w:val="auto"/>
              </w:rPr>
            </w:pP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7300" w:type="dxa"/>
            <w:vAlign w:val="bottom"/>
            <w:gridSpan w:val="2"/>
          </w:tcPr>
          <w:p>
            <w:pPr>
              <w:ind w:left="6240"/>
              <w:spacing w:after="0"/>
              <w:rPr>
                <w:sz w:val="20"/>
                <w:szCs w:val="20"/>
                <w:color w:val="auto"/>
              </w:rPr>
            </w:pPr>
            <w:r>
              <w:rPr>
                <w:rFonts w:ascii="Times New Roman" w:cs="Times New Roman" w:eastAsia="Times New Roman" w:hAnsi="Times New Roman"/>
                <w:sz w:val="18"/>
                <w:szCs w:val="18"/>
                <w:color w:val="auto"/>
              </w:rPr>
              <w:t>2 — 5 years</w:t>
            </w: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140" w:type="dxa"/>
            <w:vAlign w:val="bottom"/>
            <w:shd w:val="clear" w:color="auto" w:fill="CCEEFF"/>
          </w:tcPr>
          <w:p>
            <w:pPr>
              <w:ind w:left="6240"/>
              <w:spacing w:after="0"/>
              <w:rPr>
                <w:sz w:val="20"/>
                <w:szCs w:val="20"/>
                <w:color w:val="auto"/>
              </w:rPr>
            </w:pPr>
            <w:r>
              <w:rPr>
                <w:rFonts w:ascii="Times New Roman" w:cs="Times New Roman" w:eastAsia="Times New Roman" w:hAnsi="Times New Roman"/>
                <w:sz w:val="18"/>
                <w:szCs w:val="18"/>
                <w:color w:val="auto"/>
              </w:rPr>
              <w:t>2 — 6 years</w:t>
            </w:r>
          </w:p>
        </w:tc>
        <w:tc>
          <w:tcPr>
            <w:tcW w:w="160" w:type="dxa"/>
            <w:vAlign w:val="bottom"/>
          </w:tcPr>
          <w:p>
            <w:pPr>
              <w:spacing w:after="0"/>
              <w:rPr>
                <w:sz w:val="23"/>
                <w:szCs w:val="23"/>
                <w:color w:val="auto"/>
              </w:rPr>
            </w:pPr>
          </w:p>
        </w:tc>
      </w:tr>
      <w:tr>
        <w:trPr>
          <w:trHeight w:val="904"/>
        </w:trPr>
        <w:tc>
          <w:tcPr>
            <w:tcW w:w="3940" w:type="dxa"/>
            <w:vAlign w:val="bottom"/>
          </w:tcPr>
          <w:p>
            <w:pPr>
              <w:spacing w:after="0"/>
              <w:rPr>
                <w:sz w:val="24"/>
                <w:szCs w:val="24"/>
                <w:color w:val="auto"/>
              </w:rPr>
            </w:pPr>
          </w:p>
        </w:tc>
        <w:tc>
          <w:tcPr>
            <w:tcW w:w="7140" w:type="dxa"/>
            <w:vAlign w:val="bottom"/>
          </w:tcPr>
          <w:p>
            <w:pPr>
              <w:jc w:val="right"/>
              <w:ind w:right="52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7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ASSETS AND LIABILITIES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 Cash equivalents classified as Level 1 instruments were $96.3 million as of June 30, 2024 and $139.0 million for December 31, 2023.</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June 30, 2024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13,103</w:t>
            </w: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2023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Significant</w:t>
            </w:r>
          </w:p>
        </w:tc>
      </w:tr>
      <w:tr>
        <w:trPr>
          <w:trHeight w:val="238"/>
        </w:trPr>
        <w:tc>
          <w:tcPr>
            <w:tcW w:w="7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center"/>
              <w:ind w:left="2870"/>
              <w:spacing w:after="0"/>
              <w:rPr>
                <w:sz w:val="20"/>
                <w:szCs w:val="20"/>
                <w:color w:val="auto"/>
              </w:rPr>
            </w:pPr>
            <w:r>
              <w:rPr>
                <w:rFonts w:ascii="Times New Roman" w:cs="Times New Roman" w:eastAsia="Times New Roman" w:hAnsi="Times New Roman"/>
                <w:sz w:val="18"/>
                <w:szCs w:val="18"/>
                <w:color w:val="auto"/>
                <w:w w:val="96"/>
              </w:rPr>
              <w:t>46,852</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center"/>
              <w:ind w:left="2850"/>
              <w:spacing w:after="0"/>
              <w:rPr>
                <w:sz w:val="20"/>
                <w:szCs w:val="20"/>
                <w:color w:val="auto"/>
              </w:rPr>
            </w:pPr>
            <w:r>
              <w:rPr>
                <w:rFonts w:ascii="Times New Roman" w:cs="Times New Roman" w:eastAsia="Times New Roman" w:hAnsi="Times New Roman"/>
                <w:sz w:val="18"/>
                <w:szCs w:val="18"/>
                <w:color w:val="auto"/>
              </w:rPr>
              <w:t>(33,749)</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Borders>
              <w:bottom w:val="single" w:sz="8" w:color="auto"/>
            </w:tcBorders>
            <w:shd w:val="clear" w:color="auto" w:fill="CCEEFF"/>
          </w:tcPr>
          <w:p>
            <w:pPr>
              <w:jc w:val="center"/>
              <w:ind w:left="2870"/>
              <w:spacing w:after="0"/>
              <w:rPr>
                <w:sz w:val="20"/>
                <w:szCs w:val="20"/>
                <w:color w:val="auto"/>
              </w:rPr>
            </w:pPr>
            <w:r>
              <w:rPr>
                <w:rFonts w:ascii="Times New Roman" w:cs="Times New Roman" w:eastAsia="Times New Roman" w:hAnsi="Times New Roman"/>
                <w:sz w:val="18"/>
                <w:szCs w:val="18"/>
                <w:color w:val="auto"/>
                <w:w w:val="96"/>
              </w:rPr>
              <w:t>13,103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during the three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as of June 30, 2024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30,296</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intangible asset balance (in thousands):</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r>
      <w:tr>
        <w:trPr>
          <w:trHeight w:val="23"/>
        </w:trPr>
        <w:tc>
          <w:tcPr>
            <w:tcW w:w="7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Balance at December 31,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91,099</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5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54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81,563</w:t>
            </w:r>
          </w:p>
        </w:tc>
      </w:tr>
      <w:tr>
        <w:trPr>
          <w:trHeight w:val="20"/>
        </w:trPr>
        <w:tc>
          <w:tcPr>
            <w:tcW w:w="7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amortization expense was $4.8 million and $9.5 million for the three and six months ended June 30, 2024, and $4.8 million and $9.3 million for the three and six months ended June 30, 2023,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380" w:type="dxa"/>
            <w:vAlign w:val="bottom"/>
          </w:tcPr>
          <w:p>
            <w:pPr>
              <w:spacing w:after="0"/>
              <w:rPr>
                <w:sz w:val="16"/>
                <w:szCs w:val="16"/>
                <w:color w:val="auto"/>
              </w:rPr>
            </w:pPr>
          </w:p>
        </w:tc>
        <w:tc>
          <w:tcPr>
            <w:tcW w:w="4200" w:type="dxa"/>
            <w:vAlign w:val="bottom"/>
          </w:tcPr>
          <w:p>
            <w:pPr>
              <w:jc w:val="right"/>
              <w:ind w:right="2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fiscal 2024)</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28,301</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impairment charges during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These leases have remaining terms which range from 0.3 to 5.3 years. As of June 30, 2024,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June 30, 2024, all leases recorded on the Company’s consolidated balance sheets were operating leases.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Rent expense, including short-term lease cost, was $0.6 million and $1.4 million for the three and six months ended June 30, 2024, respectively. Rent expense, including short-term lease cost, was $0.5 million and $1.0 million for the three and six months ended June 30, 2023, respectively. In addition to rent payments, the Company’s leases include real estate taxes, common area maintenance, utilities, and management fees, which are not fixed. The</w:t>
      </w: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accounts for these costs as variable payments and does not include such costs as a lease component. Total variable expense was $0.1 million and $0.2 million for three and six months ended June 30, 2024 and not material for the three and six months ended June 30, 2023.</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lease liabilities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4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right-of-use assets obtained in exchange for new operating lease obligations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- 9.25%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- 8.25%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are as follows (in thousands):</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2025</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2026</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2027</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2028</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BASED COMPENSATION:</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June 30, 2024 the Company has issued 9,750,000 non-statutory stock options under the 2021 Plan.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performance stock options (“LTIP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and six months ended June 30, 2024 and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700" w:type="dxa"/>
            <w:vAlign w:val="bottom"/>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6"/>
        </w:trPr>
        <w:tc>
          <w:tcPr>
            <w:tcW w:w="49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29,731</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Generally, stock options granted under the Plans have terms of ten years and vest in 1/4th increments on the anniversary of the vesting commencement date and in 1/48th increments monthly thereafter. Stock options with performance vesting conditions begin to vest upon achievement of the performance condition. Expense is recognized beginning in the period in which performance is considered probable.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incentive stock options and non-statutory stock options issued was estimated using the Black-Scholes model. The Company did not grant any stock option awards during the three and six months ended June 30, 2024 or 2023.</w:t>
      </w:r>
    </w:p>
    <w:p>
      <w:pPr>
        <w:spacing w:after="0" w:line="54" w:lineRule="exact"/>
        <w:rPr>
          <w:sz w:val="20"/>
          <w:szCs w:val="20"/>
          <w:color w:val="auto"/>
        </w:rPr>
      </w:pPr>
    </w:p>
    <w:p>
      <w:pPr>
        <w:jc w:val="both"/>
        <w:ind w:right="20" w:firstLine="486"/>
        <w:spacing w:after="0" w:line="275"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June 30, 2024, and activity during the three months then ended, is presented below:</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20" w:type="dxa"/>
            <w:vAlign w:val="bottom"/>
            <w:vMerge w:val="restart"/>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0" w:type="dxa"/>
            <w:vAlign w:val="bottom"/>
          </w:tcPr>
          <w:p>
            <w:pPr>
              <w:spacing w:after="0"/>
              <w:rPr>
                <w:sz w:val="1"/>
                <w:szCs w:val="1"/>
                <w:color w:val="auto"/>
              </w:rPr>
            </w:pPr>
          </w:p>
        </w:tc>
      </w:tr>
      <w:tr>
        <w:trPr>
          <w:trHeight w:val="214"/>
        </w:trPr>
        <w:tc>
          <w:tcPr>
            <w:tcW w:w="4600" w:type="dxa"/>
            <w:vAlign w:val="bottom"/>
            <w:vMerge w:val="continue"/>
          </w:tcPr>
          <w:p>
            <w:pPr>
              <w:spacing w:after="0"/>
              <w:rPr>
                <w:sz w:val="18"/>
                <w:szCs w:val="18"/>
                <w:color w:val="auto"/>
              </w:rPr>
            </w:pPr>
          </w:p>
        </w:tc>
        <w:tc>
          <w:tcPr>
            <w:tcW w:w="16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52"/>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center"/>
              <w:ind w:left="1753"/>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200" w:type="dxa"/>
            <w:vAlign w:val="bottom"/>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2200" w:type="dxa"/>
            <w:vAlign w:val="bottom"/>
          </w:tcPr>
          <w:p>
            <w:pPr>
              <w:jc w:val="center"/>
              <w:ind w:left="1753"/>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2200" w:type="dxa"/>
            <w:vAlign w:val="bottom"/>
          </w:tcPr>
          <w:p>
            <w:pPr>
              <w:jc w:val="center"/>
              <w:ind w:left="1753"/>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45"/>
        </w:trPr>
        <w:tc>
          <w:tcPr>
            <w:tcW w:w="460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at June 30, 2024</w:t>
            </w:r>
          </w:p>
        </w:tc>
        <w:tc>
          <w:tcPr>
            <w:tcW w:w="1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1,953</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jc w:val="center"/>
              <w:ind w:left="1753"/>
              <w:spacing w:after="0" w:line="203" w:lineRule="exact"/>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$0.0 million and $0.1 million of stock-based compensation expense for the vesting of outstanding stock options, excluding $1.0 million and $2.9 million, respectively, related to the LTIP Options described below. During the three and six months ended June 30, 2023, the Company recognized $0.1 million and $0.2 million of stock-based compensation expense for the vesting of outstanding stock options, excluding $1.9 million and $4.3 million related to the LTIP Options. At June 30, 2024, unrecognized compensation cost related to unvested options was immaterial. The weighted-average period over which this remaining compensation cost will be recognized is 0.3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awarded a total of 6,500,000 LTIP Options (“2021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$9.14 based on the Black-Scholes model and a Monte Carlo simulation incorporating 500,000 scenarios. The weighted average contractual period remaining is 7.6 years. The Company utilized the services of a professional valuation firm to finalize these assumptions during the fiscal year ended December 31, 2023. The valuation model utilized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“2021 LTIP Options”, the Company recognized $0.8 million and $2.4 million of stock-based compensation expense for the three and six months ended June 30, 2024, respectively. The Company recognized $1.6 million and $3.7 million of stock-based compensation expense for three and six months ended June 30, 2023, respectively. The unrecognized compensation expense related to these LTIP Options is $3.8 million as of June 30, 2024, and compensation expense will be recognized over 3.0 years. On a quarterly basis, after evaluating the 2021 LTIP Options based on the probability of achieving certain market and performance conditions, the Company may true up the 2021 LTIP Options expense as needed.</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$2.89. The</w:t>
      </w:r>
    </w:p>
    <w:p>
      <w:pPr>
        <w:spacing w:after="0" w:line="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weighted average contractual period remaining is 8.1 years. Th</w:t>
      </w:r>
      <w:r>
        <w:rPr>
          <w:rFonts w:ascii="Times New Roman" w:cs="Times New Roman" w:eastAsia="Times New Roman" w:hAnsi="Times New Roman"/>
          <w:sz w:val="21"/>
          <w:szCs w:val="21"/>
          <w:color w:val="auto"/>
        </w:rPr>
        <w:t>e</w:t>
      </w:r>
      <w:r>
        <w:rPr>
          <w:rFonts w:ascii="Times New Roman" w:cs="Times New Roman" w:eastAsia="Times New Roman" w:hAnsi="Times New Roman"/>
          <w:sz w:val="18"/>
          <w:szCs w:val="18"/>
          <w:color w:val="auto"/>
        </w:rPr>
        <w:t xml:space="preserve"> Black-Scholes model and a Monte Carlo simulation incorporated 100,000 scenarios. The valuation model utilized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“2022 LTIP Options”, the Company recognized $0.2 million and $0.5 million of stock-based compensation expense for the three and six months ended June 30, 2024, respectively. The Company recognized $0.3 million and $0.6 million of stock-based compensation expense for three and six months ended June 30, 2023, respectively. The unrecognized compensation expense related to the LTIP Options is $1.3 million as of June 30, 2024, and compensation expense will be recognized over 3.0 years. On a quarterly basis, after evaluating the 2022 LTIP Options based on the probability of achieving certain market and performance conditions, the Company may true up the 2022 LTIP Options expense as needed.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June 30, 2024, and activity during the six months then ended, is presented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c>
          <w:tcPr>
            <w:tcW w:w="23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Weighted-Average Grant Date Fair</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vMerge w:val="continue"/>
          </w:tcPr>
          <w:p>
            <w:pPr>
              <w:spacing w:after="0"/>
              <w:rPr>
                <w:sz w:val="21"/>
                <w:szCs w:val="21"/>
                <w:color w:val="auto"/>
              </w:rPr>
            </w:pPr>
          </w:p>
        </w:tc>
        <w:tc>
          <w:tcPr>
            <w:tcW w:w="23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2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2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$9.7 million and $17.9 million of stock-based compensation expense for the vesting of RSUs, respectively. During three and six months ended June 30, 2023, the Company recognized $8.1 million and $15.4 million of stock-based compensation expense for the vesting of RSUs, respectively. As of June 30, 2024, unrecognized compensation cost related to unvested RSU awards totaled $71.5 million. The weighted-average period over which this remaining compensation cost is expected be recognized is 2.3 years.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annual bonus plan of $4.2 million and related to fiscal year 2024 (included in accrued compensation expense liability on the condensed consolidated balance sheets), will be issued with a variable number of fully-vested restricted stock units to its employees and is expected to be settled in the first quarter of 2025. Based on the closing share price of the Company’s Class A Common Stock of $3.93 on June 28, 2024, approximately 1,063,276 shares would be issued, however the actual number of shares will be based on the share price at the date of settlement.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The first offering period under the 2022 ESPP commenced in February 2023 and the second offering in September 2023. For the three and six months ended June 30, 2024, employees who elected to participate in the ESPP purchased 393,139 shares of common stock under the 2022 ESPP, resulting in cash proceeds to the Company of $1.8 million. The purchase price was $4.55, which was 15% of the fair market value in March 2024. As of June 30, 2024, the Company had 2,348,898 remaining authorized shares available for purchase. During the three and six months ended June 30, 2024, the Company recognized $0.3 million and $1.1 million of stock-based compensation expense for the 2022 ESPP, respectively. During the three and six months ended June 30, 2023, the Company recognized $0.5 million and $0.5 million of stock-based compensation expense for the 2022 ESPP,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the remaining minority interest of a silicon control IC joint venture, as described in Note 15, the Company issued 841,729 fully vested shares to certain former employees of the joint venture with a grant date fair value totaling $4.5 million. Such amount has been recognized as stock-based compensation expense during the three months ended March 31, 2023.</w:t>
      </w:r>
    </w:p>
    <w:p>
      <w:pPr>
        <w:spacing w:after="0" w:line="20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four and three years, respectively, following the date of issue. These restricted shares are subject to certain individuals maintaining employment with the Company and, therefore, are accounted for under ASC 718. The Company recognized $0.2 million and $0.3 million of stock-based compensation expense related to the vesting of these shares during three and six months ended June 30, 2024, respectively. The Company recognized $0.1 million and $0.6 million of stock-based compensation expense related to the vesting of these shares during the three and six months ended June 30, 2023,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portion of the earnout shares (discussed in Note 9 below)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The Company recognized $0.1 million and $0.1 million of stock-based compensation expense related to the vesting of these shares during three and six months ended June 30, 2024, respectively. The Company recognized $0.0 million and $0.3 million of stock-based compensation expense related to the vesting of these shares during the three and six months ended June 30, 2023, respectively. As of June 30, 2024 and there was no remaining compensation cost related to unvested earnout shares, except for forfeitures. Refer to Note 9, Earnout Liability.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EARNOUT LIABILITY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an aggregate of 10,000,000 “earnout shares” of the Company’s Class A Common Stock if earnout milestones are met. The earnout milestones represent three independent criteria, each of which entitles the eligible stockholders to 3,333,333 aggregate earn-out shares if the milestone is met.</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earnout liability is remeasured at the end of each reporting period. The change in fair value of the earnout liability is recorded as part of other income (expense), net in the consolidated statements of operations.</w:t>
      </w:r>
    </w:p>
    <w:p>
      <w:pPr>
        <w:spacing w:after="0" w:line="54"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7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2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7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earnout liability had a fair value of $13.1 million and $46.9 million, respectively, which resulted in a gain in the fair value of the earnout liability of $7.6 million and $33.7 million for the three and six months ended June 30, 2024, respectively. As of June 30, 2023, the earnout liability had a fair value of $73.0 million, which resulted in a loss in the fair value of the earnout liability of $32.6 million and $60.0 million for the three and six months ended June 30, 2023, respectively.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SIGNIFICANT CUSTOMERS AND CREDIT CONCENTRATIONS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three and six months ended June 30, 2024 and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3240" w:type="dxa"/>
            <w:vAlign w:val="bottom"/>
            <w:gridSpan w:val="4"/>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080" w:type="dxa"/>
            <w:vAlign w:val="bottom"/>
            <w:gridSpan w:val="3"/>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2"/>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Customer</w:t>
            </w:r>
          </w:p>
        </w:tc>
        <w:tc>
          <w:tcPr>
            <w:tcW w:w="15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Distributor 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customer net revenues were less than 10% of total net 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the domicile of its end customers, rather than the distributors it sells to directly, to be the basis for attributing revenues from external customers to individual countries. Revenues for the three and six months ended June 30, 2024 and 2023 were attributable to end customers in the following countries or regions: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300" w:type="dxa"/>
            <w:vAlign w:val="bottom"/>
            <w:gridSpan w:val="4"/>
          </w:tcPr>
          <w:p>
            <w:pPr>
              <w:ind w:left="6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200" w:type="dxa"/>
            <w:vAlign w:val="bottom"/>
            <w:gridSpan w:val="3"/>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56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China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53 %</w:t>
            </w:r>
          </w:p>
        </w:tc>
      </w:tr>
      <w:tr>
        <w:trPr>
          <w:trHeight w:val="200"/>
        </w:trPr>
        <w:tc>
          <w:tcPr>
            <w:tcW w:w="4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Europe*</w:t>
            </w:r>
          </w:p>
        </w:tc>
        <w:tc>
          <w:tcPr>
            <w:tcW w:w="1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1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1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1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w:t>
            </w: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15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Asia excluding China</w:t>
            </w:r>
          </w:p>
        </w:tc>
        <w:tc>
          <w:tcPr>
            <w:tcW w:w="1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7</w:t>
            </w:r>
          </w:p>
        </w:tc>
      </w:tr>
      <w:tr>
        <w:trPr>
          <w:trHeight w:val="22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*Impractical to disclose the revenue percentages by individual countries within Europe and therefore Europe is presented in total.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2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1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Distributor A</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a customer deposit from a primary customer of $6.1 million and $11.0 million, as of June 30, 2024 and December 31, 2023, respectively, and the Company intends to apply a portion of the customer deposit to outstanding accounts receivable from time-to-time.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to purchase raw materials from a supplier from September 29, 2022 through December 31, 2025, and accordingly made a $2.0 million deposit to be received as invoice credits toward future purchases. The Company is not obligated to purchase from this supplier, however, if the Company does not meet minimum purchase requirements during the term, the Company may forfeit all or a portion of its $2.0 million deposit.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Basic loss per share is calculated by dividing net loss by the weighted-average shares of common stock outstanding during the period. Diluted loss per share is calculated by dividing net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(but not restricted stock unit awards) are eligible to receive all dividends declared on the Company’s common shares during the vesting period; however, such dividends are not paid until the restrictions lapse. The Company has no plans to declare dividends.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2940" w:type="dxa"/>
            <w:vAlign w:val="bottom"/>
            <w:gridSpan w:val="4"/>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140" w:type="dxa"/>
            <w:vAlign w:val="bottom"/>
            <w:gridSpan w:val="3"/>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Six months ended June 30, 2024</w:t>
            </w:r>
          </w:p>
        </w:tc>
      </w:tr>
      <w:tr>
        <w:trPr>
          <w:trHeight w:val="35"/>
        </w:trPr>
        <w:tc>
          <w:tcPr>
            <w:tcW w:w="516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4"/>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common shares - basic common stock</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183,127</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165,606</w:t>
            </w:r>
          </w:p>
        </w:tc>
        <w:tc>
          <w:tcPr>
            <w:tcW w:w="8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181,493</w:t>
            </w:r>
          </w:p>
        </w:tc>
        <w:tc>
          <w:tcPr>
            <w:tcW w:w="34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161,086</w:t>
            </w: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and other dilutive awards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51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Weighted-average common shares - diluted common stock</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183,127</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165,606</w:t>
            </w:r>
          </w:p>
        </w:tc>
        <w:tc>
          <w:tcPr>
            <w:tcW w:w="8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181,493</w:t>
            </w:r>
          </w:p>
        </w:tc>
        <w:tc>
          <w:tcPr>
            <w:tcW w:w="34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161,086</w:t>
            </w:r>
          </w:p>
        </w:tc>
      </w:tr>
      <w:tr>
        <w:trPr>
          <w:trHeight w:val="35"/>
        </w:trPr>
        <w:tc>
          <w:tcPr>
            <w:tcW w:w="51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2"/>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Shares excluded from diluted weighted-average shares: ¹</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3"/>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Dilutive shares excluded ²</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10,803</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5,163</w:t>
            </w:r>
          </w:p>
        </w:tc>
        <w:tc>
          <w:tcPr>
            <w:tcW w:w="3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10,245</w:t>
            </w:r>
          </w:p>
        </w:tc>
      </w:tr>
      <w:tr>
        <w:trPr>
          <w:trHeight w:val="208"/>
        </w:trPr>
        <w:tc>
          <w:tcPr>
            <w:tcW w:w="51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Earnout shares (potentially issuable common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8"/>
                <w:szCs w:val="18"/>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35"/>
        </w:trPr>
        <w:tc>
          <w:tcPr>
            <w:tcW w:w="5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23"/>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Unvested restricted stock units and restricted stock awards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3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r>
      <w:tr>
        <w:trPr>
          <w:trHeight w:val="208"/>
        </w:trPr>
        <w:tc>
          <w:tcPr>
            <w:tcW w:w="51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 options potentially exercisable for common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8,775</w:t>
            </w:r>
          </w:p>
        </w:tc>
        <w:tc>
          <w:tcPr>
            <w:tcW w:w="100" w:type="dxa"/>
            <w:vAlign w:val="bottom"/>
          </w:tcPr>
          <w:p>
            <w:pPr>
              <w:spacing w:after="0"/>
              <w:rPr>
                <w:sz w:val="18"/>
                <w:szCs w:val="18"/>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9,750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8,775</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9,750</w:t>
            </w:r>
          </w:p>
        </w:tc>
      </w:tr>
      <w:tr>
        <w:trPr>
          <w:trHeight w:val="35"/>
        </w:trPr>
        <w:tc>
          <w:tcPr>
            <w:tcW w:w="516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2"/>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Shares excluded from diluted weighted average shares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23,159</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30,929</w:t>
            </w: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23,988</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30,371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140" w:hanging="8"/>
        <w:spacing w:after="0" w:line="261" w:lineRule="auto"/>
        <w:tabs>
          <w:tab w:leader="none" w:pos="419"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potentially dilutive securities, which include unexercised stock options, unvested shares, and earnout shares, have been excluded from the computation of diluted net loss per share as the effect would be to reduce the net loss per share for both the three and six months ended June 30, 2024 and 2023.</w:t>
      </w:r>
    </w:p>
    <w:p>
      <w:pPr>
        <w:ind w:left="340" w:right="460"/>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² The Company exclude the impact of restricted stock from the calculation of diluted net loss per common share in periods where we have a net loss or when their inclusion would be antidilutive.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69"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INCOME TAXES</w:t>
      </w:r>
    </w:p>
    <w:p>
      <w:pPr>
        <w:spacing w:after="0" w:line="36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during the quarter. The Company’s effective tax rate for the three and six months ended June 30, 2024 was (0.27)% and (0.5)%, respectively. The Company’s effective tax rate for the three and six months ended June 30, 2023 was 0.2% and 0.0%, respectively. The effective tax rate for 2024 differs from the prior year primarily due to tax expense in foreign as a result of tax expense in foreign jurisdictions not impacted by valuation allowance.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loss before provision for income taxes in multiple jurisdictions, the tax effects of the Company’s stock-based compensation, and the effects of its foreign entities.</w:t>
      </w:r>
    </w:p>
    <w:p>
      <w:pPr>
        <w:spacing w:after="0" w:line="200" w:lineRule="exact"/>
        <w:rPr>
          <w:sz w:val="20"/>
          <w:szCs w:val="20"/>
          <w:color w:val="auto"/>
        </w:rPr>
      </w:pPr>
    </w:p>
    <w:p>
      <w:pPr>
        <w:spacing w:after="0" w:line="2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no unrecognized tax benefits for the three and six months ended June 30, 2024 and 2023. The Company recognizes interest and penalties related to unrecognized tax benefits in operating expenses. No such interest and penalties were recognized during the three and six months ended June 30,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June 30, 2024, the Company had no non-cancelable contractual arrangements that were due beyond one year besides lease obligations.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June 30, 2024.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and license agreement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for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2021, Navitas entered into a silicon control IC joint venture with Halo Microelectronics Co., Ltd. (“Halo”), a manufacturer of power management ICs, to develop products and technology relating to AC/DC converters. Navitas’ initial contribution to the joint venture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On January 19, 2023, the Company announced an agreement to acquire the remaining minority interest in the joint venture as well as rights to certain intellectual property from Halo and its U.S. affiliate for a total purchase price of $22.4 million in Navitas stock. See Note 15, Noncontrolling Interest,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senior executive of the Company, which expired in March 2024, and is now a month-to-month lease. During the three and six months ended June 30, 2024, the Company paid an immaterial amount in rental payments in relation to this lease. These payments were made at standard market rates in the ordinary course of business. There was no rent obligation as of June 30, 2024.</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from an entity that it is owned by an executive of the Company, which expired in September 2023, and was on a month-to-month lease through May 2024, and then was terminated. During the three and six months ended June 30, 2023, the Company paid an immaterial amount in rental payments in relation to this lease. These payments were made at standard market rates in the ordinary course of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NONCONTROLLING INTEREST</w:t>
      </w:r>
    </w:p>
    <w:p>
      <w:pPr>
        <w:spacing w:after="0" w:line="36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July 2021, the Company formed a joint venture for the purpose of conducting research and development on technology in the area of AC/DC converters for chargers and adapters. Refer to Note 14.</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income (loss) excludes income (loss) attributable to the noncontrolling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 Goodwill of $3.1 million was recorded in connection with this transaction.</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the joint venture as well as rights to certain intellectual property from Halo and its U.S. affiliate for a total purchase price of $22.4 million in Navitas stock. The transaction was completed on February 13, 2023. In connection with the purchase of intellectual property, the Company recognized developed technology as an intangible asset at its estimated fair value of $4.4 million.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consolidated balance sheet date of June 30, 2024, through August 5, 2024, the date the condensed consolidated financial statements were issued. There were no material subsequent events as of August 5, 2024, except as discussed below.</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July 31, 2024, the Company entered into a letter agreement with an executive of the Company in which the executive transitioned from Executive Vice President, GeneSiC Business to Executive Vice President, Corporate Development. This transition did not change the terms of the executive’s LTIP or RSU compensation. See </w:t>
      </w:r>
      <w:r>
        <w:rPr>
          <w:rFonts w:ascii="Times New Roman" w:cs="Times New Roman" w:eastAsia="Times New Roman" w:hAnsi="Times New Roman"/>
          <w:sz w:val="18"/>
          <w:szCs w:val="18"/>
          <w:i w:val="1"/>
          <w:iCs w:val="1"/>
          <w:color w:val="auto"/>
        </w:rPr>
        <w:t>Item 5. Other Information, Departure of Directors or Certain Officers; Compensatory Arrangements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Certain Officers, </w:t>
      </w:r>
      <w:r>
        <w:rPr>
          <w:rFonts w:ascii="Times New Roman" w:cs="Times New Roman" w:eastAsia="Times New Roman" w:hAnsi="Times New Roman"/>
          <w:sz w:val="18"/>
          <w:szCs w:val="18"/>
          <w:color w:val="auto"/>
        </w:rPr>
        <w:t>included in this Form 10-Q for more information. In connection with the Company’s acquisition of GeneSiC in August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recorded non-competition agreements with a fair value of $1.9 million and a useful life of five years in connection with this executive, along with other employees. As of June 30, 2024, the non-competition agreements have a net book value of $1.2 million and is included in Intangible Assets, net on the Company’s condensed consolidated balance sheets. There is no change to the net book value of the non-competition agreements as of June 30, 2024, and the Company is evaluating the impact of the letter agreement on the non-competition agreements recorded intangible assets after the Q2 2024 Form 10-Q consolidated balance sheet date.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5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Founded in 2013, Navitas is a U.S. based developer of gallium nitride and silicon carbide power semiconductor devices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South Korea and the Philippines, with principal executive offices in Torrance, California.</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10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three and six months ended June 30, 2024, we spent approximately 93% and 90%, respectively, of our revenue on research and development. In the three and six months ended June 30, 2023, we spent approximately 93% and 109%, respectively, of our revenue on research and development. Navitas’ research and development activities are located primarily in the US and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Public Offering</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Buyout of Elevation Semiconductor</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its silicon control IC joint venture as well as rights to certain intellectual property from Halo Microelectronics for a total purchase price of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Our revenue represents the sale of semiconductors through specialized distributors to original equipment manufacturers (“OEMs”), their suppliers and other end customers.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less estimated returns. We provide a non-conformity warranty which is not sold separately and does not represent a separate performance obligation.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(expense), net primarily consists of interest earned from our cash on hand.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12, Provision for Income Taxes, in our accompanying condensed consolidated financial statements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three months ended June 30, 2024 and 2023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95"/>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8"/>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39,774</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7"/>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40,268</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9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900" w:type="dxa"/>
            <w:vAlign w:val="bottom"/>
            <w:gridSpan w:val="2"/>
          </w:tcPr>
          <w:p>
            <w:pPr>
              <w:spacing w:after="0"/>
              <w:rPr>
                <w:sz w:val="20"/>
                <w:szCs w:val="20"/>
                <w:color w:val="auto"/>
              </w:rPr>
            </w:pPr>
            <w:r>
              <w:rPr>
                <w:rFonts w:ascii="Arial" w:cs="Arial" w:eastAsia="Arial" w:hAnsi="Arial"/>
                <w:sz w:val="14"/>
                <w:szCs w:val="14"/>
                <w:color w:val="929292"/>
              </w:rPr>
              <w:t>TABLE OF CONTENTS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4"/>
        </w:trPr>
        <w:tc>
          <w:tcPr>
            <w:tcW w:w="1520" w:type="dxa"/>
            <w:vAlign w:val="bottom"/>
            <w:tcBorders>
              <w:top w:val="single" w:sz="8" w:color="929292"/>
            </w:tcBorders>
          </w:tcPr>
          <w:p>
            <w:pPr>
              <w:spacing w:after="0"/>
              <w:rPr>
                <w:sz w:val="24"/>
                <w:szCs w:val="24"/>
                <w:color w:val="auto"/>
              </w:rPr>
            </w:pPr>
          </w:p>
        </w:tc>
        <w:tc>
          <w:tcPr>
            <w:tcW w:w="3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15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6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(62,712)</w:t>
            </w: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93,725</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37"/>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95,070</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6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8"/>
        </w:trPr>
        <w:tc>
          <w:tcPr>
            <w:tcW w:w="4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controlling interests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400"/>
        <w:spacing w:after="0" w:line="319" w:lineRule="auto"/>
        <w:rPr>
          <w:sz w:val="20"/>
          <w:szCs w:val="20"/>
          <w:color w:val="auto"/>
        </w:rPr>
      </w:pPr>
      <w:r>
        <w:rPr>
          <w:rFonts w:ascii="Times New Roman" w:cs="Times New Roman" w:eastAsia="Times New Roman" w:hAnsi="Times New Roman"/>
          <w:sz w:val="18"/>
          <w:szCs w:val="18"/>
          <w:b w:val="1"/>
          <w:bCs w:val="1"/>
          <w:color w:val="auto"/>
        </w:rPr>
        <w:t xml:space="preserve">Three Months Ended June 30, 2024 Compared to the Three Months Ended June 30, 2023 </w:t>
      </w:r>
      <w:r>
        <w:rPr>
          <w:rFonts w:ascii="Times New Roman" w:cs="Times New Roman" w:eastAsia="Times New Roman" w:hAnsi="Times New Roman"/>
          <w:sz w:val="18"/>
          <w:szCs w:val="18"/>
          <w:b w:val="1"/>
          <w:bCs w:val="1"/>
          <w:i w:val="1"/>
          <w:iCs w:val="1"/>
          <w:u w:val="single" w:color="auto"/>
          <w:color w:val="auto"/>
        </w:rPr>
        <w:t>Revenue</w:t>
      </w:r>
    </w:p>
    <w:p>
      <w:pPr>
        <w:ind w:right="520" w:firstLine="486"/>
        <w:spacing w:after="0" w:line="243" w:lineRule="auto"/>
        <w:rPr>
          <w:sz w:val="20"/>
          <w:szCs w:val="20"/>
          <w:color w:val="auto"/>
        </w:rPr>
      </w:pPr>
      <w:r>
        <w:rPr>
          <w:rFonts w:ascii="Times New Roman" w:cs="Times New Roman" w:eastAsia="Times New Roman" w:hAnsi="Times New Roman"/>
          <w:sz w:val="18"/>
          <w:szCs w:val="18"/>
          <w:color w:val="auto"/>
        </w:rPr>
        <w:t>Revenue for the three months ended June 30, 2024 was $20.5 million compared to $18.1 million for the three months ended June 30, 2023, an increase of $2.4 million, or 13%. Sales have increased due to strong mobile and consumer markets.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revenues for the three months ended June 30, 2024 was $12.5 million compared to $10.6 million for the three months ended June 30, 2023, an increase of $1.9 million or 18%. The increase was primarily driven by revenue slightly offset by lower gross margin mobile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June 30, 2024 of $19.0 million increased by $2.2 million, or 13%, when compared to the three months ended June 30, 2023. This is primarily driven by an increase in product development by approximately $1.2 million since June 30, 2023 as it relates to EV, enterprise and solar. Additionally, salaries and benefits have increased as we build out our target end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June 30, 2024 of $15.4 million increased by $2.2 million, or 17%, when compared to the three months ended June 30, 2023, primarily driven by higher stock compensation expense in selling, general and administrative compared to June 2023 by around $0.8 million reflecting increases in personnel. Additionally, salaries and benefits have increased as we build out a worldwide sales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the same as we did not acquire new intangible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Net interest (expense) income for the three months ended June 30, 2024 was $(0.1) million compared to $0.3 million net interest income (expense), net for the three months ended June 30, 2023, primarily due to the higher interest rate received on money markets funds in the prior year three months ended June 30, 2023.</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Increase of $0.9 million is primarily due to a full quarter of dividend income for the three months ended June 30, 2024 compared to only one month of dividend income for the three months ended June 30, 2023.</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recognized a $7.6 million gain from the change in fair value of our earn-out liabilities. The increase in the gain of our earn-out liabilities of $39.8 million was primarily a result of the decrease of the closing price of our Class A common stock listed on the Nasdaq, resulting in the decrease in the estimated fair value of the earnout shares from $8.58 as of June 30, 2023 to $1.53 as of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 (Benefit)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tax provision for the three months ended June 30, 2024 increased $0.2 million when compared to the income tax benefit of $0.1 million for the three months ended June 30, 2023. We expect our tax rate to remain close to zero in the near term due to full valuation allowances against deferred tax assets.</w:t>
      </w:r>
    </w:p>
    <w:p>
      <w:pPr>
        <w:spacing w:after="0" w:line="200" w:lineRule="exact"/>
        <w:rPr>
          <w:sz w:val="20"/>
          <w:szCs w:val="20"/>
          <w:color w:val="auto"/>
        </w:rPr>
      </w:pPr>
    </w:p>
    <w:p>
      <w:pPr>
        <w:spacing w:after="0" w:line="242" w:lineRule="exact"/>
        <w:rPr>
          <w:sz w:val="20"/>
          <w:szCs w:val="20"/>
          <w:color w:val="auto"/>
        </w:rPr>
      </w:pPr>
    </w:p>
    <w:p>
      <w:pPr>
        <w:ind w:right="48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Six Months Ended June 30, 2024 Compared to the Six Months Ended June 30, 2023 </w:t>
      </w:r>
      <w:r>
        <w:rPr>
          <w:rFonts w:ascii="Times New Roman" w:cs="Times New Roman" w:eastAsia="Times New Roman" w:hAnsi="Times New Roman"/>
          <w:sz w:val="18"/>
          <w:szCs w:val="18"/>
          <w:b w:val="1"/>
          <w:bCs w:val="1"/>
          <w:i w:val="1"/>
          <w:iCs w:val="1"/>
          <w:u w:val="single" w:color="auto"/>
          <w:color w:val="auto"/>
        </w:rPr>
        <w:t>Revenue</w:t>
      </w: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for the six months ended June 30, 2024 was $43.6 million compared to $31.4 million for the six months ended June 30, 2023, an increase of $12.2 million, or 39%. Sales have increased due to strong mobile and consumer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revenues for the six months ended June 30, 2024 was $26.1 million compared to $18.4 million for the six months ended June 30, 2023, an increase of $7.7 million or 42%. The increase was primarily driven by revenue slightly offset by lower gross margin mobile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six months ended June 30, 2024 of $39.2 million increased by $5.0 million, or 15%, when compared to the six months ended June 30, 2023. This is primarily driven by an increase in product development by approximately $2.2 million since June 30, 2023 as it relates to EV, enterprise and solar. Additionally, salaries and benefits have increased as we build out our target end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the six months ended June 30, 2024 of $31.5 million decreased by $0.7 million, or 2%, when compared to the six months ended June 30, 2023. Salaries and benefits have increased as we build out a worldwide sales force.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consistent as we did not acquire new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interest (expense) income for the six months ended June 30, 2024 was $(0.1) million compared to $1.3 million net interest income (expense) for the six months ended June 30, 2023, primarily due to the higher interest rate received on money markets funds in the prior year.</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Increase of $2.6 million in dividend income is primarily due to two quarters of dividend income for the six months ended June 30, 2024 compared to only one month of dividend income for the six months ended June 30, 2023.</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recognized a $33.7 million gain from the change in fair value of our earn-out liabilities. The increase in the gain of our earn-out liabilities of $93.7 million was primarily a result of the decrease of the closing price of our Class A common stock listed on the Nasdaq, resulting in the decrease in the estimated fair value of the earnout shares from $8.58 as of June 30, 2023 to $1.53 as of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 (Benefit)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 provision for the six months ended June 30, 2024 increased $0.2 million when compared to the income tax benefit of $0.0 million for the six months ended June 30, 2023. We expect our tax rate to remain close to zero in the near term due to full valuation allowances against deferred tax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we had cash and cash equivalents of $112.0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six months ended June 30, 2024 and 2023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20" w:type="dxa"/>
            <w:vAlign w:val="bottom"/>
          </w:tcPr>
          <w:p>
            <w:pPr>
              <w:spacing w:after="0"/>
              <w:rPr>
                <w:sz w:val="20"/>
                <w:szCs w:val="20"/>
                <w:color w:val="auto"/>
              </w:rPr>
            </w:pPr>
          </w:p>
        </w:tc>
        <w:tc>
          <w:tcPr>
            <w:tcW w:w="20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 Data:</w:t>
            </w:r>
          </w:p>
        </w:tc>
        <w:tc>
          <w:tcPr>
            <w:tcW w:w="4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87,313</w:t>
            </w:r>
          </w:p>
        </w:tc>
      </w:tr>
    </w:tbl>
    <w:p>
      <w:pPr>
        <w:spacing w:after="0" w:line="184"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derive liquidity primarily from equity financing activities. As of June 30, 2024, our balance of cash and cash equivalents was $112.0 million, which is a decrease of $40.8 million or 27% compared to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net cash used in operating activities was $34.9 million, which primarily reflects a net loss of $26.0 million. This decrease to operating cash flows is partially offset by adjustments for non-cash share-based compensation of $26.6 million, depreciation of $1.4 million, non-cash gains of $33.7 million in earnout liabilities, amortization of intangible assets of $9.5 million, and an aggregate cash used in operating assets and liabilities of $14.0 million. Specifically, increases in inventories of $3.0 million due to sales increases coupled with decreases in accounts payable, accrued compensation and other expenses of $10.4 million and customer deposits and deferred revenue of $4.7 million, partially offset by an decreases in accounts receivable of $3.2 million and prepaid expenses and other current assets of $1.4 million.</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2023, net cash used in operating activities was $17.2 million, which primarily reflects a net loss of $120.9 million. This decrease to operating cash flows are partially offset by adjustments for non-cash share-based compensation of $29.7 million, non-cash losses of $60.0 million in earnout liabilities, amortization of intangible assets of $9.3 million, and an aggregate cash provided by operating assets and liabilities of $3.2 million. Specifically, a $11.9 million increase in accounts payable-trade, accrued compensation, and other expenses primarily due to an increase in accrued compensation expense as a result of timing, partially offset by a $6.0 million increase in account receivable and $1.6 million increase in other assets, a $0.7 million increase in prepaid expenses and other, and a decrease in operating lease liabilities of $0.5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of $8.1 million was primarily due to $2.5 million cash funding of a joint venture and $5.6 million for purchases of fixed assets.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of $2.7 million was primarily due to $1.0 million cash funding of a joint venture and $1.7 million for purchases of fixed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of $2.2 million was primarily due to proceeds from stock option exercises of $0.4 million and proceeds from our employee stock purchase plan of $1.8 million.</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of $87.3 million was primarily due to proceeds from the issuance of common stock in May 2023 of $86.9 million and proceeds from stock option exercises of $0.9 million, offset by the payment of May 2023 public offering costs of $0.5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June 30, 2024, our non-cancellable contractual arrangements consisted entirely of lease obligations. Refer to Note 7 - Leases for further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we did not have any off-balance sheet arrangements as defined in Item 303(a)(4)(ii) of Regulation 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2023 annual report on Form 10-K.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Adverse changes in the global economic landscape have impacted, and may continue to affect, the demand for our products. This impact includes alterations in customer order behaviors, such as cancellations, and shifts in vendor inventory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face exposure to market price fluctuations of specific commodity raw materials, notably gold, which are integrated into our end products or utilized by our suppliers in production. Rising commodity prices result in increased costs passed on to us by suppliers, either through general price hikes or commodity surcharges. While our interactions with suppliers typically occur through purchase orders rather than long-term contracts, we strive to secure firm pricing aligned with planned production volumes.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supervision and involvement of our Principal Executive Officer and Principal Financial Officer, has evaluated the effectiveness of the design and operation of our disclosure controls and procedures (as defined in Rules 13a-15(e) and 15d-15(e) under the Exchange Act) as of the end of the period covered by this report, pursuant to Exchange Act Rule 13a-15. Based upon this evaluation, our chief executive officer and chief financial officer have concluded that, as of June 30, 2024, as a result of the material weaknesses in our internal control over financial reporting discussed below and filed in our amended annual report on Form 10-K for the year ended December 31, 2023 on July 23, 2024 with the SEC, our disclosure controls and procedures were not effective.</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w:t>
      </w:r>
    </w:p>
    <w:p>
      <w:pPr>
        <w:spacing w:after="0" w:line="230" w:lineRule="exact"/>
        <w:rPr>
          <w:sz w:val="20"/>
          <w:szCs w:val="20"/>
          <w:color w:val="auto"/>
        </w:rPr>
      </w:pPr>
    </w:p>
    <w:p>
      <w:pPr>
        <w:jc w:val="both"/>
        <w:ind w:left="66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did not fully maintain components of the COSO framework, including elements of the control environment, risk assessment, control activities, and monitoring activities components, relating to: (i) sufficiency of processes related to identifying and analyzing risks to the achievement of objectives across the entity, (ii) sufficiency of competent personnel with appropriate levels of knowledge, experience, and training in accounting for complex and non-routine transactions, and internal control matters to perform assigned responsibilities and have appropriate accountability for the design and operation of internal control over financial reporting; (iii) performing control activities in accordance with established policies in a timely manner, and (iv) performing ongoing evaluation to ascertain whether the components of internal controls are present and functioning.</w:t>
      </w:r>
    </w:p>
    <w:p>
      <w:pPr>
        <w:spacing w:after="0" w:line="2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entity level material weaknesses contributed to other material weaknesses within the Company’s system of internal control over financial reporting as follows:</w:t>
      </w:r>
    </w:p>
    <w:p>
      <w:pPr>
        <w:spacing w:after="0" w:line="189" w:lineRule="exact"/>
        <w:rPr>
          <w:sz w:val="20"/>
          <w:szCs w:val="20"/>
          <w:color w:val="auto"/>
        </w:rPr>
      </w:pPr>
    </w:p>
    <w:p>
      <w:pPr>
        <w:ind w:left="660" w:right="2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such that, personnel within the Company have incompatible duties which allow for the creation, review and processing of journal entries without independent review and authorization, which affects substantially all financial statement account balances and disclosures.</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over the accounting for share-based payments, including the long-term incentive plan awards and earnout liability.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over the accounting for its license and release agreement.</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over the inputs and assumptions used in the valuation of the earnout liability and information utilized to classify awards as either equity or liability.</w:t>
      </w:r>
    </w:p>
    <w:p>
      <w:pPr>
        <w:ind w:left="660" w:right="24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maintain effective controls over its determination of reportable segments for purposes of segment reporting and reporting units for purposes of goodwill.</w:t>
      </w:r>
    </w:p>
    <w:p>
      <w:pPr>
        <w:spacing w:after="0" w:line="22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These material weaknesses did not result in a misstatement to the consolidate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Remediation Plan</w:t>
      </w:r>
    </w:p>
    <w:p>
      <w:pPr>
        <w:spacing w:after="0" w:line="270"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color w:val="auto"/>
        </w:rPr>
        <w:t>We have immediately commenced developing a plan to enhance the design and operating effectiveness of our internal controls over financial reporting, including maintaining sufficient contemporaneous documentation of management review controls over accounting for share-based payments, including the long-term incentive plan awards, earnout liability, as well as the accounting for the Company’s license and release agreement, which we believe will address the material weakness described above. At least on an annual basis or as warranted due to organizational changes, we will perform a segment/reporting unit analysis. We expect our remediation will be complete prior to the end of the fourth quarter of fiscal 2024.</w:t>
      </w:r>
    </w:p>
    <w:p>
      <w:pPr>
        <w:spacing w:after="0" w:line="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hired a Director of Information Technology at the end of 2023 to, among other responsibilities, segregate financial accounting systems access and system changes between IT and accounting department. The Company will continue to review and modify system access for accounting personnel to ensure proper segregation of duties around manual journal entries.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Changes in Internal Control Over Financial Reporting</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Other than the material weaknesses described above, there have been no significant changes in our internal control over financial reporting (as defined in Exchange Act Rules 13a-15(f) and 15d-15(f)) that occurred during our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from the risk factors previously disclosed in Part I—Item 1A, “Risk Factors,” of our annual report on Form10-K/A for the</w:t>
      </w:r>
    </w:p>
    <w:p>
      <w:pPr>
        <w:spacing w:after="0" w:line="6" w:lineRule="exact"/>
        <w:rPr>
          <w:sz w:val="20"/>
          <w:szCs w:val="20"/>
          <w:color w:val="auto"/>
        </w:rPr>
      </w:pPr>
    </w:p>
    <w:p>
      <w:pPr>
        <w:ind w:right="20"/>
        <w:spacing w:after="0" w:line="213" w:lineRule="exact"/>
        <w:rPr>
          <w:sz w:val="20"/>
          <w:szCs w:val="20"/>
          <w:color w:val="auto"/>
        </w:rPr>
      </w:pPr>
      <w:r>
        <w:rPr>
          <w:rFonts w:ascii="Times New Roman" w:cs="Times New Roman" w:eastAsia="Times New Roman" w:hAnsi="Times New Roman"/>
          <w:sz w:val="18"/>
          <w:szCs w:val="18"/>
          <w:color w:val="auto"/>
        </w:rPr>
        <w:t>fiscal year ended December 31, 2023, filed with the SEC on July 23, 2024, and in Part II—Item 1A, “Risk Factors,” of our quarterly report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Q for the quarter ended March 31, 2024, filed with the SEC on May 15,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and Termination of 10b5-1 Trading Plans of Directors and Executive Officers</w:t>
      </w:r>
    </w:p>
    <w:p>
      <w:pPr>
        <w:spacing w:after="0" w:line="19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On June 10, 2024, David Moxam, a member of the board of directors, adopted a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 trading plan covering up to 605,000 shares of common stock.</w:t>
      </w:r>
    </w:p>
    <w:p>
      <w:pPr>
        <w:spacing w:after="0" w:line="58"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8"/>
          <w:szCs w:val="18"/>
          <w:color w:val="auto"/>
        </w:rPr>
        <w:t>The plan is intended to satisfy the affirmative defense conditions of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1(c) under the Securities Exchange Act of 1934. The plan is scheduled to be effective from September 16, 2024 until February 14, 2025. All, some, or none of the shares covered by the plan could be sold under the terms of the plan.</w:t>
      </w:r>
    </w:p>
    <w:p>
      <w:pPr>
        <w:spacing w:after="0" w:line="1" w:lineRule="exact"/>
        <w:rPr>
          <w:sz w:val="20"/>
          <w:szCs w:val="20"/>
          <w:color w:val="auto"/>
        </w:rPr>
      </w:pPr>
    </w:p>
    <w:p>
      <w:pPr>
        <w:jc w:val="both"/>
        <w:ind w:right="20"/>
        <w:spacing w:after="0" w:line="213" w:lineRule="exact"/>
        <w:rPr>
          <w:sz w:val="20"/>
          <w:szCs w:val="20"/>
          <w:color w:val="auto"/>
        </w:rPr>
      </w:pPr>
      <w:r>
        <w:rPr>
          <w:rFonts w:ascii="Times New Roman" w:cs="Times New Roman" w:eastAsia="Times New Roman" w:hAnsi="Times New Roman"/>
          <w:sz w:val="18"/>
          <w:szCs w:val="18"/>
          <w:color w:val="auto"/>
        </w:rPr>
        <w:t>On April 1, 2024, an earlier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 trading plan intended to satisfy the affirmative defense conditions of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1(c), entered into by Mr. Moxam on December 13, 2023 and covering up to 605,000 shares, terminated automatically by its terms. No shares were sold under that trading plan.</w:t>
      </w:r>
    </w:p>
    <w:p>
      <w:pPr>
        <w:spacing w:after="0" w:line="163"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 plans are generally in the form of prearranged written plans to buy or sell company stock at predetermined times or prices. Such plans are designed to provide an affirmative defense against insider trading liability, provided they satisfy the conditions of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1(c), including, but not limited to, a condition requiring directors and executive officers of public companies to observe a waiting period of at least 90 days, after the plan adoption date, before any trades can be executed under the plan.</w:t>
      </w:r>
    </w:p>
    <w:p>
      <w:pPr>
        <w:spacing w:after="0" w:line="163"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18"/>
          <w:szCs w:val="18"/>
          <w:color w:val="auto"/>
        </w:rPr>
        <w:t>The company does not undertake any obligation to report the establishment, modification or termination of any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 trading plans by directors or executive officers, except to the extent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Directors or Certain Officers; Compensatory Arrangements of Certain Officers.</w:t>
      </w:r>
    </w:p>
    <w:p>
      <w:pPr>
        <w:spacing w:after="0" w:line="2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July 31, 2024, we entered into a letter agreement with Ranbir Singh, an executive officer of the Company, pursuant to which Dr. Singh will transition from Executive Vice President, GeneSiC Business to Executive Vice President, Corporate Development. In his new role Dr. Singh will be responsible, among other duties, for identifying and leading corporate initiatives relating to new businesses, technologies, operational capabilities, university and academic partnerships, and government partnerships and programs. Although he remains a Navitas senior executive, Dr. Singh will no longer be an executive officer (as defined in Rule 3b-7 under the Exchange Act) of the Company as of July 31, 2024.</w:t>
      </w:r>
    </w:p>
    <w:p>
      <w:pPr>
        <w:spacing w:after="0" w:line="20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Under the letter agreement, Dr. Singh will devote approximately half of his professional time to the corporate development role at 50% of his base annual salary in effect before the transition. Dr. Singh will continue to be eligible for an annual bonus under the Company’s annual incentive bonus program, at a target participation level of at least 60% of his base salary, with the opportunity to earn a bonus up to 150% of the target amount depending on the extent to which corporate and individual performance goals reflecting his corporate development role are achieved or exceeded. Dr. Singh will also remain eligible to participate in the Company’s group health care plan and for other benefits available to executives of the Company.</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Dr. Singh’s long-term incentive performance award of non-qualified options to purchase up to 3,250,000 shares of our common stock, dated August 15, 2022 (“LTIP Award”), is not affected by the change to his role. Under the letter agreement, if the Company amends or replaces the LTIP Award, the terms and conditions of Dr. Singh’s replacement LTIP Award would be the same as those awarded to other holders of LTIP Awards.</w:t>
      </w:r>
    </w:p>
    <w:p>
      <w:pPr>
        <w:spacing w:after="0" w:line="1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Dr. Singh also remains eligible for payments and benefits available to employees at the rank of executive vice president under the Navitas Semiconductor Executive Severance Plan (“Severance Plan”) or under his employment letter dated August 15, 2022, to the extent any separate component of severance payments or benefits under his employment letter is more favorable to Dr. Singh. Under the letter agreement, the occurrence of a “Good Reason” termination event and corresponding obligations to provide notice and an opportunity to cure will be governed solely by reference to the definition of “Good Reason” and related terms and conditions of the Severance Plan. Further, Dr. Singh will have until December 1, 2024 to provide notice that the new role constitutes a Good Reason event as so defined. For purposes of calculating any amount of severance to which Dr. Singh is entitled, the value of his annual salary for such purposes will be based on the full amount of his salary as in effect prior to the salary reduction reflecting the new role.</w:t>
      </w:r>
    </w:p>
    <w:p>
      <w:pPr>
        <w:spacing w:after="0" w:line="19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connection with Dr. Singh’s corporate development role and reduced time commitment to Navitas, the Company and Dr. Singh agreed to certain conditions and clarifications to Dr. Singh’s non-competition agreement, entered into in connection with the acquisition of GeneSiC Semiconductor Inc. in 2022. Specifically, the letter agreement confirms the parties’ understanding that such non-competition obligations do not apply to gallium nitride or silicon carbide technologies operating above 100 MHz operating frequency. As to technologies operating below that frequency, the agreement provides that the Company may waive compliance with the non-competition obligations before they otherwise expire on August 15, 2027, provided Dr. Singh complies with certain notice and other obligations, as set forth in the agreement, with respect to employment or other opportunities that may arise.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summary of the letter agreement with Dr. Singh is qualified in its entirety by reference to the complete text of the agreement, which is filed as Exhibit 10.1 to this report and incorporated by reference herein.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7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220" w:type="dxa"/>
            <w:vAlign w:val="bottom"/>
          </w:tcPr>
          <w:p>
            <w:pPr>
              <w:ind w:left="37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01"/>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4"/>
                <w:szCs w:val="24"/>
                <w:color w:val="auto"/>
              </w:rPr>
            </w:pPr>
          </w:p>
        </w:tc>
        <w:tc>
          <w:tcPr>
            <w:tcW w:w="8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0000FF"/>
              </w:rPr>
              <w:t>Letter agreement with Ranbir Singh dated July 31, 2024</w:t>
            </w:r>
          </w:p>
        </w:tc>
      </w:tr>
      <w:tr>
        <w:trPr>
          <w:trHeight w:val="311"/>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 Act</w:t>
            </w:r>
          </w:p>
        </w:tc>
      </w:tr>
      <w:tr>
        <w:trPr>
          <w:trHeight w:val="270"/>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3"/>
                <w:szCs w:val="23"/>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 13a-14(a) of the Exchange Act</w:t>
            </w:r>
          </w:p>
        </w:tc>
      </w:tr>
      <w:tr>
        <w:trPr>
          <w:trHeight w:val="222"/>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 Rule 13a-14(b) of the Exchange Act</w:t>
            </w:r>
          </w:p>
        </w:tc>
      </w:tr>
      <w:tr>
        <w:trPr>
          <w:trHeight w:val="210"/>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and 18 U.S.C. § 1350</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34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Gene Sheridan</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0" w:lineRule="exact"/>
        <w:rPr>
          <w:sz w:val="20"/>
          <w:szCs w:val="20"/>
          <w:color w:val="auto"/>
        </w:rPr>
      </w:pPr>
    </w:p>
    <w:p>
      <w:pPr>
        <w:jc w:val="center"/>
        <w:ind w:right="160"/>
        <w:spacing w:after="0"/>
        <w:tabs>
          <w:tab w:leader="none" w:pos="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Janet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18599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Janet Chou</w:t>
      </w:r>
    </w:p>
    <w:p>
      <w:pPr>
        <w:spacing w:after="0" w:line="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Executive Vice President, Chief</w:t>
      </w:r>
    </w:p>
    <w:p>
      <w:pPr>
        <w:ind w:left="49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4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jc w:val="center"/>
        <w:ind w:right="320"/>
        <w:spacing w:after="0"/>
        <w:tabs>
          <w:tab w:leader="none" w:pos="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60"/>
          </w:cols>
          <w:pgMar w:left="320" w:top="454" w:right="8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[Navitas Semiconductor USA, Inc. Letterhead]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Ranbir Singh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Ranbir:</w:t>
      </w:r>
    </w:p>
    <w:p>
      <w:pPr>
        <w:spacing w:after="0" w:line="229"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20"/>
          <w:szCs w:val="20"/>
          <w:color w:val="auto"/>
        </w:rPr>
        <w:t>As we have discussed, this letter agreement (this “Agreement”) sets forth an agreement, dated as of the date set forth above (the “Effective Date”), among you, Navitas Semiconductor USA, Inc. (the “Company”) and Navitas Semiconductor Corporation (“NVTS” and, together with the Company and their other affiliated entities, separately or collectively, “Navitas”), regarding the following changes to your employment with the Company and NVTS. Accordingly, you, the Company and NVTS agree as follows:</w:t>
      </w:r>
    </w:p>
    <w:p>
      <w:pPr>
        <w:spacing w:after="0" w:line="161" w:lineRule="exact"/>
        <w:rPr>
          <w:sz w:val="20"/>
          <w:szCs w:val="20"/>
          <w:color w:val="auto"/>
        </w:rPr>
      </w:pPr>
    </w:p>
    <w:p>
      <w:pPr>
        <w:ind w:right="540" w:firstLine="656"/>
        <w:spacing w:after="0" w:line="283" w:lineRule="auto"/>
        <w:tabs>
          <w:tab w:leader="none" w:pos="12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and Responsibilities</w:t>
      </w:r>
      <w:r>
        <w:rPr>
          <w:rFonts w:ascii="Times New Roman" w:cs="Times New Roman" w:eastAsia="Times New Roman" w:hAnsi="Times New Roman"/>
          <w:sz w:val="20"/>
          <w:szCs w:val="20"/>
          <w:color w:val="auto"/>
        </w:rPr>
        <w:t>. Effective as of the Effective Date, you will be employed by the Company as Executive Vice President, Corporate Development, reporting directly to Gene Sheridan, CEO. Your responsibilities in this role will include:</w:t>
      </w:r>
    </w:p>
    <w:p>
      <w:pPr>
        <w:spacing w:after="0" w:line="159" w:lineRule="exact"/>
        <w:rPr>
          <w:rFonts w:ascii="Times New Roman" w:cs="Times New Roman" w:eastAsia="Times New Roman" w:hAnsi="Times New Roman"/>
          <w:sz w:val="20"/>
          <w:szCs w:val="20"/>
          <w:color w:val="auto"/>
        </w:rPr>
      </w:pPr>
    </w:p>
    <w:p>
      <w:pPr>
        <w:jc w:val="both"/>
        <w:ind w:left="660" w:right="120" w:firstLine="644"/>
        <w:spacing w:after="0" w:line="261" w:lineRule="auto"/>
        <w:tabs>
          <w:tab w:leader="none" w:pos="1946"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investigating, negotiating and leading, as appropriate, new corporate initiatives, in each case as directed by the CEO, which may include acquisitions, investments, joint ventures or partnerships, including those relating to new businesses, technologies, operational capabilities, university/academia partnerships and government partnerships and programs;</w:t>
      </w:r>
    </w:p>
    <w:p>
      <w:pPr>
        <w:spacing w:after="0" w:line="167" w:lineRule="exact"/>
        <w:rPr>
          <w:rFonts w:ascii="Times New Roman" w:cs="Times New Roman" w:eastAsia="Times New Roman" w:hAnsi="Times New Roman"/>
          <w:sz w:val="20"/>
          <w:szCs w:val="20"/>
          <w:color w:val="auto"/>
        </w:rPr>
      </w:pPr>
    </w:p>
    <w:p>
      <w:pPr>
        <w:ind w:left="660" w:right="80" w:firstLine="644"/>
        <w:spacing w:after="0" w:line="283" w:lineRule="auto"/>
        <w:tabs>
          <w:tab w:leader="none" w:pos="194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industry and professional/scholarly conferences and events as necessary or appropriate for networking and the related activities listed in clause (a);</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6"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Navitas executive management meetings as required, typically in connection with strategic planning and/or long-term business planning; and</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Navitas board meetings as requested by the CEO.</w:t>
      </w:r>
    </w:p>
    <w:p>
      <w:pPr>
        <w:spacing w:after="0" w:line="215" w:lineRule="exact"/>
        <w:rPr>
          <w:rFonts w:ascii="Times New Roman" w:cs="Times New Roman" w:eastAsia="Times New Roman" w:hAnsi="Times New Roman"/>
          <w:sz w:val="20"/>
          <w:szCs w:val="20"/>
          <w:color w:val="auto"/>
        </w:rPr>
      </w:pPr>
    </w:p>
    <w:p>
      <w:pPr>
        <w:ind w:right="560" w:firstLine="656"/>
        <w:spacing w:after="0" w:line="283" w:lineRule="auto"/>
        <w:tabs>
          <w:tab w:leader="none" w:pos="12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Commitment</w:t>
      </w:r>
      <w:r>
        <w:rPr>
          <w:rFonts w:ascii="Times New Roman" w:cs="Times New Roman" w:eastAsia="Times New Roman" w:hAnsi="Times New Roman"/>
          <w:sz w:val="20"/>
          <w:szCs w:val="20"/>
          <w:color w:val="auto"/>
        </w:rPr>
        <w:t>. As of and following the Effective Date, you will not be expected to devote more than 50% of your working time to Navitas matters (as compared to the time generally devoted to Navitas matters before the Effective Date).</w:t>
      </w:r>
    </w:p>
    <w:p>
      <w:pPr>
        <w:spacing w:after="0" w:line="159" w:lineRule="exact"/>
        <w:rPr>
          <w:rFonts w:ascii="Times New Roman" w:cs="Times New Roman" w:eastAsia="Times New Roman" w:hAnsi="Times New Roman"/>
          <w:sz w:val="20"/>
          <w:szCs w:val="20"/>
          <w:color w:val="auto"/>
        </w:rPr>
      </w:pPr>
    </w:p>
    <w:p>
      <w:pPr>
        <w:ind w:right="100" w:firstLine="656"/>
        <w:spacing w:after="0" w:line="265" w:lineRule="auto"/>
        <w:tabs>
          <w:tab w:leader="none" w:pos="1296"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 and Executive Officer Status; Continuing Responsibilities</w:t>
      </w:r>
      <w:r>
        <w:rPr>
          <w:rFonts w:ascii="Times New Roman" w:cs="Times New Roman" w:eastAsia="Times New Roman" w:hAnsi="Times New Roman"/>
          <w:sz w:val="19"/>
          <w:szCs w:val="19"/>
          <w:color w:val="auto"/>
        </w:rPr>
        <w:t>. As of and following the Effective Date, you will no longer be an “officer” or “executive officer” (as those terms are defined in applicable securities laws and regulations) of NVTS or the Company, you will not represent that you are an officer or agent of the Company or NVTS, and you will not be expected or authorized to act on behalf of the Company or NVTS except as may be specifically authorized by the CEO in furtherance of your duties and responsibilities described in Section 1. As a result, you will no longer have, or be subject to, the fiduciary duties of a corporate officer under the Delaware General Corporation Law, and you will no longer be subject to disclosure applicable to executive officers or officers under applicable securities laws and regulations (it being understood that these may continue to apply with respect to 2024 in relation to your role before the Effective Date). However, for as long as you continue to beneficially own more than 10% of outstanding NVTS common shares, you will remain an “affiliate” of NVTS and, accordingly, you (and other affiliated “persons” as defined in Rule 144(a)(2) under the Securities Act of 1933 (“Securities Act”)) will continue to be subject to the same SEC reporting responsibilities under Rule 144 and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Redacted pursuant to 17 CFR § 229.601(a)(6).</w:t>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Ranbir Singh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Section 16 of the Securities Exchange Act of 1934 (“Exchange Act”). In addition, for as long as you continue to beneficially own more than 5% of outstanding NVTS common shares, you will continue to be subject to SEC reporting responsibilities under Section 13 of the Exchange Act and applicable regulations thereunder, including without limitation the obligation to file ownership reports on Schedules 13D or 13G under the Exchange Act, as applicable. The office of the NVTS General Counsel will continue to provide filing support and other assistance to you in connection with these reporting responsibilities. You are urged to consult with your own securities and tax counsel in connection with any transactions involving NVTS securities. Although you will not have direct reports, the CEO will identify and direct members of the executive management team and other employees to support your activities as necessary and appropriate in consultation with you.</w:t>
      </w:r>
    </w:p>
    <w:p>
      <w:pPr>
        <w:spacing w:after="0" w:line="162" w:lineRule="exact"/>
        <w:rPr>
          <w:sz w:val="20"/>
          <w:szCs w:val="20"/>
          <w:color w:val="auto"/>
        </w:rPr>
      </w:pPr>
    </w:p>
    <w:p>
      <w:pPr>
        <w:ind w:right="120" w:firstLine="656"/>
        <w:spacing w:after="0" w:line="257"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Salary and Benefits</w:t>
      </w:r>
      <w:r>
        <w:rPr>
          <w:rFonts w:ascii="Times New Roman" w:cs="Times New Roman" w:eastAsia="Times New Roman" w:hAnsi="Times New Roman"/>
          <w:sz w:val="20"/>
          <w:szCs w:val="20"/>
          <w:color w:val="auto"/>
        </w:rPr>
        <w:t>. Effective May 24, 2024, your base salary will be reduced to 50% of your base salary in effect immediately prior to such date, and thereafter will be paid to you in accordance with the Company’s regular payroll practices, less all applicable taxes and other withholdings. You will continue to be eligible to participate in the Company’s group health care plan at your current premium contribution level in effect for active employees, until the date (if ever) that you become covered under another employer’s health plan. You will remain eligible for all other benefits available to other executives of the Company.</w:t>
      </w:r>
    </w:p>
    <w:p>
      <w:pPr>
        <w:spacing w:after="0" w:line="172" w:lineRule="exact"/>
        <w:rPr>
          <w:rFonts w:ascii="Times New Roman" w:cs="Times New Roman" w:eastAsia="Times New Roman" w:hAnsi="Times New Roman"/>
          <w:sz w:val="20"/>
          <w:szCs w:val="20"/>
          <w:color w:val="auto"/>
        </w:rPr>
      </w:pPr>
    </w:p>
    <w:p>
      <w:pPr>
        <w:ind w:right="120" w:firstLine="656"/>
        <w:spacing w:after="0" w:line="258"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You will continue to be eligible for your annual bonus at a target participation level of at least 60% (as a percentage of salary actually paid during the applicable year), with the opportunity to earn a bonus up to 150% of the target amount depending on the extent to which corporate and individual performance goals reflecting your corporate development role, determined by the CEO in consultation with you, are achieved or exceeded.</w:t>
      </w:r>
    </w:p>
    <w:p>
      <w:pPr>
        <w:spacing w:after="0" w:line="185" w:lineRule="exact"/>
        <w:rPr>
          <w:rFonts w:ascii="Times New Roman" w:cs="Times New Roman" w:eastAsia="Times New Roman" w:hAnsi="Times New Roman"/>
          <w:sz w:val="20"/>
          <w:szCs w:val="20"/>
          <w:color w:val="auto"/>
        </w:rPr>
      </w:pPr>
    </w:p>
    <w:p>
      <w:pPr>
        <w:ind w:firstLine="656"/>
        <w:spacing w:after="0" w:line="251"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LTIP</w:t>
      </w:r>
      <w:r>
        <w:rPr>
          <w:rFonts w:ascii="Times New Roman" w:cs="Times New Roman" w:eastAsia="Times New Roman" w:hAnsi="Times New Roman"/>
          <w:sz w:val="20"/>
          <w:szCs w:val="20"/>
          <w:color w:val="auto"/>
        </w:rPr>
        <w:t xml:space="preserve">. Your long-term incentive performance award of non-qualified options to purchase up to 3,250,000 shares of NVTS common shares, dated August 15, 2022 (your “LTIP Award”), will not be affected by any of the changes to your role or employment status reflected in this letter, and will continue in full force and effect in accordance with its terms, including the terms and conditions of the Navitas Semiconductor Corporation 2021 Equity Incentive Plan (the “Equity Plan”) and the award agreement under the Equity Plan reflecting the LTIP Award,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notwithstanding any provisions of the LTIP Award agreement or Equity Plan to the contrary, if NVTS amends or replaces the Plan and/or your LTIP Award in the future, the terms and conditions of your replacement LTIP Award will be the same as those awarded to other holders of LTIP Awards.</w:t>
      </w:r>
    </w:p>
    <w:p>
      <w:pPr>
        <w:spacing w:after="0" w:line="192" w:lineRule="exact"/>
        <w:rPr>
          <w:rFonts w:ascii="Times New Roman" w:cs="Times New Roman" w:eastAsia="Times New Roman" w:hAnsi="Times New Roman"/>
          <w:sz w:val="20"/>
          <w:szCs w:val="20"/>
          <w:color w:val="auto"/>
        </w:rPr>
      </w:pPr>
    </w:p>
    <w:p>
      <w:pPr>
        <w:ind w:right="40" w:firstLine="656"/>
        <w:spacing w:after="0" w:line="250"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xml:space="preserve">. You will remain eligible for payments and benefits available to employees at the rank of executive vice president under the Navitas Semiconductor Executive Severance Plan, dated as of December 27, 2023 and as in effect on the date hereof (the “Severance Plan”), or under your Employment Letter (as defined in paragraph 11 below) dated August 15, 2022 to the extent any separate component of severance payments or benefits is more favorable to you under your Employment Letter than under the Severance Plan (such favorability to be determined by you in your discretion),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in no event will any such separate component be paid or provided to you more than once in connection with the same employment termination event. Subject to Section 11, for all purposes of this Agreement the occurrence of a “Good Reason” event and corresponding obligations to provide notice and an opportunity to cure will be governed solely by reference to the definition of “Good Reason” and related terms and conditions of the Severance Plan, without regard to any contrary or conflicting provisions of your Employment Letter,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when those provisions are applied to you, (a) as to the circumstances reflected in the terms and conditions set forth herein (as compared to the terms and conditions of your employment in effect at any time before the Effective Date), (i) the last day for you to</w:t>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Ranbir Singh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 xml:space="preserve">provide written notice that such circumstances give rise to a Good Reason event will be December 1, 2024 and (ii) any and all severance payments in respect thereof shall be paid to you (if at all) no later than December 31, 2024, </w:t>
      </w:r>
      <w:r>
        <w:rPr>
          <w:rFonts w:ascii="Times New Roman" w:cs="Times New Roman" w:eastAsia="Times New Roman" w:hAnsi="Times New Roman"/>
          <w:sz w:val="20"/>
          <w:szCs w:val="20"/>
          <w:i w:val="1"/>
          <w:iCs w:val="1"/>
          <w:color w:val="auto"/>
        </w:rPr>
        <w:t>provided you</w:t>
      </w:r>
      <w:r>
        <w:rPr>
          <w:rFonts w:ascii="Times New Roman" w:cs="Times New Roman" w:eastAsia="Times New Roman" w:hAnsi="Times New Roman"/>
          <w:sz w:val="20"/>
          <w:szCs w:val="20"/>
          <w:color w:val="auto"/>
        </w:rPr>
        <w:t xml:space="preserve"> have executed and not revoked the release of claims contemplated by the Severance Plan; (b) as to any circumstances affecting the terms and conditions of your employment which occur after the Effective Date (as compared to the terms and conditions of your employment as set forth herein), the last day for you to provide written notice that such circumstances give rise to a Good Reason event will be the later of (i) December 1, 2024 or (ii) 90 days following the initial existence of such circumstances; and (c) notwithstanding any provision of the Severance Plan or your Employment Letter to the contrary, for purposes of calculating any amount of severance to which you are entitled under the Severance Plan or your Employment Letter (including severance in respect of salary and in respect of a bonus calculated with reference to salary), the value of “annual base salary” or “base salary” used for such purposes will be deemed to be the full amount of your annual base salary immediately prior to the reduction provided under Section 4 above, increased by a percentage equal to the aggregate percentage increase (if any) in your base salary following the Effective Date and before the termination event giving rise to such severance calculation.</w:t>
      </w:r>
    </w:p>
    <w:p>
      <w:pPr>
        <w:spacing w:after="0" w:line="200" w:lineRule="exact"/>
        <w:rPr>
          <w:sz w:val="20"/>
          <w:szCs w:val="20"/>
          <w:color w:val="auto"/>
        </w:rPr>
      </w:pPr>
    </w:p>
    <w:p>
      <w:pPr>
        <w:ind w:firstLine="656"/>
        <w:spacing w:after="0" w:line="249" w:lineRule="auto"/>
        <w:tabs>
          <w:tab w:leader="none" w:pos="129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NVTS Shares</w:t>
      </w:r>
      <w:r>
        <w:rPr>
          <w:rFonts w:ascii="Times New Roman" w:cs="Times New Roman" w:eastAsia="Times New Roman" w:hAnsi="Times New Roman"/>
          <w:sz w:val="20"/>
          <w:szCs w:val="20"/>
          <w:color w:val="auto"/>
        </w:rPr>
        <w:t xml:space="preserve">. NVTS and the Company agree that none of the NVTS shares beneficially owned by you and your affiliates on the date hereof will be subject to any restrictions on sale or transfer following the Effective Date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(a) for as long as you remain an employee of Navitas (or are otherwise engaged as a service provider), you will remain subject to the applicable provisions of the Navitas Semiconductor Insider Trading Policy applicable to “Insiders” as defined therein (including without limitation scheduled trading blackout periods, requirements to pre-clear transactions with the NVTS General Counsel, and restrictions on trading while in possession of material nonpublic information about NVTS or its securities); (b) restrictions and reporting requirements under applicable securities laws (including Rule 144 under the Securities Act and Sections 13 and 16 of the Exchange Act, as applicable); and (c) the daily volume limitations imposed by Section 2.10 of the Registration Rights Agreement among NVTS, you and the other parties thereto dated August 15, 2022 (the “Registration Rights Agreement”), which restrictions shall continue to apply in accordance with their terms. For the avoidance of doubt, the restrictions under the foregoing clauses (b) and (c) will continue to apply regardless of your employment status. In addition, the board of directors will consider in good faith requests to pledge NVTS shares beneficially owned by you or an affiliate as security for the repayment of indebtedness, upon reasonable disclosure by you of the material terms and conditions of such indebtedness.</w:t>
      </w:r>
    </w:p>
    <w:p>
      <w:pPr>
        <w:spacing w:after="0" w:line="201" w:lineRule="exact"/>
        <w:rPr>
          <w:rFonts w:ascii="Times New Roman" w:cs="Times New Roman" w:eastAsia="Times New Roman" w:hAnsi="Times New Roman"/>
          <w:sz w:val="20"/>
          <w:szCs w:val="20"/>
          <w:color w:val="auto"/>
        </w:rPr>
      </w:pPr>
    </w:p>
    <w:p>
      <w:pPr>
        <w:jc w:val="both"/>
        <w:ind w:right="120" w:firstLine="656"/>
        <w:spacing w:after="0" w:line="265" w:lineRule="auto"/>
        <w:tabs>
          <w:tab w:leader="none" w:pos="1296"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Activities in Relation to Non-competition Covenant and Personal Interests</w:t>
      </w:r>
      <w:r>
        <w:rPr>
          <w:rFonts w:ascii="Times New Roman" w:cs="Times New Roman" w:eastAsia="Times New Roman" w:hAnsi="Times New Roman"/>
          <w:sz w:val="19"/>
          <w:szCs w:val="19"/>
          <w:color w:val="auto"/>
        </w:rPr>
        <w:t>. You and the Company agree that, in connection with the performance of your corporate development role, and in light of your reduced time commitment to Navitas, your activities after the Effective Date may result in the identification or discovery of investment or business opportunities that may be of possible interest to</w:t>
      </w:r>
    </w:p>
    <w:p>
      <w:pPr>
        <w:ind w:left="240" w:hanging="232"/>
        <w:spacing w:after="0"/>
        <w:tabs>
          <w:tab w:leader="none" w:pos="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Navitas (whether or not such opportunities are of the type or character that are within the scope of, or involve a business similar to or</w:t>
      </w:r>
    </w:p>
    <w:p>
      <w:pPr>
        <w:spacing w:after="0" w:line="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competitive with, Navitas’ businesses) and/or (ii) you in your individual personal capacity (including entities or ventures in which you may be involved by virtue of this Section 9) (any of which, an “Opportunity”). In the event you identify, discover or otherwise become aware of an Opportunity which involves designing, developing, manufacturing or having manufactured, marketing, distributing or selling silicon carbide (“SiC”)-based or gallium nitride (“GaN”)-based discrete or integrated power devices that operate under 100MHz operating frequency (a “Covered Opportunity”), whether such discovery or awareness results from the performance of your corporate development role with the Company or as a result of your individual activities, the following clauses (a)-(d) will apply.</w:t>
      </w:r>
    </w:p>
    <w:p>
      <w:pPr>
        <w:spacing w:after="0" w:line="194" w:lineRule="exact"/>
        <w:rPr>
          <w:sz w:val="20"/>
          <w:szCs w:val="20"/>
          <w:color w:val="auto"/>
        </w:rPr>
      </w:pPr>
    </w:p>
    <w:p>
      <w:pPr>
        <w:ind w:left="660" w:right="1160" w:firstLine="644"/>
        <w:spacing w:after="0" w:line="269" w:lineRule="auto"/>
        <w:tabs>
          <w:tab w:leader="none" w:pos="19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not engage in substantive discussions, or enter into any binding or non-binding agreement or understanding relating, directly or indirectly, to the evaluation or</w:t>
      </w:r>
    </w:p>
    <w:p>
      <w:pPr>
        <w:sectPr>
          <w:pgSz w:w="11900" w:h="16838" w:orient="portrait"/>
          <w:cols w:equalWidth="0" w:num="1">
            <w:col w:w="11220"/>
          </w:cols>
          <w:pgMar w:left="320" w:top="13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Ranbir Singh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60"/>
        <w:spacing w:after="0" w:line="269" w:lineRule="auto"/>
        <w:rPr>
          <w:sz w:val="20"/>
          <w:szCs w:val="20"/>
          <w:color w:val="auto"/>
        </w:rPr>
      </w:pPr>
      <w:r>
        <w:rPr>
          <w:rFonts w:ascii="Times New Roman" w:cs="Times New Roman" w:eastAsia="Times New Roman" w:hAnsi="Times New Roman"/>
          <w:sz w:val="19"/>
          <w:szCs w:val="19"/>
          <w:color w:val="auto"/>
        </w:rPr>
        <w:t xml:space="preserve">assessment of, due diligence review of, valuation of, investment in (including the identification of potential investors), acquisition of all or any part of the equity or assets of, employment with or service to, or joint venture or other form of collaboration or partnership with, any Covered Opportunity unless, prior to doing so, you have informed the third party(ies) having authority and power over the completion of such Covered Opportunity of the existence and nature of your obligations to the Company under this Section 9. Your compliance in good faith with the preceding sentence, by itself (and without disclosure of Confidential Information (as defined in Section 10)), will not be a breach of Section 10 or require you to disclose the applicable Covered Opportunity to the Company,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in each case that you fully comply with your other obligations below and otherwise under this Agreement.</w:t>
      </w:r>
    </w:p>
    <w:p>
      <w:pPr>
        <w:spacing w:after="0" w:line="162" w:lineRule="exact"/>
        <w:rPr>
          <w:sz w:val="20"/>
          <w:szCs w:val="20"/>
          <w:color w:val="auto"/>
        </w:rPr>
      </w:pPr>
    </w:p>
    <w:p>
      <w:pPr>
        <w:ind w:left="660" w:firstLine="644"/>
        <w:spacing w:after="0" w:line="251" w:lineRule="auto"/>
        <w:tabs>
          <w:tab w:leader="none" w:pos="194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an initial disclosure permitted by clause (a), you shall not engage in further discussions or any of the activities of the kind set forth in clause (a) with respect to such (or any other) Covered Opportunity unless, prior to doing so, you provide written notice of the Covered Opportunity to the CEO of the Company and provide the Company with a reasonable opportunity to discuss the Covered Opportunity with you and/or such other interested parties, as the Company may determine within 10 days after receiving such notice. The Company shall have no right of first refusal, right of first offer or any other right or obligation in relation to the Covered Opportunity, except for such right to notice from you and such opportunity to discuss without obligation by the Company or any other party. If, pursuant to any contractual, fiduciary, professional or other obligation or duty owed to any third party, you are prohibited or restricted from providing the notice to the Company and/or opportunity to discuss in accordance with this clause (b), then you shall not further discuss or undertake any of the activities set forth in clause (a) in connection with such (or any other) Covered Opportunity, directly or indirectly. The Company shall treat all communications under this clause (b) as confidential and shall not disclose them to any other person or entity except as permitted by you or the applicable interested parties or as required by law.</w:t>
      </w:r>
    </w:p>
    <w:p>
      <w:pPr>
        <w:spacing w:after="0" w:line="178" w:lineRule="exact"/>
        <w:rPr>
          <w:rFonts w:ascii="Times New Roman" w:cs="Times New Roman" w:eastAsia="Times New Roman" w:hAnsi="Times New Roman"/>
          <w:sz w:val="20"/>
          <w:szCs w:val="20"/>
          <w:color w:val="auto"/>
        </w:rPr>
      </w:pPr>
    </w:p>
    <w:p>
      <w:pPr>
        <w:ind w:left="660" w:right="40" w:firstLine="644"/>
        <w:spacing w:after="0" w:line="257" w:lineRule="auto"/>
        <w:tabs>
          <w:tab w:leader="none" w:pos="19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NVTS and its affiliates do not pursue for any reason any Covered Opportunity as to which you have fully complied with your obligations under clause (b), then, solely with regard to your participation in such Covered Opportunity, as and to the extent disclosed in the notice provided under clause (b), NVTS shall waive compliance with your obligations (your “Non-Compete Agreement”) pursuant to Section 6.7(a) of the Agreement and Plan of Merger among NVTS, GeneSiC Semiconductor Inc., you and the other parties thereto, dated August 15, 2022 (the “Merger Agreement”).</w:t>
      </w:r>
    </w:p>
    <w:p>
      <w:pPr>
        <w:spacing w:after="0" w:line="172" w:lineRule="exact"/>
        <w:rPr>
          <w:rFonts w:ascii="Times New Roman" w:cs="Times New Roman" w:eastAsia="Times New Roman" w:hAnsi="Times New Roman"/>
          <w:sz w:val="20"/>
          <w:szCs w:val="20"/>
          <w:color w:val="auto"/>
        </w:rPr>
      </w:pPr>
    </w:p>
    <w:p>
      <w:pPr>
        <w:ind w:left="660" w:right="60" w:firstLine="644"/>
        <w:spacing w:after="0" w:line="266" w:lineRule="auto"/>
        <w:tabs>
          <w:tab w:leader="none" w:pos="1944"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your compliance with Section 10 and the other provisions of this Agreement, and notwithstanding any provision of your Non-Compete Agreement to the contrary (i) you will not be restricted from pursuing Opportunities other than Covered Opportunities (“Non-Covered Opportunities”), either alone or in conjunction with others and will have no obligation to disclose Non-Covered Opportunities to the Company; and, further, (ii) you will not be in violation of your Non-Compete Agreement solely because you become affiliated with an entity (e.g., a private equity firm) that is pursuing, considering or investing in Covered Opportunities,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you or your affiliates (other than such entity) do not invest in, participate in the management or direction of, or advise or review any proprietary or confidential information concerning, such Covered Opportunities. Without limitation, Non-Covered Opportunities include Opportunities involving SiC- and/or GaN-based devices that are solely:</w:t>
      </w:r>
    </w:p>
    <w:p>
      <w:pPr>
        <w:sectPr>
          <w:pgSz w:w="11900" w:h="16838" w:orient="portrait"/>
          <w:cols w:equalWidth="0" w:num="1">
            <w:col w:w="11220"/>
          </w:cols>
          <w:pgMar w:left="320" w:top="13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Ranbir Singh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0" w:hanging="648"/>
        <w:spacing w:after="0"/>
        <w:tabs>
          <w:tab w:leader="none" w:pos="260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in a circuit switching at greater than 100MHz (also called radio frequency or RF) power devices;</w:t>
      </w:r>
    </w:p>
    <w:p>
      <w:pPr>
        <w:spacing w:after="0" w:line="12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photonic devices;</w:t>
      </w:r>
    </w:p>
    <w:p>
      <w:pPr>
        <w:spacing w:after="0" w:line="10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micro-electromechanical system (MEMS) devices; and</w:t>
      </w:r>
    </w:p>
    <w:p>
      <w:pPr>
        <w:spacing w:after="0" w:line="12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combinations of the foregoing three items.</w:t>
      </w:r>
    </w:p>
    <w:p>
      <w:pPr>
        <w:spacing w:after="0" w:line="107" w:lineRule="exact"/>
        <w:rPr>
          <w:rFonts w:ascii="Times New Roman" w:cs="Times New Roman" w:eastAsia="Times New Roman" w:hAnsi="Times New Roman"/>
          <w:sz w:val="20"/>
          <w:szCs w:val="20"/>
          <w:color w:val="auto"/>
        </w:rPr>
      </w:pPr>
    </w:p>
    <w:p>
      <w:pPr>
        <w:ind w:left="660" w:right="20" w:firstLine="644"/>
        <w:spacing w:after="0" w:line="268" w:lineRule="auto"/>
        <w:tabs>
          <w:tab w:leader="none" w:pos="194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it is not a violation of your Non-Compete Agreement to be a consultant to a business that does not have other business lines that compete with the Business (as defined in the Merger Agreement) even if such business assembles and tests semiconductors for third parties that do compete with the Business.</w:t>
      </w:r>
    </w:p>
    <w:p>
      <w:pPr>
        <w:spacing w:after="0" w:line="161" w:lineRule="exact"/>
        <w:rPr>
          <w:rFonts w:ascii="Times New Roman" w:cs="Times New Roman" w:eastAsia="Times New Roman" w:hAnsi="Times New Roman"/>
          <w:sz w:val="20"/>
          <w:szCs w:val="20"/>
          <w:color w:val="auto"/>
        </w:rPr>
      </w:pPr>
    </w:p>
    <w:p>
      <w:pPr>
        <w:ind w:firstLine="656"/>
        <w:spacing w:after="0" w:line="249" w:lineRule="auto"/>
        <w:tabs>
          <w:tab w:leader="none" w:pos="128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Notwithstanding any provision to the contrary in paragraph 9 above, you shall at all times comply with your obligations to Navitas with respect to the Confidential Information of Navitas. “Confidential Information” means information (including any and all combinations of individual items of information) that Navitas has developed (whether before or after NVTS’ acquisition of GeneSiC Semiconductor Inc.) or will develop, acquire, create, discover or own, that has value in or to its businesses, which is not generally known and which Navitas wishes to maintain as confidential. Confidential Information includes both information disclosed by Navitas to you, and information developed or learned by you during the course of your employment with Navitas, before and after the Effective Date (including before NVTS’ acquisition of GeneSiC Semiconductor Inc.). Confidential Information also includes all information of which the unauthorized disclosure could be detrimental to the interests of Navitas, whether or not such information is identified as Confidential Information. By example, and without limitation, Confidential Information includes any and all non-public information that relates to the actual or anticipated business and/or products, research or development of Navitas, or its technical data, trade secrets, or know-how, including, but not limited to, research, product plans, or other information regarding Navitas’ products or services and markets therefor, customer lists and customers (including, but not limited to, customers of Navitas with which you have become acquainted during the term of your employment). Notwithstanding the foregoing, Confidential Information shall not include any such information which you can establish (i) was publicly known or made generally available prior to the time of disclosure by Navitas to you; (ii) becomes publicly known or made generally available after disclosure by Navitas to you through no wrongful action or omission by you; or (iii) is in your rightful possession, without confidentiality obligations, at the time of disclosure by Navitas as shown by contemporaneous written records; provided that any combination of individual items of information shall not be considered within any of the foregoing exceptions merely because one or more of the individual items are within such exception, unless the combination as a whole is within such exception. You agree that during and after your employment with Navitas, you will hold in the strictest confidence, and take all reasonable precautions to prevent any unauthorized use or disclosure of Confidential Information, and you will not (i) use Confidential Information for any purpose whatsoever other than for the benefit of Navitas in the course of your employment, or (ii) disclose Confidential Information to any third party without the prior written authorization of the CEO of the Company. Prior to disclosure when compelled by applicable law; you shall provide prior written notice to the CEO or General Counsel of the Company. You agree that you obtain no title to any Confidential Information, and that as between Navitas and you, Navitas Group retains all Confidential Information as its sole property. You understand that your obligations under this clause 10 will continue after termination of your employment and will apply regardless of the activities you are permitted to undertake under paragraph 9.</w:t>
      </w:r>
    </w:p>
    <w:p>
      <w:pPr>
        <w:spacing w:after="0" w:line="19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Ranbir Singh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40" w:firstLine="644"/>
        <w:spacing w:after="0" w:line="250" w:lineRule="auto"/>
        <w:tabs>
          <w:tab w:leader="none" w:pos="194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intended to comply with Section 409A of the Internal Revenue Code of 1986, as amended,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and NVTS make no representations that the payments and benefits provided under this Agreement comply with Section 409A and in no event shall the Company or NVTS be liable for all or any portion of any taxes, penalties, interest or other expenses that may be incurred by you on account of non-compliance with Section 409A.</w:t>
      </w:r>
    </w:p>
    <w:p>
      <w:pPr>
        <w:spacing w:after="0" w:line="199" w:lineRule="exact"/>
        <w:rPr>
          <w:rFonts w:ascii="Times New Roman" w:cs="Times New Roman" w:eastAsia="Times New Roman" w:hAnsi="Times New Roman"/>
          <w:sz w:val="20"/>
          <w:szCs w:val="20"/>
          <w:color w:val="auto"/>
        </w:rPr>
      </w:pPr>
    </w:p>
    <w:p>
      <w:pPr>
        <w:ind w:left="660" w:firstLine="644"/>
        <w:spacing w:after="0" w:line="250" w:lineRule="auto"/>
        <w:tabs>
          <w:tab w:leader="none" w:pos="19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clause (a) and notwithstanding any other provision of this Agreement, if any payment or benefit provided to you in connection with termination of employment is determined to constitute “nonqualified deferred compensation” within the meaning of Section 409A that is not exempt from Section 409A as a short-term deferral or otherwise, and you are determined to be a “specified employee” as defined in Section 409A(a)(2)(b)(i), then such payment or benefit shall not be paid until the first payroll date to occur following the six-month anniversary of your termination date (the “Specified Employee Payment Date”) or, if earlier, on the date of your death. The aggregate of any payments that would otherwise have been paid before the Specified Employee Payment Date and interest on such amounts calculated based on the applicable federal rate published by the Internal Revenue Service for the month in which your separation from service occurs shall be paid to you in a lump sum on the Specified Employee Payment Date and thereafter, any remaining payments shall be paid without delay in accordance with their original schedule.</w:t>
      </w:r>
    </w:p>
    <w:p>
      <w:pPr>
        <w:spacing w:after="0" w:line="182" w:lineRule="exact"/>
        <w:rPr>
          <w:rFonts w:ascii="Times New Roman" w:cs="Times New Roman" w:eastAsia="Times New Roman" w:hAnsi="Times New Roman"/>
          <w:sz w:val="20"/>
          <w:szCs w:val="20"/>
          <w:color w:val="auto"/>
        </w:rPr>
      </w:pPr>
    </w:p>
    <w:p>
      <w:pPr>
        <w:ind w:firstLine="656"/>
        <w:spacing w:after="0" w:line="253" w:lineRule="auto"/>
        <w:tabs>
          <w:tab w:leader="none" w:pos="128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Effect on other Agreements</w:t>
      </w:r>
      <w:r>
        <w:rPr>
          <w:rFonts w:ascii="Times New Roman" w:cs="Times New Roman" w:eastAsia="Times New Roman" w:hAnsi="Times New Roman"/>
          <w:sz w:val="20"/>
          <w:szCs w:val="20"/>
          <w:color w:val="auto"/>
        </w:rPr>
        <w:t>. Unless specifically provided herein, this Agreement contains all of the understandings and representations between NVTS, the Company and you relating to the subject matter in this Agreement, as applicable, and supersedes all prior and contemporaneous understandings, discussions, agreements, representations, and warranties, both written and oral, regarding such subject matter. Your employment offer letter dated August 15, 2022 (your “Employment Letter”) is hereby amended to the extent necessary to give effect to the terms of this Agreement, but in all other respects shall remain unchanged and in full force and effect. Nothing in this Agreement modifies, supersedes, voids, or otherwise alters the Merger Agreement, the Registration Rights Agreement, the Equity Plan, your LTIP Award agreement or the Severance Plan, each of which shall remain in full force and effect in accordance with its terms.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1200"/>
          </w:cols>
          <w:pgMar w:left="320" w:top="130"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Ranbir Singh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indicate your agreement to the foregoing terms and conditions by signing where indicated below.</w:t>
      </w:r>
    </w:p>
    <w:p>
      <w:pPr>
        <w:spacing w:after="0" w:line="29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Yours truly,</w:t>
      </w:r>
    </w:p>
    <w:p>
      <w:pPr>
        <w:spacing w:after="0" w:line="17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NAVITAS SEMICONDUCTOR USA, INC.</w:t>
      </w:r>
    </w:p>
    <w:p>
      <w:pPr>
        <w:spacing w:after="0" w:line="162"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31115</wp:posOffset>
            </wp:positionV>
            <wp:extent cx="31718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Gene Sheridan</w:t>
      </w:r>
    </w:p>
    <w:p>
      <w:pPr>
        <w:spacing w:after="0" w:line="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President and CEO</w:t>
      </w:r>
    </w:p>
    <w:p>
      <w:pPr>
        <w:spacing w:after="0" w:line="200" w:lineRule="exact"/>
        <w:rPr>
          <w:sz w:val="20"/>
          <w:szCs w:val="20"/>
          <w:color w:val="auto"/>
        </w:rPr>
      </w:pPr>
    </w:p>
    <w:p>
      <w:pPr>
        <w:spacing w:after="0" w:line="245"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20"/>
          <w:szCs w:val="20"/>
          <w:color w:val="auto"/>
        </w:rPr>
        <w:t>NAVITAS SEMICONDUCTOR CORPORATION</w:t>
      </w:r>
    </w:p>
    <w:p>
      <w:pPr>
        <w:spacing w:after="0" w:line="33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31115</wp:posOffset>
            </wp:positionV>
            <wp:extent cx="31718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Gene Sheridan</w:t>
      </w:r>
    </w:p>
    <w:p>
      <w:pPr>
        <w:spacing w:after="0" w:line="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3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/s/ Ranbir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22860</wp:posOffset>
            </wp:positionV>
            <wp:extent cx="26142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Ranbir Singh</w:t>
      </w:r>
    </w:p>
    <w:p>
      <w:pPr>
        <w:sectPr>
          <w:pgSz w:w="11900" w:h="16838" w:orient="portrait"/>
          <w:cols w:equalWidth="0" w:num="1">
            <w:col w:w="10139"/>
          </w:cols>
          <w:pgMar w:left="320" w:top="130"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2024,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2024</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4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1480" w:type="dxa"/>
            <w:vAlign w:val="bottom"/>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27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4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Janet Chou, certify that:</w:t>
      </w:r>
    </w:p>
    <w:p>
      <w:pPr>
        <w:spacing w:after="0" w:line="15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2024,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4720" w:val="left"/>
        </w:tabs>
        <w:rPr>
          <w:sz w:val="20"/>
          <w:szCs w:val="20"/>
          <w:color w:val="auto"/>
        </w:rPr>
      </w:pPr>
      <w:r>
        <w:rPr>
          <w:rFonts w:ascii="Times New Roman" w:cs="Times New Roman" w:eastAsia="Times New Roman" w:hAnsi="Times New Roman"/>
          <w:sz w:val="18"/>
          <w:szCs w:val="18"/>
          <w:color w:val="auto"/>
        </w:rPr>
        <w:t>Date: August 5, 2024</w:t>
      </w:r>
      <w:r>
        <w:rPr>
          <w:sz w:val="20"/>
          <w:szCs w:val="20"/>
          <w:color w:val="auto"/>
        </w:rPr>
        <w:tab/>
      </w:r>
      <w:r>
        <w:rPr>
          <w:rFonts w:ascii="Times New Roman" w:cs="Times New Roman" w:eastAsia="Times New Roman" w:hAnsi="Times New Roman"/>
          <w:sz w:val="17"/>
          <w:szCs w:val="17"/>
          <w:u w:val="single" w:color="auto"/>
          <w:color w:val="auto"/>
        </w:rPr>
        <w:t>/s/ Janet Chou</w:t>
      </w:r>
    </w:p>
    <w:p>
      <w:pPr>
        <w:ind w:left="4740"/>
        <w:spacing w:after="0" w:line="205" w:lineRule="auto"/>
        <w:rPr>
          <w:sz w:val="20"/>
          <w:szCs w:val="20"/>
          <w:color w:val="auto"/>
        </w:rPr>
      </w:pPr>
      <w:r>
        <w:rPr>
          <w:rFonts w:ascii="Times New Roman" w:cs="Times New Roman" w:eastAsia="Times New Roman" w:hAnsi="Times New Roman"/>
          <w:sz w:val="18"/>
          <w:szCs w:val="18"/>
          <w:color w:val="auto"/>
        </w:rPr>
        <w:t>Janet Chou</w:t>
      </w:r>
    </w:p>
    <w:p>
      <w:pPr>
        <w:ind w:left="4740"/>
        <w:spacing w:after="0" w:line="204"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4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the undersigned’s capacity as an officer of Navitas Semiconductor Corporation (“Navitas”), that, to his or her knowledge, Navitas’ quarterly report on Form 10-Q for the period ended June 30, 2024, fully complies with the requirements of Section 13(a) of the Securities Exchange Act of 1934 and that the information contained in such report fairly presents, in all material respects, the financial condition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2024</w:t>
            </w: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472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332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46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2024</w:t>
            </w: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Janet Chou</w:t>
            </w:r>
          </w:p>
        </w:tc>
      </w:tr>
      <w:tr>
        <w:trPr>
          <w:trHeight w:val="151"/>
        </w:trPr>
        <w:tc>
          <w:tcPr>
            <w:tcW w:w="4720" w:type="dxa"/>
            <w:vAlign w:val="bottom"/>
          </w:tcPr>
          <w:p>
            <w:pPr>
              <w:spacing w:after="0"/>
              <w:rPr>
                <w:sz w:val="13"/>
                <w:szCs w:val="13"/>
                <w:color w:val="auto"/>
              </w:rPr>
            </w:pPr>
          </w:p>
        </w:tc>
        <w:tc>
          <w:tcPr>
            <w:tcW w:w="10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Janet Chou</w:t>
            </w:r>
          </w:p>
        </w:tc>
        <w:tc>
          <w:tcPr>
            <w:tcW w:w="3580" w:type="dxa"/>
            <w:vAlign w:val="bottom"/>
            <w:gridSpan w:val="2"/>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46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r>
        <w:trPr>
          <w:trHeight w:val="234"/>
        </w:trPr>
        <w:tc>
          <w:tcPr>
            <w:tcW w:w="47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1"/>
    </w:lvl>
    <w:lvl w:ilvl="1">
      <w:lvlJc w:val="left"/>
      <w:lvlText w:val="¹"/>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lvl w:ilvl="1">
      <w:lvlJc w:val="left"/>
      <w:lvlText w:val="(%2)"/>
      <w:numFmt w:val="lowerLetter"/>
      <w:start w:val="1"/>
    </w:lvl>
  </w:abstractNum>
  <w:abstractNum w:abstractNumId="7">
    <w:nsid w:val="109CF92E"/>
    <w:multiLevelType w:val="hybridMultilevel"/>
    <w:lvl w:ilvl="0">
      <w:lvlJc w:val="left"/>
      <w:lvlText w:val="%1."/>
      <w:numFmt w:val="decimal"/>
      <w:start w:val="4"/>
    </w:lvl>
  </w:abstractNum>
  <w:abstractNum w:abstractNumId="8">
    <w:nsid w:val="DED7263"/>
    <w:multiLevelType w:val="hybridMultilevel"/>
    <w:lvl w:ilvl="0">
      <w:lvlJc w:val="left"/>
      <w:lvlText w:val="%1"/>
      <w:numFmt w:val="lowerRoman"/>
      <w:start w:val="1"/>
    </w:lvl>
    <w:lvl w:ilvl="1">
      <w:lvlJc w:val="left"/>
      <w:lvlText w:val="%2."/>
      <w:numFmt w:val="decimal"/>
      <w:start w:val="8"/>
    </w:lvl>
  </w:abstractNum>
  <w:abstractNum w:abstractNumId="9">
    <w:nsid w:val="7FDCC233"/>
    <w:multiLevelType w:val="hybridMultilevel"/>
    <w:lvl w:ilvl="0">
      <w:lvlJc w:val="left"/>
      <w:lvlText w:val="(%1)"/>
      <w:numFmt w:val="lowerRoman"/>
      <w:start w:val="1"/>
    </w:lvl>
    <w:lvl w:ilvl="1">
      <w:lvlJc w:val="left"/>
      <w:lvlText w:val="%2"/>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4E6AFB6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4">
    <w:nsid w:val="25E45D3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2"/>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2024-08-05T16:23:02Z</dcterms:created>
  <dcterms:modified xsi:type="dcterms:W3CDTF">2024-08-05T16:23:02Z</dcterms:modified>
</cp:coreProperties>
</file>