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180" w:after="283"/>
        <w:jc w:val="left"/>
        <w:rPr>
          <w:rFonts w:ascii="Times New Roman;sans-serif" w:hAnsi="Times New Roman;sans-serif"/>
          <w:b/>
          <w:color w:val="000000"/>
          <w:sz w:val="24"/>
        </w:rPr>
      </w:pPr>
      <w:r>
        <w:rPr>
          <w:rFonts w:ascii="Times New Roman;sans-serif" w:hAnsi="Times New Roman;sans-serif"/>
          <w:b/>
          <w:color w:val="000000"/>
          <w:sz w:val="24"/>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quarterly period ended June 30, 2023</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 to ______</w:t>
      </w:r>
    </w:p>
    <w:p>
      <w:pPr>
        <w:pStyle w:val="TextBody"/>
        <w:bidi w:val="0"/>
        <w:spacing w:lineRule="auto" w:line="288" w:before="180" w:after="283"/>
        <w:jc w:val="center"/>
        <w:rPr/>
      </w:pPr>
      <w:r>
        <w:rPr>
          <w:rFonts w:ascii="Times New Roman;sans-serif" w:hAnsi="Times New Roman;sans-serif"/>
          <w:b w:val="false"/>
          <w:color w:val="000000"/>
          <w:sz w:val="24"/>
        </w:rPr>
        <w:t>Commission file number:</w:t>
      </w:r>
      <w:r>
        <w:rPr>
          <w:color w:val="000000"/>
        </w:rPr>
        <w:t xml:space="preserve"> </w:t>
      </w:r>
      <w:r>
        <w:rPr>
          <w:rFonts w:ascii="Times New Roman;sans-serif" w:hAnsi="Times New Roman;sans-serif"/>
          <w:b/>
          <w:color w:val="000000"/>
          <w:sz w:val="24"/>
        </w:rPr>
        <w:t>001-39755</w:t>
      </w:r>
    </w:p>
    <w:p>
      <w:pPr>
        <w:pStyle w:val="TextBody"/>
        <w:bidi w:val="0"/>
        <w:spacing w:before="120" w:after="283"/>
        <w:jc w:val="center"/>
        <w:rPr/>
      </w:pPr>
      <w:r>
        <w:rPr/>
        <w:drawing>
          <wp:inline distT="0" distB="0" distL="0" distR="0">
            <wp:extent cx="1905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00050"/>
                    </a:xfrm>
                    <a:prstGeom prst="rect">
                      <a:avLst/>
                    </a:prstGeom>
                  </pic:spPr>
                </pic:pic>
              </a:graphicData>
            </a:graphic>
          </wp:inline>
        </w:drawing>
      </w:r>
    </w:p>
    <w:p>
      <w:pPr>
        <w:pStyle w:val="TextBody"/>
        <w:bidi w:val="0"/>
        <w:spacing w:lineRule="auto" w:line="288" w:before="120" w:after="283"/>
        <w:jc w:val="center"/>
        <w:rPr>
          <w:rFonts w:ascii="Calibri;sans-serif" w:hAnsi="Calibri;sans-serif"/>
          <w:b/>
          <w:color w:val="000000"/>
          <w:sz w:val="36"/>
        </w:rPr>
      </w:pPr>
      <w:r>
        <w:rPr>
          <w:rFonts w:ascii="Calibri;sans-serif" w:hAnsi="Calibri;sans-serif"/>
          <w:b/>
          <w:color w:val="000000"/>
          <w:sz w:val="36"/>
        </w:rPr>
        <w:t>Navitas Semiconductor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065" w:type="dxa"/>
        <w:jc w:val="left"/>
        <w:tblInd w:w="0" w:type="dxa"/>
        <w:tblLayout w:type="fixed"/>
        <w:tblCellMar>
          <w:top w:w="28" w:type="dxa"/>
          <w:left w:w="28" w:type="dxa"/>
          <w:bottom w:w="28" w:type="dxa"/>
          <w:right w:w="28" w:type="dxa"/>
        </w:tblCellMar>
      </w:tblPr>
      <w:tblGrid>
        <w:gridCol w:w="630"/>
        <w:gridCol w:w="553"/>
        <w:gridCol w:w="553"/>
        <w:gridCol w:w="553"/>
        <w:gridCol w:w="553"/>
        <w:gridCol w:w="574"/>
        <w:gridCol w:w="438"/>
        <w:gridCol w:w="438"/>
        <w:gridCol w:w="773"/>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ind w:left="0" w:right="0" w:firstLine="60"/>
              <w:jc w:val="left"/>
              <w:rPr>
                <w:sz w:val="4"/>
                <w:szCs w:val="4"/>
              </w:rPr>
            </w:pPr>
            <w:r>
              <w:rPr>
                <w:sz w:val="4"/>
                <w:szCs w:val="4"/>
              </w:rPr>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85-2560226</w:t>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268"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3520 Challenger Street</w:t>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90503-1640</w:t>
            </w:r>
          </w:p>
        </w:tc>
      </w:tr>
      <w:tr>
        <w:trPr/>
        <w:tc>
          <w:tcPr>
            <w:tcW w:w="17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right"/>
              <w:rPr>
                <w:rFonts w:ascii="Times New Roman;sans-serif" w:hAnsi="Times New Roman;sans-serif"/>
                <w:b/>
                <w:color w:val="000000"/>
                <w:sz w:val="20"/>
              </w:rPr>
            </w:pPr>
            <w:r>
              <w:rPr>
                <w:rFonts w:ascii="Times New Roman;sans-serif" w:hAnsi="Times New Roman;sans-serif"/>
                <w:b/>
                <w:color w:val="000000"/>
                <w:sz w:val="20"/>
              </w:rPr>
              <w:t>Torrance,</w:t>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16"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(844) 654-2642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814" w:type="dxa"/>
        <w:jc w:val="left"/>
        <w:tblInd w:w="0" w:type="dxa"/>
        <w:tblLayout w:type="fixed"/>
        <w:tblCellMar>
          <w:top w:w="28" w:type="dxa"/>
          <w:left w:w="28" w:type="dxa"/>
          <w:bottom w:w="28" w:type="dxa"/>
          <w:right w:w="28" w:type="dxa"/>
        </w:tblCellMar>
      </w:tblPr>
      <w:tblGrid>
        <w:gridCol w:w="902"/>
        <w:gridCol w:w="789"/>
        <w:gridCol w:w="799"/>
        <w:gridCol w:w="539"/>
        <w:gridCol w:w="539"/>
        <w:gridCol w:w="541"/>
        <w:gridCol w:w="1085"/>
        <w:gridCol w:w="1085"/>
        <w:gridCol w:w="1535"/>
      </w:tblGrid>
      <w:tr>
        <w:trPr/>
        <w:tc>
          <w:tcPr>
            <w:tcW w:w="90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w:t>
              <w:br/>
              <w:t>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NVTS</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Nasdaq Stock Market LLC</w:t>
            </w:r>
          </w:p>
        </w:tc>
      </w:tr>
    </w:tbl>
    <w:p>
      <w:pPr>
        <w:pStyle w:val="TextBody"/>
        <w:bidi w:val="0"/>
        <w:spacing w:lineRule="auto" w:line="288" w:before="120" w:after="120"/>
        <w:jc w:val="left"/>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097" w:type="dxa"/>
        <w:jc w:val="left"/>
        <w:tblInd w:w="0" w:type="dxa"/>
        <w:tblLayout w:type="fixed"/>
        <w:tblCellMar>
          <w:top w:w="28" w:type="dxa"/>
          <w:left w:w="28" w:type="dxa"/>
          <w:bottom w:w="28" w:type="dxa"/>
          <w:right w:w="28" w:type="dxa"/>
        </w:tblCellMar>
      </w:tblPr>
      <w:tblGrid>
        <w:gridCol w:w="717"/>
        <w:gridCol w:w="630"/>
        <w:gridCol w:w="632"/>
        <w:gridCol w:w="125"/>
        <w:gridCol w:w="125"/>
        <w:gridCol w:w="126"/>
        <w:gridCol w:w="789"/>
        <w:gridCol w:w="789"/>
        <w:gridCol w:w="792"/>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color w:val="000000"/>
              </w:rPr>
            </w:pPr>
            <w:r>
              <w:rPr>
                <w:color w:val="000000"/>
              </w:rPr>
              <w:t>☐</w:t>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rPr/>
        <w:tc>
          <w:tcPr>
            <w:tcW w:w="197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color w:val="000000"/>
              </w:rPr>
            </w:pPr>
            <w:r>
              <w:rPr>
                <w:color w:val="000000"/>
              </w:rPr>
              <w:t>☒</w:t>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0" w:after="0"/>
        <w:jc w:val="right"/>
        <w:rPr/>
      </w:pP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173,719,862 shares of Class A Common Stock and 0 shares of Class B Common Stock were outstanding at August 10,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STATEMENT ABOUT FORWARD-LOOKING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contains forward-looking statements. All statements other than statements of historical facts contained in this quarterly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risks and uncertainties that could cause actual results to differ materially from those in the forward-looking statements, including risks and uncertainties relating to: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financial and business performance;</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realize benefits from the acquisition of GeneSiC Semiconductor Inc. on August 15, 2022, as discussed in our annual report on Form 10-K for the year ended December 31, 2022, including in Part II, Item 1A (“Risk Factors”) therein;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realize the expected benefits of the business combination transaction between the legacy Navitas business and Live Oak Acquisition Corp. II on October 19, 2021, which expected benefits may be affected by, among other things, competition and our ability to grow and manage growth profitably;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changes in our strategy, future operations, financial position, estimated revenues and losses, projected costs, prospects and plans;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product development timeline and expected start of production;</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implementation, market acceptance and success of our business model;</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scale in a cost-effective manner;</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developments relating to our competitors and industry;</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the impact of health epidemics, including the Covid-19 pandemic, on our business and the actions we may take in response thereto;</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obtain and maintain intellectual property protection, and not infringe on the intellectual property rights of others;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transition from our SEC filing status as an “emerging growth company” to a “large accelerated filer” (each as defined by applicable SEC regulations) as of December 31, 2023;</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future capital requirements and sources and uses of cash;</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ability to obtain funding for our operations;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our business, expansion plans and opportunities;</w:t>
      </w:r>
    </w:p>
    <w:p>
      <w:pPr>
        <w:pStyle w:val="TextBody"/>
        <w:bidi w:val="0"/>
        <w:spacing w:lineRule="auto" w:line="288" w:before="120" w:after="120"/>
        <w:ind w:left="0" w:right="0" w:hanging="360"/>
        <w:jc w:val="both"/>
        <w:rPr/>
      </w:pPr>
      <w:r>
        <w:rPr>
          <w:color w:val="000000"/>
        </w:rPr>
        <w:t>•</w:t>
      </w:r>
      <w:r>
        <w:rPr>
          <w:rFonts w:ascii="Times New Roman;sans-serif" w:hAnsi="Times New Roman;sans-serif"/>
          <w:b w:val="false"/>
          <w:color w:val="000000"/>
          <w:sz w:val="20"/>
        </w:rPr>
        <w:t xml:space="preserve">the outcome of any known and unknown litigation and regulatory proceedings;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it is not possible for management to predict all risk factors and uncertainties. As a result of these factors, the forward-looking statements in this quarterly report may not prove to be accurate.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required by applicable law, we do not plan to publicly update or revise any forward-looking statements contained in this quarterly report, whether as a result of any new information, future events, changed circumstances or otherwise. You should read this quarterly report completely, and with the understanding that our actual future results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risk factors provides an overview of many of the risks we are exposed to in the normal course of our business activities. As a result, the following summary does not contain all of the information that may be important to you, and you should read the summary together with the more detailed and complete discussion of risks set forth under the heading “Risk Factors” in Part I, Item 1A of our annual report on Form 10-K and in Part II, Item 1A of this and our other quarterly reports on Form 10</w:t>
        <w:noBreakHyphen/>
        <w:t>Q. Additional risks, beyond those summarized below or discussed elsewhere in this report, may apply to our activities or operations as currently conducted or as we may conduct them in the future or in the markets in which we operate or may in the future operate.</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the foregoing, we are exposed to a variety of risks, including risks associated with the following:</w:t>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Our success and future revenue depend on our ability to achieve design wins and to convince our current and prospective end customers to design our products into their product offerings.</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To date we have been successful in introducing our leading-edge GaN power IC technology in mobile charging applications, such as wall chargers and adapters for mobile phones and laptop computers, and motor drives for home appliances, where we believe we have achieved a market-leading position in GaN power ICs. Growth in demand for our products depends on achieving similar successes in other markets where we believe our technology provides comparable advantages, including consumer electronics, data center, solar and EV. Although we believe we are on track in these efforts, no assurance can be given that we will succeed in similarly displacing legacy silicon solutions in these other target markets.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Our August 2022 acquisition of GeneSiC Semiconductor Inc. (“GeneSiC”) was our first significant acquisition. We have been devoting, and expect to continue to devote, significant time and attention to integrating GeneSiC with our existing operations teams. Given our relatively small size and relative inexperience with acquisitions, we expect to face challenges which present a number of risks to achieving the anticipated benefits of the acquisition. Our revenue, expenses, results of operations and financial condition could be materially adversely affected as a result.</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 xml:space="preserve">Since we have significant operations and revenues in China, our business development plans, results of operations and financial condition may be materially and adversely affected by significant political, social and economic developments in China, including governmental or regulatory changes. </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rely on a single third-party wafer fabrication supplier and facility for the fabrication of semiconductor wafers for GaN ICs and a separate third-party wafer fabrication supplier and facility for the fabrication of semiconductor wafers for SiC MOSFETs, and on a limited number of suppliers of other materials. The failure of any of these facilities or suppliers, or of additional suppliers, to continue to supply wafers or other materials on a timely basis could harm our business and our financial results.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Increased costs of wafers and materials, or shortages in wafers and materials, could increase our costs of operations and our business could be harmed. Raw material price fluctuations can increase the cost of our products, impact our ability to meet end customer commitments, and may adversely affect our results of operations.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are dependent on a limited number of distributors and end customers. The loss of, or a significant disruption in, the relationships with any of these distributors or end customers could significantly reduce our revenue and adversely impact our operating results. In addition, if we are unable to expand or further diversify our end customer base, our business, financial condition, and results of operations could suffer.</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Because we do not have long-term purchase commitments with our end customers, orders may be cancelled, reduced, or rescheduled with little or no notice, which in turn exposes us to inventory risk, and may cause our business, financial results and future prospects to be harmed.</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may experience difficulties in transitioning to new wafer fabrication process technologies or in achieving higher levels of design integration, which may result in reduced manufacturing yields, delays in product deliveries and increased costs.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 xml:space="preserve">From time to time, we may rely on strategic partnerships, joint ventures and alliances for manufacturing and research and development. However, we may not control these partnerships and joint ventures, and actions taken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by any of our partners or the termination of these partnerships or joint ventures could adversely affect our business.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may pursue mergers, acquisitions, investments and joint ventures, which could divert our management’s attention or otherwise disrupt our operations and adversely affect our results of operations.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Tax-Related Risks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Navitas Semiconductor Limited, our principal operating subsidiary (“Legacy Navitas”), is a tax resident of, and is subject to tax in, both the United States and Ireland. While we intend to pursue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Any adjustment to the purchase price of the assets that were transferred pursuant to the restructuring of Legacy Navitas in 2020 could adversely impact our tax position.</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may not be able to adequately protect our intellectual property rights. If we fail to adequately enforce or defend our intellectual property rights, our business may be harmed.</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We may not be able to obtain additional patents and the legal protection afforded by any additional patents may not adequately cover the full scope of our business or permit us to gain or keep competitive advantage.</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If we infringe or misappropriate, or are accused of infringing or misappropriating, the intellectual property rights of third parties, we may incur substantial costs or be prevented from being able to commercialize new products.</w:t>
      </w:r>
    </w:p>
    <w:p>
      <w:pPr>
        <w:pStyle w:val="TextBody"/>
        <w:bidi w:val="0"/>
        <w:spacing w:lineRule="auto" w:line="268" w:before="60" w:after="60"/>
        <w:ind w:left="0" w:right="0" w:hanging="360"/>
        <w:jc w:val="both"/>
        <w:rPr/>
      </w:pPr>
      <w:r>
        <w:rPr>
          <w:color w:val="000000"/>
        </w:rPr>
        <w:t>•</w:t>
      </w:r>
      <w:r>
        <w:rPr>
          <w:rFonts w:ascii="Times New Roman;sans-serif" w:hAnsi="Times New Roman;sans-serif"/>
          <w:b w:val="false"/>
          <w:color w:val="000000"/>
          <w:sz w:val="20"/>
        </w:rPr>
        <w:t>Our ability to design and introduce new products in a timely manner is dependent upon third-party intellectual property, including third-party and “open source” software.</w:t>
      </w:r>
    </w:p>
    <w:p>
      <w:pPr>
        <w:pStyle w:val="TextBody"/>
        <w:bidi w:val="0"/>
        <w:spacing w:before="60" w:after="60"/>
        <w:jc w:val="both"/>
        <w:rPr/>
      </w:pPr>
      <w:r>
        <w:rPr/>
      </w:r>
    </w:p>
    <w:p>
      <w:pPr>
        <w:pStyle w:val="TextBody"/>
        <w:bidi w:val="0"/>
        <w:spacing w:lineRule="auto" w:line="268" w:before="60" w:after="60"/>
        <w:jc w:val="both"/>
        <w:rPr>
          <w:rFonts w:ascii="Times New Roman;sans-serif" w:hAnsi="Times New Roman;sans-serif"/>
          <w:b/>
          <w:color w:val="000000"/>
          <w:sz w:val="20"/>
        </w:rPr>
      </w:pPr>
      <w:r>
        <w:rPr>
          <w:rFonts w:ascii="Times New Roman;sans-serif" w:hAnsi="Times New Roman;sans-serif"/>
          <w:b/>
          <w:color w:val="000000"/>
          <w:sz w:val="20"/>
        </w:rPr>
        <w:t>Risks Related to Owning Our Common Stock</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Concentration of ownership among existing executive officers, directors and their affiliates, including the investment funds they represent, may prevent new investors from influencing significant corporate decisions.</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If securities analysts do not publish research or reports about our business or if they downgrade our stock or our sector, our stock price and trading volume could decline.</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The issuance of additional capital stock in connection with financings, acquisitions, investments, our stock incentive plans or otherwise by us could dilute the ownership and voting power of our stockholders.</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We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pStyle w:val="TextBody"/>
        <w:bidi w:val="0"/>
        <w:spacing w:lineRule="auto" w:line="276" w:before="60" w:after="60"/>
        <w:ind w:left="0" w:right="0" w:hanging="360"/>
        <w:jc w:val="both"/>
        <w:rPr/>
      </w:pPr>
      <w:r>
        <w:rPr>
          <w:color w:val="000000"/>
        </w:rPr>
        <w:t>•</w:t>
      </w:r>
      <w:r>
        <w:rPr>
          <w:rFonts w:ascii="Times New Roman;sans-serif" w:hAnsi="Times New Roman;sans-serif"/>
          <w:b w:val="false"/>
          <w:color w:val="000000"/>
          <w:sz w:val="20"/>
        </w:rPr>
        <w:t>We may issue a substantial number of additional shares under our employee equity incentive plans.</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TABLE OF CONTENTS</w:t>
      </w:r>
    </w:p>
    <w:tbl>
      <w:tblPr>
        <w:tblW w:w="10205" w:type="dxa"/>
        <w:jc w:val="center"/>
        <w:tblInd w:w="0" w:type="dxa"/>
        <w:tblLayout w:type="fixed"/>
        <w:tblCellMar>
          <w:top w:w="28" w:type="dxa"/>
          <w:left w:w="28" w:type="dxa"/>
          <w:bottom w:w="28" w:type="dxa"/>
          <w:right w:w="28" w:type="dxa"/>
        </w:tblCellMar>
      </w:tblPr>
      <w:tblGrid>
        <w:gridCol w:w="269"/>
        <w:gridCol w:w="237"/>
        <w:gridCol w:w="238"/>
        <w:gridCol w:w="3002"/>
        <w:gridCol w:w="2955"/>
        <w:gridCol w:w="2961"/>
        <w:gridCol w:w="158"/>
        <w:gridCol w:w="158"/>
        <w:gridCol w:w="227"/>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E32E1"/>
                <w:sz w:val="20"/>
                <w:u w:val="single"/>
              </w:rPr>
            </w:pPr>
            <w:r>
              <w:rPr>
                <w:rFonts w:ascii="Times New Roman;sans-serif" w:hAnsi="Times New Roman;sans-serif"/>
                <w:b/>
                <w:color w:val="0E32E1"/>
                <w:sz w:val="20"/>
                <w:u w:val="single"/>
              </w:rPr>
              <w:t>Part I - Financial Information</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ab21bc25fdeb4444a85c9489dc9891d8_19">
              <w:r>
                <w:rPr>
                  <w:rStyle w:val="InternetLink"/>
                  <w:rFonts w:ascii="Times New Roman;sans-serif" w:hAnsi="Times New Roman;sans-serif"/>
                  <w:b w:val="false"/>
                  <w:color w:val="0000FF"/>
                  <w:sz w:val="20"/>
                  <w:u w:val="single"/>
                </w:rPr>
                <w:t>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19">
              <w:r>
                <w:rPr>
                  <w:rStyle w:val="InternetLink"/>
                  <w:rFonts w:ascii="Times New Roman;sans-serif" w:hAnsi="Times New Roman;sans-serif"/>
                  <w:b w:val="false"/>
                  <w:strike w:val="false"/>
                  <w:dstrike w:val="false"/>
                  <w:color w:val="0E32E1"/>
                  <w:sz w:val="20"/>
                  <w:u w:val="none"/>
                  <w:effect w:val="none"/>
                </w:rPr>
                <w:t>6</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1bc25fdeb4444a85c9489dc9891d8_22">
              <w:r>
                <w:rPr>
                  <w:rStyle w:val="InternetLink"/>
                  <w:rFonts w:ascii="Times New Roman;sans-serif" w:hAnsi="Times New Roman;sans-serif"/>
                  <w:b w:val="false"/>
                  <w:color w:val="0000FF"/>
                  <w:sz w:val="20"/>
                  <w:u w:val="single"/>
                </w:rPr>
                <w:t>Condensed Consolidated Balance Sheets as of June 30, 2023 and December 31, 2022</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22">
              <w:r>
                <w:rPr>
                  <w:rStyle w:val="InternetLink"/>
                  <w:rFonts w:ascii="Times New Roman;sans-serif" w:hAnsi="Times New Roman;sans-serif"/>
                  <w:b w:val="false"/>
                  <w:strike w:val="false"/>
                  <w:dstrike w:val="false"/>
                  <w:color w:val="0E32E1"/>
                  <w:sz w:val="20"/>
                  <w:u w:val="none"/>
                  <w:effect w:val="none"/>
                </w:rPr>
                <w:t>6</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1bc25fdeb4444a85c9489dc9891d8_25">
              <w:r>
                <w:rPr>
                  <w:rStyle w:val="InternetLink"/>
                  <w:rFonts w:ascii="Times New Roman;sans-serif" w:hAnsi="Times New Roman;sans-serif"/>
                  <w:b w:val="false"/>
                  <w:color w:val="0000FF"/>
                  <w:sz w:val="20"/>
                  <w:u w:val="single"/>
                </w:rPr>
                <w:t>Condensed Consolidated Statements of Operations for the Three and Six Months Ended June 30, 2023 and 2022</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25">
              <w:r>
                <w:rPr>
                  <w:rStyle w:val="InternetLink"/>
                  <w:rFonts w:ascii="Times New Roman;sans-serif" w:hAnsi="Times New Roman;sans-serif"/>
                  <w:b w:val="false"/>
                  <w:strike w:val="false"/>
                  <w:dstrike w:val="false"/>
                  <w:color w:val="0E32E1"/>
                  <w:sz w:val="20"/>
                  <w:u w:val="none"/>
                  <w:effect w:val="none"/>
                </w:rPr>
                <w:t>7</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1bc25fdeb4444a85c9489dc9891d8_28">
              <w:r>
                <w:rPr>
                  <w:rStyle w:val="InternetLink"/>
                  <w:rFonts w:ascii="Times New Roman;sans-serif" w:hAnsi="Times New Roman;sans-serif"/>
                  <w:b w:val="false"/>
                  <w:color w:val="000080"/>
                  <w:sz w:val="20"/>
                  <w:u w:val="single"/>
                </w:rPr>
                <w:t xml:space="preserve">Condensed Consolidated Statements of Comprehensive Income (Loss) for the Three and Six Months Ended </w:t>
              </w:r>
            </w:hyperlink>
            <w:hyperlink w:anchor="iab21bc25fdeb4444a85c9489dc9891d8_25">
              <w:r>
                <w:rPr>
                  <w:rStyle w:val="InternetLink"/>
                  <w:rFonts w:ascii="Times New Roman;sans-serif" w:hAnsi="Times New Roman;sans-serif"/>
                  <w:b w:val="false"/>
                  <w:color w:val="000080"/>
                  <w:sz w:val="20"/>
                  <w:u w:val="single"/>
                </w:rPr>
                <w:t>June</w:t>
              </w:r>
            </w:hyperlink>
            <w:r>
              <w:rPr>
                <w:color w:val="000000"/>
              </w:rPr>
              <w:t xml:space="preserve"> </w:t>
            </w:r>
            <w:hyperlink w:anchor="iab21bc25fdeb4444a85c9489dc9891d8_28">
              <w:r>
                <w:rPr>
                  <w:rStyle w:val="InternetLink"/>
                  <w:rFonts w:ascii="Times New Roman;sans-serif" w:hAnsi="Times New Roman;sans-serif"/>
                  <w:b w:val="false"/>
                  <w:color w:val="0000FF"/>
                  <w:sz w:val="20"/>
                  <w:u w:val="single"/>
                </w:rPr>
                <w:t>30, 2023 and 2022</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28">
              <w:r>
                <w:rPr>
                  <w:rStyle w:val="InternetLink"/>
                  <w:rFonts w:ascii="Times New Roman;sans-serif" w:hAnsi="Times New Roman;sans-serif"/>
                  <w:b w:val="false"/>
                  <w:strike w:val="false"/>
                  <w:dstrike w:val="false"/>
                  <w:color w:val="0E32E1"/>
                  <w:sz w:val="20"/>
                  <w:u w:val="none"/>
                  <w:effect w:val="none"/>
                </w:rPr>
                <w:t>8</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1bc25fdeb4444a85c9489dc9891d8_31">
              <w:r>
                <w:rPr>
                  <w:rStyle w:val="InternetLink"/>
                  <w:rFonts w:ascii="Times New Roman;sans-serif" w:hAnsi="Times New Roman;sans-serif"/>
                  <w:b w:val="false"/>
                  <w:color w:val="000080"/>
                  <w:sz w:val="20"/>
                  <w:u w:val="single"/>
                </w:rPr>
                <w:t xml:space="preserve">Condensed Consolidated Statements of Stockholders’ Equity (Deficit) for the Three and Six Months Ended </w:t>
              </w:r>
            </w:hyperlink>
            <w:hyperlink w:anchor="iab21bc25fdeb4444a85c9489dc9891d8_25">
              <w:r>
                <w:rPr>
                  <w:rStyle w:val="InternetLink"/>
                  <w:rFonts w:ascii="Times New Roman;sans-serif" w:hAnsi="Times New Roman;sans-serif"/>
                  <w:b w:val="false"/>
                  <w:color w:val="000080"/>
                  <w:sz w:val="20"/>
                  <w:u w:val="single"/>
                </w:rPr>
                <w:t>June</w:t>
              </w:r>
            </w:hyperlink>
            <w:hyperlink w:anchor="iab21bc25fdeb4444a85c9489dc9891d8_31">
              <w:r>
                <w:rPr>
                  <w:rStyle w:val="InternetLink"/>
                  <w:rFonts w:ascii="Times New Roman;sans-serif" w:hAnsi="Times New Roman;sans-serif"/>
                  <w:b w:val="false"/>
                  <w:color w:val="000080"/>
                  <w:sz w:val="20"/>
                  <w:u w:val="single"/>
                </w:rPr>
                <w:t xml:space="preserve"> 30, 2023 and 2022</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31">
              <w:r>
                <w:rPr>
                  <w:rStyle w:val="InternetLink"/>
                  <w:rFonts w:ascii="Times New Roman;sans-serif" w:hAnsi="Times New Roman;sans-serif"/>
                  <w:b w:val="false"/>
                  <w:strike w:val="false"/>
                  <w:dstrike w:val="false"/>
                  <w:color w:val="0E32E1"/>
                  <w:sz w:val="20"/>
                  <w:u w:val="none"/>
                  <w:effect w:val="none"/>
                </w:rPr>
                <w:t>9</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1bc25fdeb4444a85c9489dc9891d8_34">
              <w:r>
                <w:rPr>
                  <w:rStyle w:val="InternetLink"/>
                  <w:rFonts w:ascii="Times New Roman;sans-serif" w:hAnsi="Times New Roman;sans-serif"/>
                  <w:b w:val="false"/>
                  <w:color w:val="000080"/>
                  <w:sz w:val="20"/>
                  <w:u w:val="single"/>
                </w:rPr>
                <w:t xml:space="preserve">Condensed Consolidated Statements of Cash Flow for the Six Months Ended </w:t>
              </w:r>
            </w:hyperlink>
            <w:hyperlink w:anchor="iab21bc25fdeb4444a85c9489dc9891d8_25">
              <w:r>
                <w:rPr>
                  <w:rStyle w:val="InternetLink"/>
                  <w:rFonts w:ascii="Times New Roman;sans-serif" w:hAnsi="Times New Roman;sans-serif"/>
                  <w:b w:val="false"/>
                  <w:color w:val="000080"/>
                  <w:sz w:val="20"/>
                  <w:u w:val="single"/>
                </w:rPr>
                <w:t>June</w:t>
              </w:r>
            </w:hyperlink>
            <w:hyperlink w:anchor="iab21bc25fdeb4444a85c9489dc9891d8_34">
              <w:r>
                <w:rPr>
                  <w:rStyle w:val="InternetLink"/>
                  <w:rFonts w:ascii="Times New Roman;sans-serif" w:hAnsi="Times New Roman;sans-serif"/>
                  <w:b w:val="false"/>
                  <w:color w:val="000080"/>
                  <w:sz w:val="20"/>
                  <w:u w:val="single"/>
                </w:rPr>
                <w:t xml:space="preserve"> 30, 2023 and 2022</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34">
              <w:r>
                <w:rPr>
                  <w:rStyle w:val="InternetLink"/>
                  <w:rFonts w:ascii="Times New Roman;sans-serif" w:hAnsi="Times New Roman;sans-serif"/>
                  <w:b w:val="false"/>
                  <w:strike w:val="false"/>
                  <w:dstrike w:val="false"/>
                  <w:color w:val="0E32E1"/>
                  <w:sz w:val="20"/>
                  <w:u w:val="none"/>
                  <w:effect w:val="none"/>
                </w:rPr>
                <w:t>10</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E32E1"/>
                <w:sz w:val="20"/>
                <w:u w:val="single"/>
              </w:rPr>
              <w:t xml:space="preserve">Condensed </w:t>
            </w:r>
            <w:hyperlink w:anchor="iab21bc25fdeb4444a85c9489dc9891d8_37">
              <w:r>
                <w:rPr>
                  <w:rStyle w:val="InternetLink"/>
                  <w:rFonts w:ascii="Times New Roman;sans-serif" w:hAnsi="Times New Roman;sans-serif"/>
                  <w:b w:val="false"/>
                  <w:color w:val="000080"/>
                  <w:sz w:val="20"/>
                  <w:u w:val="single"/>
                </w:rPr>
                <w:t>Notes to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37">
              <w:r>
                <w:rPr>
                  <w:rStyle w:val="InternetLink"/>
                  <w:rFonts w:ascii="Times New Roman;sans-serif" w:hAnsi="Times New Roman;sans-serif"/>
                  <w:b w:val="false"/>
                  <w:strike w:val="false"/>
                  <w:dstrike w:val="false"/>
                  <w:color w:val="0E32E1"/>
                  <w:sz w:val="20"/>
                  <w:u w:val="none"/>
                  <w:effect w:val="none"/>
                </w:rPr>
                <w:t>10</w:t>
              </w:r>
            </w:hyperlink>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1bc25fdeb4444a85c9489dc9891d8_103">
              <w:r>
                <w:rPr>
                  <w:rStyle w:val="InternetLink"/>
                  <w:rFonts w:ascii="Times New Roman;sans-serif" w:hAnsi="Times New Roman;sans-serif"/>
                  <w:b w:val="false"/>
                  <w:color w:val="0000FF"/>
                  <w:sz w:val="20"/>
                  <w:u w:val="single"/>
                </w:rPr>
                <w:t>Management’s Discussion and Analysis of Financial Conditions and Operating Results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103">
              <w:r>
                <w:rPr>
                  <w:rStyle w:val="InternetLink"/>
                  <w:rFonts w:ascii="Times New Roman;sans-serif" w:hAnsi="Times New Roman;sans-serif"/>
                  <w:b w:val="false"/>
                  <w:strike w:val="false"/>
                  <w:dstrike w:val="false"/>
                  <w:color w:val="0E32E1"/>
                  <w:sz w:val="20"/>
                  <w:u w:val="none"/>
                  <w:effect w:val="none"/>
                </w:rPr>
                <w:t>33</w:t>
              </w:r>
            </w:hyperlink>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1bc25fdeb4444a85c9489dc9891d8_139">
              <w:r>
                <w:rPr>
                  <w:rStyle w:val="InternetLink"/>
                  <w:rFonts w:ascii="Times New Roman;sans-serif" w:hAnsi="Times New Roman;sans-serif"/>
                  <w:b w:val="false"/>
                  <w:strike w:val="false"/>
                  <w:dstrike w:val="false"/>
                  <w:color w:val="000000"/>
                  <w:sz w:val="20"/>
                  <w:u w:val="none"/>
                  <w:effect w:val="none"/>
                </w:rPr>
                <w:t>Item 3.</w:t>
              </w:r>
            </w:hyperlink>
          </w:p>
        </w:tc>
        <w:tc>
          <w:tcPr>
            <w:tcW w:w="89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21bc25fdeb4444a85c9489dc9891d8_130">
              <w:r>
                <w:rPr>
                  <w:rStyle w:val="InternetLink"/>
                  <w:rFonts w:ascii="Times New Roman;sans-serif" w:hAnsi="Times New Roman;sans-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130">
              <w:r>
                <w:rPr>
                  <w:rStyle w:val="InternetLink"/>
                  <w:rFonts w:ascii="Times New Roman;sans-serif" w:hAnsi="Times New Roman;sans-serif"/>
                  <w:b w:val="false"/>
                  <w:strike w:val="false"/>
                  <w:dstrike w:val="false"/>
                  <w:color w:val="0E32E1"/>
                  <w:sz w:val="20"/>
                  <w:u w:val="none"/>
                  <w:effect w:val="none"/>
                </w:rPr>
                <w:t>41</w:t>
              </w:r>
            </w:hyperlink>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21bc25fdeb4444a85c9489dc9891d8_133">
              <w:r>
                <w:rPr>
                  <w:rStyle w:val="InternetLink"/>
                  <w:rFonts w:ascii="Times New Roman;sans-serif" w:hAnsi="Times New Roman;sans-serif"/>
                  <w:b w:val="false"/>
                  <w:color w:val="0000FF"/>
                  <w:sz w:val="20"/>
                  <w:u w:val="single"/>
                </w:rPr>
                <w:t>Control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133">
              <w:r>
                <w:rPr>
                  <w:rStyle w:val="InternetLink"/>
                  <w:rFonts w:ascii="Times New Roman;sans-serif" w:hAnsi="Times New Roman;sans-serif"/>
                  <w:b w:val="false"/>
                  <w:strike w:val="false"/>
                  <w:dstrike w:val="false"/>
                  <w:color w:val="0E32E1"/>
                  <w:sz w:val="20"/>
                  <w:u w:val="none"/>
                  <w:effect w:val="none"/>
                </w:rPr>
                <w:t>41</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b21bc25fdeb4444a85c9489dc9891d8_136">
              <w:r>
                <w:rPr>
                  <w:rStyle w:val="InternetLink"/>
                  <w:rFonts w:ascii="Times New Roman;sans-serif" w:hAnsi="Times New Roman;sans-serif"/>
                  <w:b/>
                  <w:color w:val="0000FF"/>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21bc25fdeb4444a85c9489dc9891d8_139">
              <w:r>
                <w:rPr>
                  <w:rStyle w:val="InternetLink"/>
                  <w:rFonts w:ascii="Times New Roman;sans-serif" w:hAnsi="Times New Roman;sans-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139">
              <w:r>
                <w:rPr>
                  <w:rStyle w:val="InternetLink"/>
                  <w:rFonts w:ascii="Times New Roman;sans-serif" w:hAnsi="Times New Roman;sans-serif"/>
                  <w:b w:val="false"/>
                  <w:strike w:val="false"/>
                  <w:dstrike w:val="false"/>
                  <w:color w:val="0E32E1"/>
                  <w:sz w:val="20"/>
                  <w:u w:val="none"/>
                  <w:effect w:val="none"/>
                </w:rPr>
                <w:t>43</w:t>
              </w:r>
            </w:hyperlink>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21bc25fdeb4444a85c9489dc9891d8_142">
              <w:r>
                <w:rPr>
                  <w:rStyle w:val="InternetLink"/>
                  <w:rFonts w:ascii="Times New Roman;sans-serif" w:hAnsi="Times New Roman;sans-serif"/>
                  <w:b w:val="false"/>
                  <w:color w:val="0000FF"/>
                  <w:sz w:val="20"/>
                  <w:u w:val="singl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142">
              <w:r>
                <w:rPr>
                  <w:rStyle w:val="InternetLink"/>
                  <w:rFonts w:ascii="Times New Roman;sans-serif" w:hAnsi="Times New Roman;sans-serif"/>
                  <w:b w:val="false"/>
                  <w:strike w:val="false"/>
                  <w:dstrike w:val="false"/>
                  <w:color w:val="0E32E1"/>
                  <w:sz w:val="20"/>
                  <w:u w:val="none"/>
                  <w:effect w:val="none"/>
                </w:rPr>
                <w:t>43</w:t>
              </w:r>
            </w:hyperlink>
          </w:p>
        </w:tc>
      </w:tr>
      <w:tr>
        <w:trPr/>
        <w:tc>
          <w:tcPr>
            <w:tcW w:w="7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21bc25fdeb4444a85c9489dc9891d8_133">
              <w:r>
                <w:rPr>
                  <w:rStyle w:val="InternetLink"/>
                  <w:rFonts w:ascii="Times New Roman;sans-serif" w:hAnsi="Times New Roman;sans-serif"/>
                  <w:b w:val="false"/>
                  <w:strike w:val="false"/>
                  <w:dstrike w:val="false"/>
                  <w:color w:val="000000"/>
                  <w:sz w:val="20"/>
                  <w:u w:val="none"/>
                  <w:effect w:val="none"/>
                </w:rPr>
                <w:t xml:space="preserve">Item </w:t>
              </w:r>
            </w:hyperlink>
            <w:r>
              <w:rPr>
                <w:rFonts w:ascii="Times New Roman;sans-serif" w:hAnsi="Times New Roman;sans-serif"/>
                <w:b w:val="false"/>
                <w:color w:val="000000"/>
                <w:sz w:val="20"/>
              </w:rPr>
              <w:t>6.</w:t>
            </w:r>
          </w:p>
        </w:tc>
        <w:tc>
          <w:tcPr>
            <w:tcW w:w="89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21bc25fdeb4444a85c9489dc9891d8_148">
              <w:r>
                <w:rPr>
                  <w:rStyle w:val="InternetLink"/>
                  <w:rFonts w:ascii="Times New Roman;sans-serif" w:hAnsi="Times New Roman;sans-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b21bc25fdeb4444a85c9489dc9891d8_148">
              <w:r>
                <w:rPr>
                  <w:rStyle w:val="InternetLink"/>
                  <w:rFonts w:ascii="Times New Roman;sans-serif" w:hAnsi="Times New Roman;sans-serif"/>
                  <w:b w:val="false"/>
                  <w:strike w:val="false"/>
                  <w:dstrike w:val="false"/>
                  <w:color w:val="0E32E1"/>
                  <w:sz w:val="20"/>
                  <w:u w:val="none"/>
                  <w:effect w:val="none"/>
                </w:rPr>
                <w:t>46</w:t>
              </w:r>
            </w:hyperlink>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b21bc25fdeb4444a85c9489dc9891d8_154">
              <w:r>
                <w:rPr>
                  <w:rStyle w:val="InternetLink"/>
                  <w:rFonts w:ascii="Times New Roman;sans-serif" w:hAnsi="Times New Roman;sans-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56" w:before="0" w:after="0"/>
        <w:jc w:val="center"/>
        <w:rPr/>
      </w:pPr>
      <w:r>
        <w:rPr>
          <w:rFonts w:ascii="Times New Roman;sans-serif" w:hAnsi="Times New Roman;sans-serif"/>
          <w:b/>
          <w:color w:val="000000"/>
          <w:sz w:val="20"/>
          <w:shd w:fill="FFFFFF" w:val="clear"/>
        </w:rPr>
        <w:t>PART I</w:t>
      </w:r>
      <w:r>
        <w:rPr>
          <w:color w:val="000000"/>
        </w:rPr>
        <w:t>—</w:t>
      </w:r>
      <w:r>
        <w:rPr>
          <w:rFonts w:ascii="Times New Roman;sans-serif" w:hAnsi="Times New Roman;sans-serif"/>
          <w:b/>
          <w:color w:val="000000"/>
          <w:sz w:val="20"/>
        </w:rPr>
        <w:t>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23"/>
        <w:gridCol w:w="2256"/>
        <w:gridCol w:w="2264"/>
        <w:gridCol w:w="202"/>
        <w:gridCol w:w="758"/>
        <w:gridCol w:w="112"/>
        <w:gridCol w:w="109"/>
        <w:gridCol w:w="109"/>
        <w:gridCol w:w="109"/>
        <w:gridCol w:w="227"/>
        <w:gridCol w:w="854"/>
        <w:gridCol w:w="182"/>
      </w:tblGrid>
      <w:tr>
        <w:trPr/>
        <w:tc>
          <w:tcPr>
            <w:tcW w:w="3023"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 and par value)</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110,337 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(less allowance of $14 and $0)</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142,148 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 OF USE ASSETS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105,620 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161,527 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499,154 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425,262 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expenses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expenses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current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LIABILITY</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115,740 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40,502 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ans-serif" w:hAnsi="Times New Roman;sans-serif"/>
                <w:b w:val="false"/>
                <w:color w:val="000000"/>
                <w:sz w:val="18"/>
              </w:rPr>
              <w:t>Common stock, $0.0001 par value, 750,000,000 shares authorized as of both June 30, 2023 and December 31, 2022, and 173,649,862 and 153,628,838 shares issued and outstanding at June 30, 2023 and December 31, 2022, respectively</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658,530 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535,875 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(275,128)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(154,754)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of Navitas Semiconductor Corporation</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384,760 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499,154 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425,262 </w:t>
            </w:r>
          </w:p>
        </w:tc>
        <w:tc>
          <w:tcPr>
            <w:tcW w:w="1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76"/>
        <w:gridCol w:w="1279"/>
        <w:gridCol w:w="1284"/>
        <w:gridCol w:w="211"/>
        <w:gridCol w:w="753"/>
        <w:gridCol w:w="109"/>
        <w:gridCol w:w="109"/>
        <w:gridCol w:w="109"/>
        <w:gridCol w:w="109"/>
        <w:gridCol w:w="211"/>
        <w:gridCol w:w="721"/>
        <w:gridCol w:w="109"/>
        <w:gridCol w:w="109"/>
        <w:gridCol w:w="109"/>
        <w:gridCol w:w="109"/>
        <w:gridCol w:w="211"/>
        <w:gridCol w:w="858"/>
        <w:gridCol w:w="109"/>
        <w:gridCol w:w="109"/>
        <w:gridCol w:w="109"/>
        <w:gridCol w:w="109"/>
        <w:gridCol w:w="211"/>
        <w:gridCol w:w="826"/>
        <w:gridCol w:w="156"/>
      </w:tblGrid>
      <w:tr>
        <w:trPr/>
        <w:tc>
          <w:tcPr>
            <w:tcW w:w="217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amortization of intangible assets included below)</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(55,008)</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earnout liabilities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other income (expense), net</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168,910 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USED IN NET INCOME (LOSS) PER SHARE ATTRIBUTABLE TO COMMON STOCKHOLDERS:</w:t>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common shares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common shares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04"/>
        <w:gridCol w:w="1386"/>
        <w:gridCol w:w="1328"/>
        <w:gridCol w:w="211"/>
        <w:gridCol w:w="763"/>
        <w:gridCol w:w="109"/>
        <w:gridCol w:w="109"/>
        <w:gridCol w:w="109"/>
        <w:gridCol w:w="109"/>
        <w:gridCol w:w="211"/>
        <w:gridCol w:w="721"/>
        <w:gridCol w:w="109"/>
        <w:gridCol w:w="109"/>
        <w:gridCol w:w="109"/>
        <w:gridCol w:w="109"/>
        <w:gridCol w:w="211"/>
        <w:gridCol w:w="868"/>
        <w:gridCol w:w="109"/>
        <w:gridCol w:w="109"/>
        <w:gridCol w:w="109"/>
        <w:gridCol w:w="109"/>
        <w:gridCol w:w="211"/>
        <w:gridCol w:w="826"/>
        <w:gridCol w:w="157"/>
      </w:tblGrid>
      <w:tr>
        <w:trPr/>
        <w:tc>
          <w:tcPr>
            <w:tcW w:w="200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INCLUDING NONCONTROLLING INTEREST</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w:t>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 ATTRIBUTABLE TO CONTROLLING INTEREST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113,569 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12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1"/>
        <w:gridCol w:w="574"/>
        <w:gridCol w:w="577"/>
        <w:gridCol w:w="308"/>
        <w:gridCol w:w="308"/>
        <w:gridCol w:w="171"/>
        <w:gridCol w:w="109"/>
        <w:gridCol w:w="109"/>
        <w:gridCol w:w="109"/>
        <w:gridCol w:w="181"/>
        <w:gridCol w:w="286"/>
        <w:gridCol w:w="109"/>
        <w:gridCol w:w="109"/>
        <w:gridCol w:w="109"/>
        <w:gridCol w:w="109"/>
        <w:gridCol w:w="181"/>
        <w:gridCol w:w="616"/>
        <w:gridCol w:w="109"/>
        <w:gridCol w:w="109"/>
        <w:gridCol w:w="109"/>
        <w:gridCol w:w="109"/>
        <w:gridCol w:w="181"/>
        <w:gridCol w:w="638"/>
        <w:gridCol w:w="109"/>
        <w:gridCol w:w="109"/>
        <w:gridCol w:w="109"/>
        <w:gridCol w:w="109"/>
        <w:gridCol w:w="347"/>
        <w:gridCol w:w="434"/>
        <w:gridCol w:w="210"/>
        <w:gridCol w:w="109"/>
        <w:gridCol w:w="109"/>
        <w:gridCol w:w="109"/>
        <w:gridCol w:w="262"/>
        <w:gridCol w:w="677"/>
        <w:gridCol w:w="159"/>
        <w:gridCol w:w="109"/>
        <w:gridCol w:w="109"/>
        <w:gridCol w:w="109"/>
        <w:gridCol w:w="181"/>
        <w:gridCol w:w="616"/>
        <w:gridCol w:w="158"/>
      </w:tblGrid>
      <w:tr>
        <w:trPr/>
        <w:tc>
          <w:tcPr>
            <w:tcW w:w="8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 (Deficit)</w:t>
            </w:r>
          </w:p>
        </w:tc>
      </w:tr>
      <w:tr>
        <w:trPr/>
        <w:tc>
          <w:tcPr>
            <w:tcW w:w="20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SIX MONTHS ENDED JUNE 30, 2023</w:t>
            </w:r>
          </w:p>
        </w:tc>
        <w:tc>
          <w:tcPr>
            <w:tcW w:w="1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 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2002" w:type="dxa"/>
            <w:gridSpan w:val="3"/>
            <w:vMerge w:val="continue"/>
            <w:tcBorders/>
            <w:tcMar>
              <w:top w:w="0" w:type="dxa"/>
              <w:left w:w="0" w:type="dxa"/>
              <w:bottom w:w="0" w:type="dxa"/>
              <w:right w:w="0" w:type="dxa"/>
            </w:tcMar>
            <w:vAlign w:val="center"/>
          </w:tcPr>
          <w:p>
            <w:pPr>
              <w:pStyle w:val="Normal"/>
              <w:bidi w:val="0"/>
              <w:jc w:val="left"/>
              <w:rPr/>
            </w:pPr>
            <w:r>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153,629 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535,875 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384,760 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under employee stock option and stock award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in connection with buyout agreement (see Note 18)</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 related to employee and non-employee stock awards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14,884 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(62,365)</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2023</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160,943 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561,193 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(216,601)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344,603 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under employee stock option and stock award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in May 2023 public offering, including underwriter's exercise of option to purchase shares, net of issuance costs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86,459 </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 related to employee and non-employee stock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10,246 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(58,527)</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JUNE 30, 2023</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173,650 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(275,128)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383,414 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25"/>
        <w:gridCol w:w="567"/>
        <w:gridCol w:w="570"/>
        <w:gridCol w:w="308"/>
        <w:gridCol w:w="308"/>
        <w:gridCol w:w="171"/>
        <w:gridCol w:w="109"/>
        <w:gridCol w:w="109"/>
        <w:gridCol w:w="109"/>
        <w:gridCol w:w="181"/>
        <w:gridCol w:w="286"/>
        <w:gridCol w:w="109"/>
        <w:gridCol w:w="109"/>
        <w:gridCol w:w="109"/>
        <w:gridCol w:w="109"/>
        <w:gridCol w:w="181"/>
        <w:gridCol w:w="616"/>
        <w:gridCol w:w="109"/>
        <w:gridCol w:w="109"/>
        <w:gridCol w:w="109"/>
        <w:gridCol w:w="109"/>
        <w:gridCol w:w="181"/>
        <w:gridCol w:w="641"/>
        <w:gridCol w:w="109"/>
        <w:gridCol w:w="109"/>
        <w:gridCol w:w="109"/>
        <w:gridCol w:w="109"/>
        <w:gridCol w:w="303"/>
        <w:gridCol w:w="504"/>
        <w:gridCol w:w="184"/>
        <w:gridCol w:w="109"/>
        <w:gridCol w:w="109"/>
        <w:gridCol w:w="109"/>
        <w:gridCol w:w="294"/>
        <w:gridCol w:w="662"/>
        <w:gridCol w:w="179"/>
        <w:gridCol w:w="109"/>
        <w:gridCol w:w="109"/>
        <w:gridCol w:w="109"/>
        <w:gridCol w:w="181"/>
        <w:gridCol w:w="616"/>
        <w:gridCol w:w="158"/>
      </w:tblGrid>
      <w:tr>
        <w:trPr/>
        <w:tc>
          <w:tcPr>
            <w:tcW w:w="82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Stockholder's Equity (Deficit)</w:t>
            </w:r>
          </w:p>
        </w:tc>
      </w:tr>
      <w:tr>
        <w:trPr/>
        <w:tc>
          <w:tcPr>
            <w:tcW w:w="19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SIX MONTHS ENDED JUNE 30, 2022</w:t>
            </w:r>
          </w:p>
        </w:tc>
        <w:tc>
          <w:tcPr>
            <w:tcW w:w="1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 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962" w:type="dxa"/>
            <w:gridSpan w:val="3"/>
            <w:vMerge w:val="continue"/>
            <w:tcBorders/>
            <w:tcMar>
              <w:top w:w="0" w:type="dxa"/>
              <w:left w:w="0" w:type="dxa"/>
              <w:bottom w:w="0" w:type="dxa"/>
              <w:right w:w="0" w:type="dxa"/>
            </w:tcMar>
            <w:vAlign w:val="center"/>
          </w:tcPr>
          <w:p>
            <w:pPr>
              <w:pStyle w:val="Normal"/>
              <w:bidi w:val="0"/>
              <w:jc w:val="left"/>
              <w:rPr/>
            </w:pPr>
            <w:r>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117,751 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294,190 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(228,667)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65,536 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under employee stock option and stock award plans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2,459 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1,305 </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warrants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29,641 </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 related to employee and non-employee stock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24,072 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79,792 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2022</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123,461 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348,658 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(148,875)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199,736 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under employee stock option and stock award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issued for business acquisition</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1,068 </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 related to employee and non-employee stock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9,723 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33,837 </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 AT JUNE 30, 2022</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125,473 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(115,038)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246,879 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condensed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NAVITAS SEMICONDUCTOR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33" w:type="dxa"/>
        <w:jc w:val="center"/>
        <w:tblInd w:w="0" w:type="dxa"/>
        <w:tblLayout w:type="fixed"/>
        <w:tblCellMar>
          <w:top w:w="28" w:type="dxa"/>
          <w:left w:w="28" w:type="dxa"/>
          <w:bottom w:w="28" w:type="dxa"/>
          <w:right w:w="28" w:type="dxa"/>
        </w:tblCellMar>
      </w:tblPr>
      <w:tblGrid>
        <w:gridCol w:w="2456"/>
        <w:gridCol w:w="2161"/>
        <w:gridCol w:w="2177"/>
        <w:gridCol w:w="211"/>
        <w:gridCol w:w="901"/>
        <w:gridCol w:w="109"/>
        <w:gridCol w:w="109"/>
        <w:gridCol w:w="109"/>
        <w:gridCol w:w="109"/>
        <w:gridCol w:w="211"/>
        <w:gridCol w:w="826"/>
        <w:gridCol w:w="154"/>
      </w:tblGrid>
      <w:tr>
        <w:trPr/>
        <w:tc>
          <w:tcPr>
            <w:tcW w:w="245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discount and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earnout liability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compensation and other expenses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purchases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Joint Venture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Receipts on notes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warrants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in connection stock option exercises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in May 2023 public offering</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May 2023 public offering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long-term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in connection with buyout agreement (see Note 18)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business acquisition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ans-serif" w:hAnsi="Times New Roman;sans-serif"/>
          <w:b w:val="false"/>
          <w:i/>
          <w:color w:val="000000"/>
          <w:sz w:val="20"/>
          <w:shd w:fill="FFFFFF" w:val="clear"/>
        </w:rPr>
        <w:t>The accompanying condensed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2021, Navitas Semiconductor Limited, a private company limited by shares organized under the laws of Ireland (“Navitas Ireland”) and domesticated in the State of Delaware as Navitas Semiconductor Ireland, LLC, a Delaware limited liability company (“Navitas Delaware” and, together with Navitas Ireland, “Legacy Navitas”), entered into a business combination agreement and plan of reorganization (the “Business Combination Agreement” or “BCA”) with Live Oak Acquisition Corp. II, a Delaware corporation (“Live Oak”). Pursuant to the BCA, among other transactions consummated on October 19, 2021 (collectively, the “Business Combination”), Live Oak acquired all of the capital stock of Navitas Ireland (other than the Navitas Ireland Restricted Shares, as defined below) by means of a tender offer, and a wholly owned subsidiary of Live Oak merged with and into Navitas Delaware, with Navitas Delaware surviving the merger. As a result, Legacy Navitas became a wholly owned subsidiary of Live Oak effective October 19, 2021. At the closing of the Business Combination, Live Oak changed its name to Navitas Semiconductor Corporation (“Navitas”).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to the “Company” in these financial statements refer to Legacy Navitas and its predecessors before the consummation of the Business Combination, or to Navitas Semiconductor Corporation and its consolidated subsidiaries after the Business Combination, as the context suggests.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designs, develops and markets next-generation power semiconductors including gallium nitride (“GaN”) power integrated circuits (“ICs”), silicon carbide (“SiC”) and associated high-speed silicon system controllers, and digital isolators used in power conversion and charging. Power supplies incorporating the Company’s products may be used in a wide variety of electronics products including fast chargers for mobile phones and laptops, consumer electronics, data centers, solar inverters and electric vehicles, among numerous other applications. The Company’s products provide superior efficiency, performance, size, cost and sustainability relative to existing silicon technology. The Company presently operates as a product design house that contracts the manufacturing of its chips and packaging to partner suppliers. Navitas maintains its operations around the world, including the United States, </w:t>
      </w:r>
      <w:r>
        <w:rPr>
          <w:rFonts w:ascii="Times New Roman;sans-serif" w:hAnsi="Times New Roman;sans-serif"/>
          <w:b w:val="false"/>
          <w:color w:val="000000"/>
          <w:sz w:val="20"/>
          <w:shd w:fill="FFFFFF" w:val="clear"/>
        </w:rPr>
        <w:t>Ireland, Germany, Italy, Belgium, China, Taiwan, Thailand and the Philippines, with principal executive offices in Torrance, California.</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Reorganization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Navitas Semiconductor USA, Inc. (f/k/a Navitas Semiconductor, Inc., “Navitas U.S.”) was incorporated in the State of Delaware on October 25, 2013. In 2020 Navitas U.S. initiated a restructuring to streamline its worldwide legal entity structure and more efficiently align its business operations (the “Restructuring”). The Restructuring introduced wholly owned subsidiaries in Hong Kong and China as well as the addition of Legacy Navitas, an entity registered in Ireland and the U.S., as the parent of Navitas U.S. and the other Navitas subsidiaries. In connection with the Restructuring, effective September 1, 2020, Legacy Navitas acquired certain intellectual property and other intangible assets from Navitas U.S. and, after the Restructuring, contracts directly with customers. The transfer of intellectual property and other intangible assets by Navitas U.S. to Legacy Navitas in connection with the Restructuring was among entities within the same consolidated group and, as a result, did not result in any gain or loss to the Company. Legacy Navitas is treated as a corporation for U.S. federal income tax purposes and is a tax resident in both Ireland and the United States. See Note 14, Provision for Income Taxes, for more information.</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May 2023 Public Offering</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r>
        <w:rPr>
          <w:color w:val="000000"/>
          <w:shd w:fill="FFFFFF" w:val="clear"/>
        </w:rPr>
        <w:t xml:space="preser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Acquisitions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 June 2022, the Company acquired VDDTECH srl, a Belgian private company, for approximately </w:t>
      </w:r>
      <w:r>
        <w:rPr>
          <w:rFonts w:ascii="Times New Roman;sans-serif" w:hAnsi="Times New Roman;sans-serif"/>
          <w:b w:val="false"/>
          <w:color w:val="000000"/>
          <w:sz w:val="20"/>
        </w:rPr>
        <w:t>$1.9 million in cash and stock</w:t>
      </w:r>
      <w:r>
        <w:rPr>
          <w:rFonts w:ascii="Times New Roman;sans-serif" w:hAnsi="Times New Roman;sans-serif"/>
          <w:b w:val="false"/>
          <w:color w:val="000000"/>
          <w:sz w:val="20"/>
          <w:shd w:fill="FFFFFF" w:val="clear"/>
        </w:rPr>
        <w:t xml:space="preserve">, and in August 2022 the Company acquired GeneSiC for approximately </w:t>
      </w:r>
      <w:r>
        <w:rPr>
          <w:rFonts w:ascii="Times New Roman;sans-serif" w:hAnsi="Times New Roman;sans-serif"/>
          <w:b w:val="false"/>
          <w:color w:val="000000"/>
          <w:sz w:val="20"/>
        </w:rPr>
        <w:t>$246.2 million in cash and stock. S</w:t>
      </w:r>
      <w:r>
        <w:rPr>
          <w:rFonts w:ascii="Times New Roman;sans-serif" w:hAnsi="Times New Roman;sans-serif"/>
          <w:b w:val="false"/>
          <w:color w:val="000000"/>
          <w:sz w:val="20"/>
          <w:shd w:fill="FFFFFF" w:val="clear"/>
        </w:rPr>
        <w:t>ee Note 17, Business Combinations, for more information.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announced an agreement to acquire the remaining minority interest in its silicon control IC joint venture from Halo Microelectronics International Corporation for a purchase price of $22.4 million in Navitas stock. The transaction was completed in February 2023. See Note 18, Noncontrolling Interest, for more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of Consolidation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are prepared in accordance with accounting principles generally accepted in the United States of America (“GAAP”).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three and six months ended June 30, 2023 shown in this report are not necessarily indicative of results to be expected for the full year ending December 31, 2023. In the opinion of the Company’s management, the information contained herein reflects all adjustments, consisting of only normal recurring adjustments, necessary for a fair presentation of the Company’s results of operations, financial position, cash flows and stockholders’ equity (deficit). Certain footnote disclosures normally included in annual consolidated financial statements prepared in accordance with GAAP have been condensed or omitted pursuant to Securities and Exchange Commission (“SEC”) rules and regulations relating to interim financial statements. The accompanying condensed consolidated financial statements should be read in conjunction with consolidated financial statements and notes thereto contained in the Company’s annual report on Form 10-K for the fiscal year ended December 31, 2022, filed with the SEC on April 3, 2023. Except as further described below, there have been no significant changes in the Company’s accounting policies from those disclosed in its Form 10-K filed with the SEC on April 3,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noncontrolling interests of the consolidated entities as a component of equity separate from the Company’s equity. All material intercompany transactions between and among the Company and its consolidated subsidiaries have been eliminated in consolidation. The Company’s net income (loss) excluded income (loss) attributable to the noncontrolling interests. The consolidated financial statements include the accounts of Elevation Semiconductor Inc. (the “Joint Venture”), an entity in which the Company had a controlling interest since August 19, 2022 (see Note 18, Noncontrolling Interest). During the first quarter of fiscal year 2023 the Company acquired the remaining noncontrolling interest in the Joint Venture. The transaction was completed on February 13, 2023. As Navitas already had a controlling interest, financial results from the Joint Venture have already been reflected in Navitas’ historical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liabilities and disclosures of contingent assets and liabilities at the date of the financial statements and the reported amounts of revenues and expenses during the reporting periods. Actual results could differ from those estimates.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an ongoing basis, management evaluates the assumptions used in making estimates, including those related to (i) the collectability of accounts receivable; (ii) write-down for excess and obsolete inventory; (iii) warranty obligations; (iv) the value assigned to and estimated useful lives of long-lived assets; (v) the realization of tax assets and estimates of tax liabilities and tax reserves; (vi) recoverability of intangible assets; (vii) the computation of share-based compensation; (viii) accrued compensation and other expenses; and (ix) the recognition of revenue.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 engages third-party valuation specialists to assist with estimates related to the valuation of intangible assets, stock options, restricted common stock awards, earnout shares and warrants.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estimates often require the selection of appropriate valuation methodologies and models, and significant judgment in evaluating ranges of assumptions and financial inputs.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 AND RECENT ACCOUNTING PRONOUNCEMENTS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shd w:fill="FFFFFF" w:val="clear"/>
        </w:rPr>
        <w:t>Business Combinations</w:t>
      </w:r>
      <w:r>
        <w:rPr>
          <w:color w:val="000000"/>
          <w:shd w:fill="FFFFFF" w:val="clear"/>
        </w:rPr>
        <w:t xml:space="preserve"> </w: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We account for</w:t>
      </w:r>
      <w:r>
        <w:rPr>
          <w:color w:val="000000"/>
        </w:rPr>
        <w:t xml:space="preserve"> </w:t>
      </w:r>
      <w:r>
        <w:rPr>
          <w:rFonts w:ascii="Times New Roman;sans-serif" w:hAnsi="Times New Roman;sans-serif"/>
          <w:b w:val="false"/>
          <w:color w:val="000000"/>
          <w:sz w:val="20"/>
          <w:shd w:fill="FFFFFF" w:val="clear"/>
        </w:rPr>
        <w:t xml:space="preserve">business combinations using the acquisition method of accounting, in accordance with Accounting Standards Codification (“ASC”) </w:t>
      </w:r>
      <w:r>
        <w:rPr>
          <w:rFonts w:ascii="Times New Roman;sans-serif" w:hAnsi="Times New Roman;sans-serif"/>
          <w:b w:val="false"/>
          <w:color w:val="000000"/>
          <w:sz w:val="20"/>
        </w:rPr>
        <w:t>805</w:t>
      </w:r>
      <w:r>
        <w:rPr>
          <w:rFonts w:ascii="Times New Roman;sans-serif" w:hAnsi="Times New Roman;sans-serif"/>
          <w:b w:val="false"/>
          <w:i/>
          <w:color w:val="000000"/>
          <w:sz w:val="20"/>
        </w:rPr>
        <w:t>,</w:t>
      </w:r>
      <w:r>
        <w:rPr>
          <w:color w:val="000000"/>
          <w:shd w:fill="FFFFFF" w:val="clear"/>
        </w:rPr>
        <w:t xml:space="preserve">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shd w:fill="FFFFFF" w:val="clear"/>
        </w:rPr>
        <w:t>. The acquisition method requires identifiable assets acquired and liabilities assumed to be recognized and measured at fair value on the acquisition date, which is the date that the acquirer obtains control of the acquired business. The amount by which the fair value of consideration transferred exceeds the net fair value of assets acquired and liabilities assumed is recorded as goodwill.</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determination of estimated fair value requires us to make significant estimates and assumptions. These fair value determinations require judgment and involve the use of significant estimates and assumptions, including assumptions with respect to future cash inflows and outflows, discount rates, and asset lives, among other items. As a result, we </w:t>
      </w:r>
      <w:r>
        <w:rPr>
          <w:rFonts w:ascii="Times New Roman;sans-serif" w:hAnsi="Times New Roman;sans-serif"/>
          <w:b w:val="false"/>
          <w:color w:val="000000"/>
          <w:sz w:val="20"/>
        </w:rPr>
        <w:t xml:space="preserve">may </w:t>
      </w:r>
      <w:r>
        <w:rPr>
          <w:rFonts w:ascii="Times New Roman;sans-serif" w:hAnsi="Times New Roman;sans-serif"/>
          <w:b w:val="false"/>
          <w:color w:val="000000"/>
          <w:sz w:val="20"/>
          <w:shd w:fill="FFFFFF" w:val="clear"/>
        </w:rPr>
        <w:t xml:space="preserve">record adjustments to the fair values of assets acquired and liabilities assumed within the measurement period (up to </w:t>
      </w:r>
      <w:r>
        <w:rPr>
          <w:rFonts w:ascii="Times New Roman;sans-serif" w:hAnsi="Times New Roman;sans-serif"/>
          <w:b w:val="false"/>
          <w:color w:val="000000"/>
          <w:sz w:val="20"/>
        </w:rPr>
        <w:t>one</w:t>
      </w:r>
      <w:r>
        <w:rPr>
          <w:color w:val="000000"/>
          <w:shd w:fill="FFFFFF" w:val="clear"/>
        </w:rPr>
        <w:t xml:space="preserve"> </w:t>
      </w:r>
      <w:r>
        <w:rPr>
          <w:rFonts w:ascii="Times New Roman;sans-serif" w:hAnsi="Times New Roman;sans-serif"/>
          <w:b w:val="false"/>
          <w:color w:val="000000"/>
          <w:sz w:val="20"/>
          <w:shd w:fill="FFFFFF" w:val="clear"/>
        </w:rPr>
        <w:t>year from the acquisition date) with the corresponding offset to goodwill.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Transaction costs associated with business combinations are expensed as they are incurred.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Valuation of Contingent Consideration Resulting from a Business Combination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 connection with certain acquisitions, we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shd w:fill="FFFFFF" w:val="clear"/>
        </w:rPr>
        <w:t>be required to pay future consideration that is contingent upon the achievement of specified milestone events. We record contingent consideration resulting from a business combination at its fair value on the acquisition date. Each quarter thereafter, we revalue these obligations and record increases or decreases in their fair value within our Condensed Consolidated Statements of Operations until such time as the specified milestone achievement period is complete.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Increases or decreases in fair value of the contingent consideration liabilities can result from updates to assumptions such as the expected timing or probability of achieving the specified milestones. Significant judgment is employed in determining these assumptions as of the acquisition date and for each subsequent period. Updates to assumptions could have a significant impact on our results of operations in any given period. Actual results </w:t>
      </w:r>
      <w:r>
        <w:rPr>
          <w:rFonts w:ascii="Times New Roman;sans-serif" w:hAnsi="Times New Roman;sans-serif"/>
          <w:b w:val="false"/>
          <w:color w:val="000000"/>
          <w:sz w:val="20"/>
        </w:rPr>
        <w:t xml:space="preserve">may </w:t>
      </w:r>
      <w:r>
        <w:rPr>
          <w:rFonts w:ascii="Times New Roman;sans-serif" w:hAnsi="Times New Roman;sans-serif"/>
          <w:b w:val="false"/>
          <w:color w:val="000000"/>
          <w:sz w:val="20"/>
          <w:shd w:fill="FFFFFF" w:val="clear"/>
        </w:rPr>
        <w:t>differ from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Recently Adopted Accounting Standards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Losses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June 2016, the Financial Accounting Standards Board (“FASB”) amended guidance related to impairment of financial instruments as part of ASU 2016-13, </w:t>
      </w:r>
      <w:r>
        <w:rPr>
          <w:rFonts w:ascii="Times New Roman;sans-serif" w:hAnsi="Times New Roman;sans-serif"/>
          <w:b w:val="false"/>
          <w:i/>
          <w:color w:val="000000"/>
          <w:sz w:val="20"/>
        </w:rPr>
        <w:t>Financial Instruments — Credit Losses (Topic 326): Measurement of Credit Losses on Financial Instruments</w:t>
      </w:r>
      <w:r>
        <w:rPr>
          <w:rFonts w:ascii="Times New Roman;sans-serif" w:hAnsi="Times New Roman;sans-serif"/>
          <w:b w:val="false"/>
          <w:color w:val="000000"/>
          <w:sz w:val="20"/>
        </w:rPr>
        <w:t>, which replaced the incurred loss impairment methodology with an expected credit loss model for which a company recognizes an allowance based on the estimate of expected credit loss. This ASU requires entities to measure the impairment of certain financial instruments, including accounts receivable, based on expected losses rather than incurred losses. For companies that qualify under the emerging growth company exemptions, this ASU is effective for fiscal years beginning after December 15, 2022, with early adoption permitted, and is effective for the Company beginning in 2023. The adoption of this guidance did not have a material impact on the Company’s consolidated financial statements and related disclosures.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pool financial assets based on their risk characteristics, which include class of customer, geographic location of the customer, contractual life of the financial asset, and age of the open receivable balance. The allowance for credit losses pool is estimated based on historical credit loss rates adjusted for management’s reasonable and supportable expectations of future economic conditions, which consider macroeconomic, industry and market trends that could impact future credit loss rates. Additions to the allowance are charged to general and administrative expenses in the consolidated statements of operations. Accounts receivables are written off against the allowance when the probability of collection of an account balance is deemed remote.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3. INVENTORY</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Inventory consists of the following (in thousands):</w:t>
      </w:r>
    </w:p>
    <w:tbl>
      <w:tblPr>
        <w:tblW w:w="4450" w:type="dxa"/>
        <w:jc w:val="left"/>
        <w:tblInd w:w="0" w:type="dxa"/>
        <w:tblLayout w:type="fixed"/>
        <w:tblCellMar>
          <w:top w:w="28" w:type="dxa"/>
          <w:left w:w="28" w:type="dxa"/>
          <w:bottom w:w="28" w:type="dxa"/>
          <w:right w:w="28" w:type="dxa"/>
        </w:tblCellMar>
      </w:tblPr>
      <w:tblGrid>
        <w:gridCol w:w="526"/>
        <w:gridCol w:w="463"/>
        <w:gridCol w:w="465"/>
        <w:gridCol w:w="228"/>
        <w:gridCol w:w="779"/>
        <w:gridCol w:w="117"/>
        <w:gridCol w:w="109"/>
        <w:gridCol w:w="109"/>
        <w:gridCol w:w="109"/>
        <w:gridCol w:w="300"/>
        <w:gridCol w:w="1026"/>
        <w:gridCol w:w="219"/>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4. PROPERTY AND EQUIPMENT, NET</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Property and equipment, net consist of the following (in thousands):</w:t>
      </w:r>
    </w:p>
    <w:tbl>
      <w:tblPr>
        <w:tblW w:w="5726" w:type="dxa"/>
        <w:jc w:val="left"/>
        <w:tblInd w:w="0" w:type="dxa"/>
        <w:tblLayout w:type="fixed"/>
        <w:tblCellMar>
          <w:top w:w="28" w:type="dxa"/>
          <w:left w:w="28" w:type="dxa"/>
          <w:bottom w:w="28" w:type="dxa"/>
          <w:right w:w="28" w:type="dxa"/>
        </w:tblCellMar>
      </w:tblPr>
      <w:tblGrid>
        <w:gridCol w:w="988"/>
        <w:gridCol w:w="868"/>
        <w:gridCol w:w="874"/>
        <w:gridCol w:w="253"/>
        <w:gridCol w:w="741"/>
        <w:gridCol w:w="131"/>
        <w:gridCol w:w="109"/>
        <w:gridCol w:w="109"/>
        <w:gridCol w:w="109"/>
        <w:gridCol w:w="332"/>
        <w:gridCol w:w="970"/>
        <w:gridCol w:w="242"/>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other equipment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6,532 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pPr>
      <w:r>
        <w:rPr>
          <w:rFonts w:ascii="Times New Roman;sans-serif" w:hAnsi="Times New Roman;sans-serif"/>
          <w:b w:val="false"/>
          <w:color w:val="000000"/>
          <w:sz w:val="20"/>
          <w:shd w:fill="FFFFFF" w:val="clear"/>
        </w:rPr>
        <w:t>For the three and six months ended June 30, 2023, depreciation expense was $0.5 million and $1.0 million, respectively. For the three and six months ended June 30, 2022, depreciation expense w</w:t>
      </w:r>
      <w:r>
        <w:rPr>
          <w:rFonts w:ascii="Times New Roman;sans-serif" w:hAnsi="Times New Roman;sans-serif"/>
          <w:b w:val="false"/>
          <w:color w:val="000000"/>
          <w:sz w:val="20"/>
        </w:rPr>
        <w:t>as $0.2 million and $0.4 million, respectively, and</w:t>
      </w:r>
      <w:r>
        <w:rPr>
          <w:color w:val="000000"/>
          <w:shd w:fill="FFFFFF" w:val="clear"/>
        </w:rPr>
        <w:t xml:space="preserve"> </w:t>
      </w:r>
      <w:r>
        <w:rPr>
          <w:rFonts w:ascii="Times New Roman;sans-serif" w:hAnsi="Times New Roman;sans-serif"/>
          <w:b w:val="false"/>
          <w:color w:val="000000"/>
          <w:sz w:val="20"/>
          <w:shd w:fill="FFFFFF" w:val="clear"/>
        </w:rPr>
        <w:t>was determined using the straight-line method over the following estimated useful lives:</w:t>
      </w:r>
    </w:p>
    <w:tbl>
      <w:tblPr>
        <w:tblW w:w="3840" w:type="dxa"/>
        <w:jc w:val="left"/>
        <w:tblInd w:w="0" w:type="dxa"/>
        <w:tblLayout w:type="fixed"/>
        <w:tblCellMar>
          <w:top w:w="28" w:type="dxa"/>
          <w:left w:w="28" w:type="dxa"/>
          <w:bottom w:w="28" w:type="dxa"/>
          <w:right w:w="28" w:type="dxa"/>
        </w:tblCellMar>
      </w:tblPr>
      <w:tblGrid>
        <w:gridCol w:w="986"/>
        <w:gridCol w:w="870"/>
        <w:gridCol w:w="874"/>
        <w:gridCol w:w="325"/>
        <w:gridCol w:w="325"/>
        <w:gridCol w:w="460"/>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other equipment</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 — 5 years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 — 5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FAIR VALUE OF FINANCIAL ASSETS AND LIABILITIES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market data, which requires the Company to develop its own assumptions. This hierarchy requires the Company to use observable market data, when available, and to minimize the use of unobservable inputs when determining fair value.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short-term nature of the Company’s cash and cash equivalents, accounts receivable, debt and current liabilities causes each of their carrying values to approximate fair value for all periods present</w:t>
      </w:r>
      <w:r>
        <w:rPr>
          <w:rFonts w:ascii="Times New Roman;sans-serif" w:hAnsi="Times New Roman;sans-serif"/>
          <w:b w:val="false"/>
          <w:color w:val="000000"/>
          <w:sz w:val="20"/>
        </w:rPr>
        <w:t>ed. Cash equivalents classified as Level 1 instruments were $159.3 million and not material as of June 30, 2023 and December 31, 2022,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following table presents the Company’s fair value hierarchy for financial liabilities as of </w:t>
      </w:r>
      <w:r>
        <w:rPr>
          <w:rFonts w:ascii="Times New Roman;sans-serif" w:hAnsi="Times New Roman;sans-serif"/>
          <w:b w:val="false"/>
          <w:color w:val="000000"/>
          <w:sz w:val="20"/>
          <w:shd w:fill="FFFFFF" w:val="clear"/>
        </w:rPr>
        <w:t>June 30, 2023 (in thousands)</w:t>
      </w:r>
      <w:r>
        <w:rPr>
          <w:rFonts w:ascii="Times New Roman;sans-serif" w:hAnsi="Times New Roman;sans-serif"/>
          <w:b w:val="false"/>
          <w:color w:val="000000"/>
          <w:sz w:val="20"/>
        </w:rPr>
        <w:t>:</w:t>
      </w:r>
    </w:p>
    <w:p>
      <w:pPr>
        <w:pStyle w:val="TextBody"/>
        <w:bidi w:val="0"/>
        <w:spacing w:before="0" w:after="0"/>
        <w:jc w:val="left"/>
        <w:rPr/>
      </w:pPr>
      <w:r>
        <w:rPr/>
      </w:r>
    </w:p>
    <w:tbl>
      <w:tblPr>
        <w:tblW w:w="6356"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Company’s fair value hierarchy for financial liabilities as of December 31, 2022 (in thousands):</w:t>
      </w:r>
    </w:p>
    <w:p>
      <w:pPr>
        <w:pStyle w:val="TextBody"/>
        <w:bidi w:val="0"/>
        <w:spacing w:before="0" w:after="0"/>
        <w:jc w:val="left"/>
        <w:rPr/>
      </w:pPr>
      <w:r>
        <w:rPr/>
      </w:r>
    </w:p>
    <w:tbl>
      <w:tblPr>
        <w:tblW w:w="6356"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between the beginning and ending balances of items measured at fair value on a recurring basis that used significant unobservable inputs (Level 3) (in thousands):</w:t>
      </w:r>
    </w:p>
    <w:p>
      <w:pPr>
        <w:pStyle w:val="TextBody"/>
        <w:bidi w:val="0"/>
        <w:spacing w:before="0" w:after="0"/>
        <w:jc w:val="left"/>
        <w:rPr/>
      </w:pPr>
      <w:r>
        <w:rPr/>
      </w:r>
    </w:p>
    <w:tbl>
      <w:tblPr>
        <w:tblW w:w="8530"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1088"/>
        <w:gridCol w:w="3721"/>
        <w:gridCol w:w="800"/>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 Significant Unobservable Inputs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13,064 </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59,976 </w:t>
            </w:r>
          </w:p>
        </w:tc>
        <w:tc>
          <w:tcPr>
            <w:tcW w:w="8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73,040 </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did not transfer any investments between Level 1 and Level 2 of the fair value hierarchy during the three and six months ended June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 GOODWILL AND INTANGIBLES</w: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Goodwill represents the excess of the consideration transferred over the estimated fair value of assets acquired and liabilities assumed in a business combination. Intangible assets are measured at their respective fair values as of the acquisition date and </w:t>
      </w:r>
      <w:r>
        <w:rPr>
          <w:rFonts w:ascii="Times New Roman;sans-serif" w:hAnsi="Times New Roman;sans-serif"/>
          <w:b w:val="false"/>
          <w:color w:val="000000"/>
          <w:sz w:val="20"/>
        </w:rPr>
        <w:t xml:space="preserve">may </w:t>
      </w:r>
      <w:r>
        <w:rPr>
          <w:rFonts w:ascii="Times New Roman;sans-serif" w:hAnsi="Times New Roman;sans-serif"/>
          <w:b w:val="false"/>
          <w:color w:val="000000"/>
          <w:sz w:val="20"/>
          <w:shd w:fill="FFFFFF" w:val="clear"/>
        </w:rPr>
        <w:t xml:space="preserve">be subject to adjustment within the measurement period, which </w:t>
      </w:r>
      <w:r>
        <w:rPr>
          <w:rFonts w:ascii="Times New Roman;sans-serif" w:hAnsi="Times New Roman;sans-serif"/>
          <w:b w:val="false"/>
          <w:color w:val="000000"/>
          <w:sz w:val="20"/>
        </w:rPr>
        <w:t xml:space="preserve">may </w:t>
      </w:r>
      <w:r>
        <w:rPr>
          <w:rFonts w:ascii="Times New Roman;sans-serif" w:hAnsi="Times New Roman;sans-serif"/>
          <w:b w:val="false"/>
          <w:color w:val="000000"/>
          <w:sz w:val="20"/>
          <w:shd w:fill="FFFFFF" w:val="clear"/>
        </w:rPr>
        <w:t xml:space="preserve">be up to </w:t>
      </w:r>
      <w:r>
        <w:rPr>
          <w:rFonts w:ascii="Times New Roman;sans-serif" w:hAnsi="Times New Roman;sans-serif"/>
          <w:b w:val="false"/>
          <w:color w:val="000000"/>
          <w:sz w:val="20"/>
        </w:rPr>
        <w:t>one</w:t>
      </w:r>
      <w:r>
        <w:rPr>
          <w:color w:val="000000"/>
          <w:shd w:fill="FFFFFF" w:val="clear"/>
        </w:rPr>
        <w:t xml:space="preserve"> </w:t>
      </w:r>
      <w:r>
        <w:rPr>
          <w:rFonts w:ascii="Times New Roman;sans-serif" w:hAnsi="Times New Roman;sans-serif"/>
          <w:b w:val="false"/>
          <w:color w:val="000000"/>
          <w:sz w:val="20"/>
          <w:shd w:fill="FFFFFF" w:val="clear"/>
        </w:rPr>
        <w:t xml:space="preserve">year from the acquisition date. Goodwill and indefinite-lived intangible assets are tested for impairment annually, or more frequently if events or changes in circumstances indicate that it is more likely than </w:t>
      </w:r>
      <w:r>
        <w:rPr>
          <w:rFonts w:ascii="Times New Roman;sans-serif" w:hAnsi="Times New Roman;sans-serif"/>
          <w:b w:val="false"/>
          <w:color w:val="000000"/>
          <w:sz w:val="20"/>
        </w:rPr>
        <w:t>not</w:t>
      </w:r>
      <w:r>
        <w:rPr>
          <w:color w:val="000000"/>
          <w:shd w:fill="FFFFFF" w:val="clear"/>
        </w:rPr>
        <w:t xml:space="preserve"> </w:t>
      </w:r>
      <w:r>
        <w:rPr>
          <w:rFonts w:ascii="Times New Roman;sans-serif" w:hAnsi="Times New Roman;sans-serif"/>
          <w:b w:val="false"/>
          <w:color w:val="000000"/>
          <w:sz w:val="20"/>
          <w:shd w:fill="FFFFFF" w:val="clear"/>
        </w:rPr>
        <w:t xml:space="preserve">that the assets are impaired.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Company’s goodwill balance (in thousands):</w:t>
      </w:r>
    </w:p>
    <w:p>
      <w:pPr>
        <w:pStyle w:val="TextBody"/>
        <w:bidi w:val="0"/>
        <w:spacing w:before="0" w:after="0"/>
        <w:ind w:left="0" w:right="0" w:firstLine="540"/>
        <w:jc w:val="left"/>
        <w:rPr/>
      </w:pPr>
      <w:r>
        <w:rPr/>
      </w:r>
    </w:p>
    <w:tbl>
      <w:tblPr>
        <w:tblW w:w="4112" w:type="dxa"/>
        <w:jc w:val="center"/>
        <w:tblInd w:w="0" w:type="dxa"/>
        <w:tblLayout w:type="fixed"/>
        <w:tblCellMar>
          <w:top w:w="28" w:type="dxa"/>
          <w:left w:w="28" w:type="dxa"/>
          <w:bottom w:w="28" w:type="dxa"/>
          <w:right w:w="28" w:type="dxa"/>
        </w:tblCellMar>
      </w:tblPr>
      <w:tblGrid>
        <w:gridCol w:w="939"/>
        <w:gridCol w:w="825"/>
        <w:gridCol w:w="830"/>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Goodwill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17, Business Combinations, for further details.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intangible asset balance by asset class as of June 30, 2023 (in thousands):</w:t>
      </w:r>
    </w:p>
    <w:p>
      <w:pPr>
        <w:pStyle w:val="TextBody"/>
        <w:bidi w:val="0"/>
        <w:spacing w:before="0" w:after="0"/>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864"/>
        <w:gridCol w:w="712"/>
        <w:gridCol w:w="621"/>
        <w:gridCol w:w="109"/>
        <w:gridCol w:w="109"/>
        <w:gridCol w:w="109"/>
        <w:gridCol w:w="211"/>
        <w:gridCol w:w="826"/>
        <w:gridCol w:w="109"/>
        <w:gridCol w:w="109"/>
        <w:gridCol w:w="109"/>
        <w:gridCol w:w="109"/>
        <w:gridCol w:w="325"/>
        <w:gridCol w:w="1215"/>
        <w:gridCol w:w="168"/>
        <w:gridCol w:w="109"/>
        <w:gridCol w:w="109"/>
        <w:gridCol w:w="109"/>
        <w:gridCol w:w="222"/>
        <w:gridCol w:w="871"/>
        <w:gridCol w:w="114"/>
        <w:gridCol w:w="109"/>
        <w:gridCol w:w="109"/>
        <w:gridCol w:w="109"/>
        <w:gridCol w:w="486"/>
        <w:gridCol w:w="486"/>
        <w:gridCol w:w="487"/>
        <w:gridCol w:w="109"/>
        <w:gridCol w:w="109"/>
        <w:gridCol w:w="109"/>
        <w:gridCol w:w="248"/>
        <w:gridCol w:w="248"/>
        <w:gridCol w:w="357"/>
      </w:tblGrid>
      <w:tr>
        <w:trPr/>
        <w:tc>
          <w:tcPr>
            <w:tcW w:w="86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r>
      <w:tr>
        <w:trPr/>
        <w:tc>
          <w:tcPr>
            <w:tcW w:w="21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years</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(11,016)</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42,484 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4-10 years</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years</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(16,849)</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100,847 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Company’s intangible asset balance (in thousands):</w:t>
      </w:r>
    </w:p>
    <w:p>
      <w:pPr>
        <w:pStyle w:val="TextBody"/>
        <w:bidi w:val="0"/>
        <w:spacing w:lineRule="auto" w:line="268" w:before="0" w:after="0"/>
        <w:ind w:left="0" w:right="0" w:firstLine="720"/>
        <w:jc w:val="both"/>
        <w:rPr>
          <w:color w:val="000000"/>
        </w:rPr>
      </w:pPr>
      <w:r>
        <w:rPr>
          <w:color w:val="000000"/>
        </w:rPr>
        <w:t>                </w:t>
      </w:r>
    </w:p>
    <w:tbl>
      <w:tblPr>
        <w:tblW w:w="4600" w:type="dxa"/>
        <w:jc w:val="center"/>
        <w:tblInd w:w="0" w:type="dxa"/>
        <w:tblLayout w:type="fixed"/>
        <w:tblCellMar>
          <w:top w:w="28" w:type="dxa"/>
          <w:left w:w="28" w:type="dxa"/>
          <w:bottom w:w="28" w:type="dxa"/>
          <w:right w:w="28" w:type="dxa"/>
        </w:tblCellMar>
      </w:tblPr>
      <w:tblGrid>
        <w:gridCol w:w="939"/>
        <w:gridCol w:w="825"/>
        <w:gridCol w:w="830"/>
        <w:gridCol w:w="109"/>
        <w:gridCol w:w="109"/>
        <w:gridCol w:w="109"/>
        <w:gridCol w:w="297"/>
        <w:gridCol w:w="1165"/>
        <w:gridCol w:w="217"/>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Assets, net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2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100,847 </w:t>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ans-serif" w:hAnsi="Times New Roman;sans-serif"/>
          <w:b w:val="false"/>
          <w:color w:val="000000"/>
          <w:sz w:val="20"/>
          <w:shd w:fill="FFFFFF" w:val="clear"/>
        </w:rPr>
        <w:t>The amortization expen</w:t>
      </w:r>
      <w:r>
        <w:rPr>
          <w:rFonts w:ascii="Times New Roman;sans-serif" w:hAnsi="Times New Roman;sans-serif"/>
          <w:b w:val="false"/>
          <w:color w:val="000000"/>
          <w:sz w:val="20"/>
        </w:rPr>
        <w:t>se was $4.8 million and $9.3 million for</w:t>
      </w:r>
      <w:r>
        <w:rPr>
          <w:color w:val="000000"/>
          <w:shd w:fill="FFFFFF" w:val="clear"/>
        </w:rPr>
        <w:t xml:space="preserve"> </w:t>
      </w:r>
      <w:r>
        <w:rPr>
          <w:rFonts w:ascii="Times New Roman;sans-serif" w:hAnsi="Times New Roman;sans-serif"/>
          <w:b w:val="false"/>
          <w:color w:val="000000"/>
          <w:sz w:val="20"/>
          <w:shd w:fill="FFFFFF" w:val="clear"/>
        </w:rPr>
        <w:t>the three and six months ended June 30, 2023, respectively. The amortization expense was $0.1 million and $0.2 million for the three and six months ended June 30, 2022,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no impairment charges during the three months ended June 30, 2023 and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7. DEBT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2020, the Company entered into a loan and security agreement with a new bank (the “Term Loan”), which provided for term advances up to $8.0 million. As of June 30, 2023, this loan had been paid in full.</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execution of the Term Loan, the Company issued warrants to the bank (see Note 10, Warrant Liability). The fair value of the warrants at the date of issuance was not material and was recorded as debt discount, subject to amortization using the effective interest rate method over the term of the loan. All warrants were no longer outstanding by December 31, 2022, and amortization of debt discount and issuance costs was not significant any of the three or six months ended June 30, 2023 or 2022. </w:t>
      </w:r>
    </w:p>
    <w:p>
      <w:pPr>
        <w:pStyle w:val="TextBody"/>
        <w:bidi w:val="0"/>
        <w:spacing w:before="240" w:after="283"/>
        <w:ind w:left="0" w:right="0" w:firstLine="54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8. LEASES: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w:t>
      </w:r>
      <w:r>
        <w:rPr>
          <w:rFonts w:ascii="Times New Roman;sans-serif" w:hAnsi="Times New Roman;sans-serif"/>
          <w:b w:val="false"/>
          <w:color w:val="000000"/>
          <w:sz w:val="20"/>
        </w:rPr>
        <w:t>ny has entered into operating leases primarily for commercial buildings. These leases have terms which range from 0.2 to 5.4 years. As of June 30, 2023 no operating lease agreements contain economic penalties for the Company to extend th</w:t>
      </w:r>
      <w:r>
        <w:rPr>
          <w:rFonts w:ascii="Times New Roman;sans-serif" w:hAnsi="Times New Roman;sans-serif"/>
          <w:b w:val="false"/>
          <w:color w:val="000000"/>
          <w:sz w:val="20"/>
          <w:shd w:fill="FFFFFF" w:val="clear"/>
        </w:rPr>
        <w:t>e lease, and it is not reasonably certain the Company will exercise these extension options. Additionally, these operating lease agreements do not contain material residual value guarantees or material restrictive covenants. As of June 30, 2023 all leases recorded on the Company’s consolidated balance sheets were operating leases.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Upon adoption of ASC 842 on January 1, 2022, the Company recorded operating lease assets of $1.6 million and lease liabilities of $1.7 million in the Company’s consolidated balance sheets. The adoption of this standard did not have a material impac</w:t>
      </w:r>
      <w:r>
        <w:rPr>
          <w:rFonts w:ascii="Times New Roman;sans-serif" w:hAnsi="Times New Roman;sans-serif"/>
          <w:b w:val="false"/>
          <w:color w:val="000000"/>
          <w:sz w:val="20"/>
        </w:rPr>
        <w:t>t on retained earnings, the consolidated statements of operations, or cash flows. The Company has made the accounting policy election to use certain ongoing practical expedients made available by ASC 842 to: (i) not separate lease components from non-lea</w:t>
      </w:r>
      <w:r>
        <w:rPr>
          <w:rFonts w:ascii="Times New Roman;sans-serif" w:hAnsi="Times New Roman;sans-serif"/>
          <w:b w:val="false"/>
          <w:color w:val="000000"/>
          <w:sz w:val="20"/>
          <w:shd w:fill="FFFFFF" w:val="clear"/>
        </w:rPr>
        <w:t>se components for real estate; and (ii) exclude leases with an initial term of 12 months or less (“short-term” leases) from the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Rent expense, including short-term lease</w:t>
      </w:r>
      <w:r>
        <w:rPr>
          <w:color w:val="000000"/>
        </w:rPr>
        <w:t xml:space="preserve"> </w:t>
      </w:r>
      <w:r>
        <w:rPr>
          <w:rFonts w:ascii="Times New Roman;sans-serif" w:hAnsi="Times New Roman;sans-serif"/>
          <w:b w:val="false"/>
          <w:color w:val="000000"/>
          <w:sz w:val="20"/>
        </w:rPr>
        <w:t>cost, was $0.5 million and $1.0 million for the three and six months ended June 30, 2023, respectively. Rent expense, including short term lease cost, was $0.4 million and $0.7 million for the three and six months ended June 30, 2022, respectively. In addition to rent payments, the Company’s leases include real estate taxes, common area maintenance, utilities, and management fees, which are not fixed. The Company accounts for these costs as variable payments and does not include such costs as a lease component. Total variable expense was not material for the three and six months ended June 30, 2023 and 2022. There were no leases that had not yet commenced as of June 30, 2023, that will create significant additional rights and obligations for the Company.</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related to the Company right-of-use assets and related operating lease liabilities were as follows (in thousands):</w:t>
      </w:r>
    </w:p>
    <w:p>
      <w:pPr>
        <w:pStyle w:val="TextBody"/>
        <w:bidi w:val="0"/>
        <w:spacing w:before="0" w:after="0"/>
        <w:jc w:val="left"/>
        <w:rPr/>
      </w:pPr>
      <w:r>
        <w:rPr/>
      </w:r>
    </w:p>
    <w:tbl>
      <w:tblPr>
        <w:tblW w:w="10064" w:type="dxa"/>
        <w:jc w:val="left"/>
        <w:tblInd w:w="0" w:type="dxa"/>
        <w:tblLayout w:type="fixed"/>
        <w:tblCellMar>
          <w:top w:w="28" w:type="dxa"/>
          <w:left w:w="28" w:type="dxa"/>
          <w:bottom w:w="28" w:type="dxa"/>
          <w:right w:w="28" w:type="dxa"/>
        </w:tblCellMar>
      </w:tblPr>
      <w:tblGrid>
        <w:gridCol w:w="2562"/>
        <w:gridCol w:w="2255"/>
        <w:gridCol w:w="2263"/>
        <w:gridCol w:w="351"/>
        <w:gridCol w:w="773"/>
        <w:gridCol w:w="181"/>
        <w:gridCol w:w="110"/>
        <w:gridCol w:w="110"/>
        <w:gridCol w:w="110"/>
        <w:gridCol w:w="290"/>
        <w:gridCol w:w="848"/>
        <w:gridCol w:w="211"/>
      </w:tblGrid>
      <w:tr>
        <w:trPr/>
        <w:tc>
          <w:tcPr>
            <w:tcW w:w="256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24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 liabilities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211" w:type="dxa"/>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right-of-use assets obtained in exchange for new operating lease obligations</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5,892 </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years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right"/>
              <w:rPr>
                <w:rFonts w:ascii="Times New Roman;sans-serif" w:hAnsi="Times New Roman;sans-serif"/>
                <w:b w:val="false"/>
                <w:color w:val="000000"/>
                <w:sz w:val="20"/>
              </w:rPr>
            </w:pPr>
            <w:r>
              <w:rPr>
                <w:rFonts w:ascii="Times New Roman;sans-serif" w:hAnsi="Times New Roman;sans-serif"/>
                <w:b w:val="false"/>
                <w:color w:val="000000"/>
                <w:sz w:val="20"/>
              </w:rPr>
              <w:t>2.26 years</w:t>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Weight-average discount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4.25% - 8.25%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4.25% - 5.50%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826" w:type="dxa"/>
        <w:jc w:val="left"/>
        <w:tblInd w:w="0" w:type="dxa"/>
        <w:tblLayout w:type="fixed"/>
        <w:tblCellMar>
          <w:top w:w="28" w:type="dxa"/>
          <w:left w:w="28" w:type="dxa"/>
          <w:bottom w:w="28" w:type="dxa"/>
          <w:right w:w="28" w:type="dxa"/>
        </w:tblCellMar>
      </w:tblPr>
      <w:tblGrid>
        <w:gridCol w:w="1754"/>
        <w:gridCol w:w="1543"/>
        <w:gridCol w:w="1548"/>
        <w:gridCol w:w="211"/>
        <w:gridCol w:w="616"/>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are as follows (in thousands):</w:t>
            </w:r>
          </w:p>
        </w:tc>
        <w:tc>
          <w:tcPr>
            <w:tcW w:w="981"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fiscal year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9. SHARE BASED COMPENSATION:</w:t>
      </w:r>
    </w:p>
    <w:p>
      <w:pPr>
        <w:pStyle w:val="TextBody"/>
        <w:bidi w:val="0"/>
        <w:spacing w:lineRule="auto" w:line="288" w:before="120" w:after="283"/>
        <w:jc w:val="left"/>
        <w:rPr>
          <w:color w:val="000000"/>
          <w:shd w:fill="FFFFFF" w:val="clear"/>
        </w:rPr>
      </w:pPr>
      <w:r>
        <w:rPr>
          <w:color w:val="000000"/>
          <w:shd w:fill="FFFFFF" w:val="clear"/>
        </w:rPr>
        <w:t> </w:t>
      </w:r>
      <w:r>
        <w:rPr>
          <w:rFonts w:ascii="Times New Roman;sans-serif" w:hAnsi="Times New Roman;sans-serif"/>
          <w:b w:val="false"/>
          <w:i/>
          <w:color w:val="000000"/>
          <w:sz w:val="20"/>
          <w:shd w:fill="FFFFFF" w:val="clear"/>
        </w:rPr>
        <w:t xml:space="preserve">Equity Incentive Plans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Navitas Semiconductor Limited 2020 Equity Incentive Plan, initially adopted by the Company’s board of directors on August 5, 2020 as an amendment and restatement of the 2013 Equity Incentive Plan (“2013 Plan”), was amended and restated at the Closing of the Business Combination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terms of the 2020 Plan, the Company is authorized to issue 18,899,285 shares of common stock pursuant to awards under the 2020 Plan. As of October 19, 2021, the Company had issued an aggregate of 11,276,706 stock options and non-statutory options to its employees and consultants and 4,525,344 RSUs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Navitas Semiconductor Corporation 2021 Equity Incentive Plan (the “2021 Plan”) was adopted by the Company’s board of directors on August 17, 2021 and adopted and approved by the Company’s stockholders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w:t>
      </w:r>
      <w:r>
        <w:rPr>
          <w:rFonts w:ascii="Times New Roman;sans-serif" w:hAnsi="Times New Roman;sans-serif"/>
          <w:b w:val="false"/>
          <w:color w:val="000000"/>
          <w:sz w:val="20"/>
        </w:rPr>
        <w:t>ch amount, if any, as the board of directors may determine. As of June 30, 2023 the Company has issued 9,750,000 non-</w:t>
      </w:r>
      <w:r>
        <w:rPr>
          <w:rFonts w:ascii="Times New Roman;sans-serif" w:hAnsi="Times New Roman;sans-serif"/>
          <w:b w:val="false"/>
          <w:color w:val="000000"/>
          <w:sz w:val="20"/>
          <w:shd w:fill="FFFFFF" w:val="clear"/>
        </w:rPr>
        <w:t>statutory stock options under the 2021 Plan.</w:t>
      </w:r>
    </w:p>
    <w:p>
      <w:pPr>
        <w:pStyle w:val="TextBody"/>
        <w:bidi w:val="0"/>
        <w:spacing w:before="0" w:after="0"/>
        <w:jc w:val="both"/>
        <w:rPr/>
      </w:pPr>
      <w:r>
        <w:rPr/>
      </w:r>
    </w:p>
    <w:p>
      <w:pPr>
        <w:pStyle w:val="TextBody"/>
        <w:bidi w:val="0"/>
        <w:spacing w:lineRule="auto" w:line="288" w:before="12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Business Combination on October 19, 2021, Legacy Navitas’ outstanding vested and unvested share-based compensation awards (as such terms are defined below) were converted into equity, RSUs or options in the Company at a ratio of 1.0944 to 1 share (the “Exchange Ratio”). Share and per share information below has been converted from historical disclosures based on the Exchange Ratio.</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recognizes the fair value of stock-based compensation in its financial statements over the requisite service period of the individual grants, which generally equals a four-year vesting period, except for long-term incentive performance stock options (“LTIP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stock-based compensation expense recognized for the three and six months ended June 30, 2023 and 2022:</w:t>
      </w:r>
    </w:p>
    <w:p>
      <w:pPr>
        <w:pStyle w:val="TextBody"/>
        <w:bidi w:val="0"/>
        <w:spacing w:before="0" w:after="0"/>
        <w:jc w:val="left"/>
        <w:rPr/>
      </w:pPr>
      <w:r>
        <w:rPr/>
      </w:r>
    </w:p>
    <w:tbl>
      <w:tblPr>
        <w:tblW w:w="8672" w:type="dxa"/>
        <w:jc w:val="center"/>
        <w:tblInd w:w="0" w:type="dxa"/>
        <w:tblLayout w:type="fixed"/>
        <w:tblCellMar>
          <w:top w:w="28" w:type="dxa"/>
          <w:left w:w="28" w:type="dxa"/>
          <w:bottom w:w="28" w:type="dxa"/>
          <w:right w:w="28" w:type="dxa"/>
        </w:tblCellMar>
      </w:tblPr>
      <w:tblGrid>
        <w:gridCol w:w="1251"/>
        <w:gridCol w:w="1096"/>
        <w:gridCol w:w="1102"/>
        <w:gridCol w:w="214"/>
        <w:gridCol w:w="732"/>
        <w:gridCol w:w="110"/>
        <w:gridCol w:w="110"/>
        <w:gridCol w:w="110"/>
        <w:gridCol w:w="110"/>
        <w:gridCol w:w="214"/>
        <w:gridCol w:w="732"/>
        <w:gridCol w:w="110"/>
        <w:gridCol w:w="109"/>
        <w:gridCol w:w="109"/>
        <w:gridCol w:w="109"/>
        <w:gridCol w:w="211"/>
        <w:gridCol w:w="721"/>
        <w:gridCol w:w="109"/>
        <w:gridCol w:w="109"/>
        <w:gridCol w:w="109"/>
        <w:gridCol w:w="109"/>
        <w:gridCol w:w="211"/>
        <w:gridCol w:w="721"/>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Options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Generally, stock options granted under the Plans have terms of ten years and vest in 1/4th increments on the anniversary of the vesting commencement date and in 1/48th increments monthly thereafter. Stock options with performance vesting conditions begin to vest upon achievement of the performance condition. Expense is recognized beginning in the period in which performance is considered probable.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incentive stock options and non-statutory stock options issued was estimated using the Black-Scholes model. The Company did not grant any stock option awards during the three or six months ended June 30, 2023 or 2022.</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summary of stock options outstanding, excluding LTIP Options as of June 30, 2023, and activity during the three months then ended, is presented below:</w:t>
      </w:r>
    </w:p>
    <w:p>
      <w:pPr>
        <w:pStyle w:val="TextBody"/>
        <w:bidi w:val="0"/>
        <w:spacing w:before="0" w:after="0"/>
        <w:jc w:val="left"/>
        <w:rPr/>
      </w:pPr>
      <w:r>
        <w:rPr/>
      </w:r>
    </w:p>
    <w:tbl>
      <w:tblPr>
        <w:tblW w:w="7479" w:type="dxa"/>
        <w:jc w:val="left"/>
        <w:tblInd w:w="0" w:type="dxa"/>
        <w:tblLayout w:type="fixed"/>
        <w:tblCellMar>
          <w:top w:w="28" w:type="dxa"/>
          <w:left w:w="28" w:type="dxa"/>
          <w:bottom w:w="28" w:type="dxa"/>
          <w:right w:w="28" w:type="dxa"/>
        </w:tblCellMar>
      </w:tblPr>
      <w:tblGrid>
        <w:gridCol w:w="1228"/>
        <w:gridCol w:w="1076"/>
        <w:gridCol w:w="1086"/>
        <w:gridCol w:w="429"/>
        <w:gridCol w:w="429"/>
        <w:gridCol w:w="431"/>
        <w:gridCol w:w="109"/>
        <w:gridCol w:w="109"/>
        <w:gridCol w:w="109"/>
        <w:gridCol w:w="247"/>
        <w:gridCol w:w="600"/>
        <w:gridCol w:w="129"/>
        <w:gridCol w:w="109"/>
        <w:gridCol w:w="109"/>
        <w:gridCol w:w="109"/>
        <w:gridCol w:w="342"/>
        <w:gridCol w:w="342"/>
        <w:gridCol w:w="486"/>
      </w:tblGrid>
      <w:tr>
        <w:trPr/>
        <w:tc>
          <w:tcPr>
            <w:tcW w:w="122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 Options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Contractual</w:t>
              <w:br/>
              <w:t>Term</w:t>
              <w:br/>
              <w:t>(In years)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June 30, 2023</w:t>
            </w:r>
          </w:p>
        </w:tc>
        <w:tc>
          <w:tcPr>
            <w:tcW w:w="8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5,389 </w:t>
            </w:r>
          </w:p>
        </w:tc>
        <w:tc>
          <w:tcPr>
            <w:tcW w:w="4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r>
    </w:tbl>
    <w:p>
      <w:pPr>
        <w:pStyle w:val="TextBody"/>
        <w:bidi w:val="0"/>
        <w:spacing w:lineRule="auto" w:line="288" w:before="120" w:after="283"/>
        <w:jc w:val="both"/>
        <w:rPr/>
      </w:pPr>
      <w:r>
        <w:rPr>
          <w:rFonts w:ascii="Times New Roman;sans-serif" w:hAnsi="Times New Roman;sans-serif"/>
          <w:b w:val="false"/>
          <w:color w:val="000000"/>
          <w:sz w:val="20"/>
          <w:shd w:fill="FFFFFF" w:val="clear"/>
        </w:rPr>
        <w:t>During both the three and six months ended June 30, 2023, the Company recogni</w:t>
      </w:r>
      <w:r>
        <w:rPr>
          <w:rFonts w:ascii="Times New Roman;sans-serif" w:hAnsi="Times New Roman;sans-serif"/>
          <w:b w:val="false"/>
          <w:color w:val="000000"/>
          <w:sz w:val="20"/>
        </w:rPr>
        <w:t>zed $0.1 million and $0.2 million o</w:t>
      </w:r>
      <w:r>
        <w:rPr>
          <w:rFonts w:ascii="Times New Roman;sans-serif" w:hAnsi="Times New Roman;sans-serif"/>
          <w:b w:val="false"/>
          <w:color w:val="000000"/>
          <w:sz w:val="20"/>
          <w:shd w:fill="FFFFFF" w:val="clear"/>
        </w:rPr>
        <w:t>f stock-based compensation expense for the vesting of outstanding stock optio</w:t>
      </w:r>
      <w:r>
        <w:rPr>
          <w:rFonts w:ascii="Times New Roman;sans-serif" w:hAnsi="Times New Roman;sans-serif"/>
          <w:b w:val="false"/>
          <w:color w:val="000000"/>
          <w:sz w:val="20"/>
        </w:rPr>
        <w:t>ns, excluding $1.9 million and $4.3 million related to the LTIP Options described below. During the three and six months ended June 30, 2022, the Company recognized $0.1 million and $0.2 million of stock-based compensation expense for the vesting of outstanding stock options, excluding $1.4 million related to LTIP options described below. At June 30, 2023, unrecognized compensation cost related to unvested awards totaled $0.4 million. The weighted-average period over which this remaining compensation cost will be recognized is 5.8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Long-term Incentive Plan Stock Options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awarded a total of 6,500,000 LTIP Options to certain members of senior management on December 29, 2021 pursuant to the 2021 Plan. These non-statutory options are intended to be the only equity incentive awards for the recipients over the duration of the performance period. The options vest in increments subject to achieving certain performance conditions, including ten share price hurdles ranging from $15 to $60 per share, coupled with revenue and EBITDA targets, measured over a seven-year performance period and expire on the tenth anniversary of the grant date. The options have an exercise price of $15.51 per share and the average fair value on the grant date was $8.13 based on the Black-Scholes model and a Monte Carlo simulation incorporating 500,000 scenarios. The weighted average contractual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period remaining is 8.8 years. The Company utilized the services of a professional valuation firm to finalize these assumptions during the fiscal year ended December 31, 2022. The valuation model utilized the following assumptions:</w:t>
      </w:r>
    </w:p>
    <w:p>
      <w:pPr>
        <w:pStyle w:val="TextBody"/>
        <w:bidi w:val="0"/>
        <w:spacing w:before="0" w:after="0"/>
        <w:jc w:val="left"/>
        <w:rPr/>
      </w:pPr>
      <w:r>
        <w:rPr/>
      </w:r>
    </w:p>
    <w:tbl>
      <w:tblPr>
        <w:tblW w:w="5177" w:type="dxa"/>
        <w:jc w:val="left"/>
        <w:tblInd w:w="0" w:type="dxa"/>
        <w:tblLayout w:type="fixed"/>
        <w:tblCellMar>
          <w:top w:w="28" w:type="dxa"/>
          <w:left w:w="28" w:type="dxa"/>
          <w:bottom w:w="28" w:type="dxa"/>
          <w:right w:w="28" w:type="dxa"/>
        </w:tblCellMar>
      </w:tblPr>
      <w:tblGrid>
        <w:gridCol w:w="1498"/>
        <w:gridCol w:w="1315"/>
        <w:gridCol w:w="1326"/>
        <w:gridCol w:w="211"/>
        <w:gridCol w:w="511"/>
        <w:gridCol w:w="316"/>
      </w:tblGrid>
      <w:tr>
        <w:trPr/>
        <w:tc>
          <w:tcPr>
            <w:tcW w:w="14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rates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equity (for derived service period)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of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LTIP Options granted in 2021, the Company recognized $1.6 million and $3.7 million of stock-based compensation expense for the three and six months ended June 30, 2023, respectively. The Company recognized $1.4 million and $2.8 million related to these LTIP Options during the three and six months ended June 30, 2022, respectively. The unrecognized compensation expense related to these LTIP Options is $50.1 million as of June 30, 2023, and compensation expense will be recognized over 2.9 years.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Company awarded a total of </w:t>
      </w:r>
      <w:r>
        <w:rPr>
          <w:rFonts w:ascii="Times New Roman;sans-serif" w:hAnsi="Times New Roman;sans-serif"/>
          <w:b w:val="false"/>
          <w:color w:val="000000"/>
          <w:sz w:val="20"/>
          <w:shd w:fill="FFFFFF" w:val="clear"/>
        </w:rPr>
        <w:t xml:space="preserve">3,250,000 </w:t>
      </w:r>
      <w:r>
        <w:rPr>
          <w:rFonts w:ascii="Times New Roman;sans-serif" w:hAnsi="Times New Roman;sans-serif"/>
          <w:b w:val="false"/>
          <w:color w:val="000000"/>
          <w:sz w:val="20"/>
        </w:rPr>
        <w:t>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$2.51. The weighted average contractual period remaining is 9.1 years. T</w:t>
      </w:r>
      <w:r>
        <w:rPr>
          <w:rFonts w:ascii="Times New Roman;sans-serif" w:hAnsi="Times New Roman;sans-serif"/>
          <w:b w:val="false"/>
          <w:color w:val="000000"/>
          <w:sz w:val="24"/>
        </w:rPr>
        <w:t>he</w:t>
      </w:r>
      <w:r>
        <w:rPr>
          <w:color w:val="000000"/>
        </w:rPr>
        <w:t xml:space="preserve"> </w:t>
      </w:r>
      <w:r>
        <w:rPr>
          <w:rFonts w:ascii="Times New Roman;sans-serif" w:hAnsi="Times New Roman;sans-serif"/>
          <w:b w:val="false"/>
          <w:color w:val="000000"/>
          <w:sz w:val="20"/>
        </w:rPr>
        <w:t>Black-Scholes model and a Monte Carlo simulation incorporated 100,000 scenarios. The valuation model utilized the following assumptions:</w:t>
      </w:r>
    </w:p>
    <w:p>
      <w:pPr>
        <w:pStyle w:val="TextBody"/>
        <w:bidi w:val="0"/>
        <w:spacing w:before="0" w:after="0"/>
        <w:jc w:val="left"/>
        <w:rPr/>
      </w:pPr>
      <w:r>
        <w:rPr/>
      </w:r>
    </w:p>
    <w:tbl>
      <w:tblPr>
        <w:tblW w:w="5177" w:type="dxa"/>
        <w:jc w:val="left"/>
        <w:tblInd w:w="0" w:type="dxa"/>
        <w:tblLayout w:type="fixed"/>
        <w:tblCellMar>
          <w:top w:w="28" w:type="dxa"/>
          <w:left w:w="28" w:type="dxa"/>
          <w:bottom w:w="28" w:type="dxa"/>
          <w:right w:w="28" w:type="dxa"/>
        </w:tblCellMar>
      </w:tblPr>
      <w:tblGrid>
        <w:gridCol w:w="1498"/>
        <w:gridCol w:w="1315"/>
        <w:gridCol w:w="1326"/>
        <w:gridCol w:w="211"/>
        <w:gridCol w:w="511"/>
        <w:gridCol w:w="316"/>
      </w:tblGrid>
      <w:tr>
        <w:trPr/>
        <w:tc>
          <w:tcPr>
            <w:tcW w:w="14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rates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equity (for derived service period)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of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LTIP Options granted in 2022, the Company recognized 0.3 million and $0.6 million of stock-based compensation expense for the three and six months ended June 30, 2023, respectively. The unrecognized compensation expense related to the LTIP Options is $8.5 million as of June 30, 2023, and compensation expense will be recognized over 3.5 years.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Restricted Stock Units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25, 2021, the Company granted an aggregate of 4,525,344 Legacy Navitas RSUs under the 2020 Plan to certain members of senior management pursuant to restricted stock unit agreements (collectively, the “RSU Agreements”). Each RSU represents the right to receive one share of common stock of the Company, subject to the vesting and other terms and conditions set forth in the RSU Agreements and the Plan. 3,830,400 of these RSU awards vest in three equal installments over a three-year period subject to the occurrence of an IPO (which includes the Business Combination) and certain valuation targets, subject to an accelerated vesting schedule based on the satisfaction of certain stock price targets. Up to 500,000 of these RSUs were eligible to vest on the six-month anniversary of the grant date, subject to the occurrence of an IPO (which included the Business Combination) and certain valuation targets. 57,456 RSUs vested upon the occurrence of the Business Combination, while the remaining 90,288 RSUs vest as specified by an RSU Agreement over a period of approximately three years. As of October 19, 2021, the IPO performance condition had been met due to the Business Combination.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Additionally, the Company regularly grants RSUs to employees as a component of their compensation. A summary of RSUs outstanding as of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and activity during the six months then ended, is presented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9130" w:type="dxa"/>
        <w:jc w:val="left"/>
        <w:tblInd w:w="0" w:type="dxa"/>
        <w:tblLayout w:type="fixed"/>
        <w:tblCellMar>
          <w:top w:w="28" w:type="dxa"/>
          <w:left w:w="28" w:type="dxa"/>
          <w:bottom w:w="28" w:type="dxa"/>
          <w:right w:w="28" w:type="dxa"/>
        </w:tblCellMar>
      </w:tblPr>
      <w:tblGrid>
        <w:gridCol w:w="1065"/>
        <w:gridCol w:w="935"/>
        <w:gridCol w:w="940"/>
        <w:gridCol w:w="429"/>
        <w:gridCol w:w="429"/>
        <w:gridCol w:w="431"/>
        <w:gridCol w:w="109"/>
        <w:gridCol w:w="109"/>
        <w:gridCol w:w="109"/>
        <w:gridCol w:w="1100"/>
        <w:gridCol w:w="2667"/>
        <w:gridCol w:w="807"/>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Granted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Vested</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Forfeited</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807"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2023</w:t>
            </w:r>
          </w:p>
        </w:tc>
        <w:tc>
          <w:tcPr>
            <w:tcW w:w="8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14,944 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three and six months ended June 30, 2023</w:t>
      </w:r>
      <w:r>
        <w:rPr>
          <w:rFonts w:ascii="Times New Roman;sans-serif" w:hAnsi="Times New Roman;sans-serif"/>
          <w:b w:val="false"/>
          <w:color w:val="000000"/>
          <w:sz w:val="20"/>
        </w:rPr>
        <w:t>, the Company recognized $8.1 million and $15.4 million of stock-based compensation expense for the vesting of RSUs, respectively. During the three and six months ended June 30, 2022, the Company recognized $7.4 million and $23.3 million of stock-based compensation expense for the vesting of RSUs, respectively. As of June 30, 2023, unrecognized compensation cost related to unvested RSU awards totaled $83.2 million. The weighted-average period over which this remaining compensation cost is expected be recognized is 2.6 years.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implemented a yearly stock-based bonus plan in 2021 which settles by issuing a variable number of fully-vested restricted stock units to employees in the first quarter of the following fiscal year. The $4.1 million accrued as of June 30, 2023 reflects eligible employees included the Company’s 2023 annual bonus plan and amounts expected to be settled during the first quarter of 2024. The $2.8 million accrued as of December 31, 2022 was for the Company’s 2022 annual bonus plan and a balance of $0.1 million is accrued as of June 30, 2023.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Share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the remaining minority interest of a silicon control IC joint venture, as described in Note 18, the Company issued 841,729 fully vested shares to certain former employees of the joint venture with a grant date fair value totaling $4.5 million. Such amount has been recognized as stock-based compensation expense during the six months ended June 30,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2022, the Company’s wholly owned subsidiary, Navitas Semiconductor Limited, acquired all of the stock of VDDTECH srl, a private Belgian company (“VDDTech”) for approximately $1.9 million in cash and stock.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 The Company recognized $0.1 million and $0.6 million of stock-based compensation expense related to the vesting of these shares during the three and six months ended June 30, 2023, respectively.</w:t>
      </w:r>
    </w:p>
    <w:p>
      <w:pPr>
        <w:pStyle w:val="TextBody"/>
        <w:bidi w:val="0"/>
        <w:spacing w:lineRule="auto" w:line="288" w:before="360" w:after="283"/>
        <w:jc w:val="left"/>
        <w:rPr/>
      </w:pPr>
      <w:r>
        <w:rPr>
          <w:rFonts w:ascii="Times New Roman;sans-serif" w:hAnsi="Times New Roman;sans-serif"/>
          <w:b w:val="false"/>
          <w:i/>
          <w:color w:val="000000"/>
          <w:sz w:val="20"/>
        </w:rPr>
        <w:t>Unvested Earnout</w:t>
      </w:r>
      <w:r>
        <w:rPr>
          <w:color w:val="000000"/>
          <w:shd w:fill="FFFFFF" w:val="clear"/>
        </w:rPr>
        <w:t xml:space="preserve"> </w:t>
      </w:r>
      <w:r>
        <w:rPr>
          <w:rFonts w:ascii="Times New Roman;sans-serif" w:hAnsi="Times New Roman;sans-serif"/>
          <w:b w:val="false"/>
          <w:i/>
          <w:color w:val="000000"/>
          <w:sz w:val="20"/>
          <w:shd w:fill="FFFFFF" w:val="clear"/>
        </w:rPr>
        <w:t>Shares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earnout shares related to the Business Combination (discussed in Note 11 below) may be issued to individuals with unvested equity awards. While the payout of these shares requires achievement of share price targets based on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During the six months ended June 30, 2023 the Company recognized $0.3 million of stock-based compensation expense for the vesting of earnout shares. As of the beginning of the second quarter of fiscal year 2023, these earnout shares had fully vested. During the six months ended June 30, 2022, the Company recognized $0.8 million of stock-based compensation expense for the vesting of earnout shares. At June 30, 2023, there was no remaining compensation cost related to unvested earnout shares. Refer to Note 11, Earnout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10. WARRANT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Business Combination, holders of Live Oak Class A ordinary shares automatically received Class A Common Stock of the Company, and holders of Live Oak warrants automatically received a total of 13,100,000 warrants of the Company with substantially identical terms (“the Warrants”). Accordingly, 8,433,333 Live Oak public warrants automatically converted into 8,433,333 warrants to purchase one share of the Company’s Class A Common Stock at $11.50 per share (the “Public Warrants”), and 4,666,667 private placement warrants held by the sponsor of the Business Combination and certain permitted transferees (“Private Placement Warrants”), each exercisable for one Class A ordinary share of Live Oak at $11.50 per share, automatically converted into warrants to purchase one share of the Company’s Class A Common Stock at $11.50 per share with substantially identical terms as the Public Warrants. On February 4, 2022, the Company gave notice that it would redeem all of the Warrants, as further described below.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Warrants were exercisable only during the period commencing December 7, 2021 (12 months after the consummation of Live Oak’s initial public offering) and ending on the earlier of October 19, 2026 (five years after the Closing of the Business Combination) or, in the event of redemption, the corresponding redemption date. The Company had the right to redeem not less than all of the outstanding Public Warrants on 30 days’ notice, at a redemption price of $0.01 per Warrant, if the reported closing price of the Common Stock was at least $18.00 per share for any 20 of 30 trading days ending three business days before the notice of redemption, subject to certain other conditions. The Company also had the right to redeem not less than all of the outstanding Public Warrants on 30 days’ notice, at a redemption price of $0.10 per Warrant, if the reported closing price of the Common Stock was at least $10.00 per share for any 20 of 30 trading days ending three business days before the notice of redemption, subject to certain other conditions. If the Company elected to exercise the latter right to redeem the Public Warrants for $0.10 per Warrant, and the reported closing price of the Common Stock was less than $18.00 per share for any 20 of 30 trading days ending three business days before the notice of redemption, the Company was required by the terms of the Public Warrants to concurrently redeem the Private Placement Warrants on the same terms. In addition, in such event, hold</w:t>
      </w:r>
      <w:r>
        <w:rPr>
          <w:rFonts w:ascii="Times New Roman;sans-serif" w:hAnsi="Times New Roman;sans-serif"/>
          <w:b w:val="false"/>
          <w:color w:val="000000"/>
          <w:sz w:val="20"/>
        </w:rPr>
        <w:t xml:space="preserve">ers of Warrants subject to redemption would have the right to exercise their Warrants on a “cashless” basis, whereby they would receive a fractional number of shares of Common Stock per Warrant exercised before the redemption date, based on the volume weighted average price of the Common Stock for the 10 trading days following notice of redemption (the “Redemption Fair Market Value”) and the time period between the redemption date and the original expiration date of the Warrants in the absence of redemption. </w:t>
      </w:r>
    </w:p>
    <w:p>
      <w:pPr>
        <w:pStyle w:val="TextBody"/>
        <w:bidi w:val="0"/>
        <w:spacing w:lineRule="auto" w:line="288" w:before="120" w:after="283"/>
        <w:ind w:left="0" w:right="0" w:firstLine="540"/>
        <w:jc w:val="both"/>
        <w:rPr/>
      </w:pPr>
      <w:r>
        <w:rPr>
          <w:rFonts w:ascii="Times New Roman;sans-serif" w:hAnsi="Times New Roman;sans-serif"/>
          <w:b w:val="false"/>
          <w:color w:val="0A0A0A"/>
          <w:sz w:val="20"/>
          <w:shd w:fill="FEFEFE" w:val="clear"/>
        </w:rPr>
        <w:t>On February 4, 2022, the Company issued a notice of redemption that it would redeem, at 5:00 p.m. New York City time on March 7, 2022 (the “</w:t>
      </w:r>
      <w:r>
        <w:rPr>
          <w:rFonts w:ascii="Times New Roman;sans-serif" w:hAnsi="Times New Roman;sans-serif"/>
          <w:b w:val="false"/>
          <w:color w:val="0A0A0A"/>
          <w:sz w:val="20"/>
        </w:rPr>
        <w:t>Redemption Date</w:t>
      </w:r>
      <w:r>
        <w:rPr>
          <w:color w:val="0A0A0A"/>
          <w:shd w:fill="FEFEFE" w:val="clear"/>
        </w:rPr>
        <w:t>”</w:t>
      </w:r>
      <w:r>
        <w:rPr>
          <w:rFonts w:ascii="Times New Roman;sans-serif" w:hAnsi="Times New Roman;sans-serif"/>
          <w:b w:val="false"/>
          <w:color w:val="0A0A0A"/>
          <w:sz w:val="20"/>
          <w:shd w:fill="FEFEFE" w:val="clear"/>
        </w:rPr>
        <w:t>), all of the Company’s outstanding Public Warrants and Private Placement Warrants to purchase shares of the Company’s Class A Common Stock that were governed by the Warrant Agreement, dated as of December 2, 2020 (the “</w:t>
      </w:r>
      <w:r>
        <w:rPr>
          <w:rFonts w:ascii="Times New Roman;sans-serif" w:hAnsi="Times New Roman;sans-serif"/>
          <w:b w:val="false"/>
          <w:color w:val="0A0A0A"/>
          <w:sz w:val="20"/>
        </w:rPr>
        <w:t>Warrant Agreement</w:t>
      </w:r>
      <w:r>
        <w:rPr>
          <w:color w:val="0A0A0A"/>
          <w:shd w:fill="FEFEFE" w:val="clear"/>
        </w:rPr>
        <w:t>”</w:t>
      </w:r>
      <w:r>
        <w:rPr>
          <w:rFonts w:ascii="Times New Roman;sans-serif" w:hAnsi="Times New Roman;sans-serif"/>
          <w:b w:val="false"/>
          <w:color w:val="0A0A0A"/>
          <w:sz w:val="20"/>
          <w:shd w:fill="FEFEFE" w:val="clear"/>
        </w:rPr>
        <w:t>), between the Company and Continental Stock Transfer &amp; Trust Company, as warrant agent (the “Warrant Agent”), at a redemption price of $0.10 per Warrant (the “</w:t>
      </w:r>
      <w:r>
        <w:rPr>
          <w:rFonts w:ascii="Times New Roman;sans-serif" w:hAnsi="Times New Roman;sans-serif"/>
          <w:b w:val="false"/>
          <w:color w:val="0A0A0A"/>
          <w:sz w:val="20"/>
        </w:rPr>
        <w:t>Redemption Price</w:t>
      </w:r>
      <w:r>
        <w:rPr>
          <w:color w:val="0A0A0A"/>
          <w:shd w:fill="FEFEFE" w:val="clear"/>
        </w:rPr>
        <w:t>”</w:t>
      </w:r>
      <w:r>
        <w:rPr>
          <w:rFonts w:ascii="Times New Roman;sans-serif" w:hAnsi="Times New Roman;sans-serif"/>
          <w:b w:val="false"/>
          <w:color w:val="0A0A0A"/>
          <w:sz w:val="20"/>
          <w:shd w:fill="FEFEFE" w:val="clear"/>
        </w:rPr>
        <w:t xml:space="preserve">). On February 22, 2022, the Company issued a notice that the “Redemption Fair Market Value,” determined in accordance with the Warrant Agreement based on the </w:t>
      </w:r>
      <w:r>
        <w:rPr>
          <w:rFonts w:ascii="Times New Roman;sans-serif" w:hAnsi="Times New Roman;sans-serif"/>
          <w:b w:val="false"/>
          <w:color w:val="000000"/>
          <w:sz w:val="20"/>
        </w:rPr>
        <w:t xml:space="preserve">volume weighted average price of the Common Stock for the 10 trading days immediately following the date on which notice of redemption was sent, was </w:t>
      </w:r>
      <w:r>
        <w:rPr>
          <w:rFonts w:ascii="Times New Roman;sans-serif" w:hAnsi="Times New Roman;sans-serif"/>
          <w:b w:val="false"/>
          <w:color w:val="0A0A0A"/>
          <w:sz w:val="20"/>
          <w:shd w:fill="FEFEFE" w:val="clear"/>
        </w:rPr>
        <w:t>$10.33 and, accordingly, that holders exercising Warrants on a “cashless” basis before the Redemption Date would receive 0.261 shares of Common Stock per Warrant exercised.</w:t>
      </w:r>
      <w:r>
        <w:rPr>
          <w:color w:val="000000"/>
        </w:rPr>
        <w:t xml:space="preserve"> </w:t>
      </w:r>
      <w:r>
        <w:rPr>
          <w:rFonts w:ascii="Times New Roman;sans-serif" w:hAnsi="Times New Roman;sans-serif"/>
          <w:b w:val="false"/>
          <w:color w:val="0A0A0A"/>
          <w:sz w:val="20"/>
          <w:shd w:fill="FEFEFE" w:val="clear"/>
        </w:rPr>
        <w:t xml:space="preserve">The Warrants were exercisable by their holders until immediately before 5:00 p.m. New York City time on the Redemption Date, either (i) on a cash basis, at an exercise price of $11.50 per share of Common Stock, or (ii) on a “cashless” basis in which the exercising holder would receive 0.261 shares of Common Stock per Warrant exercised. </w:t>
      </w:r>
      <w:r>
        <w:rPr>
          <w:rFonts w:ascii="Times New Roman;sans-serif" w:hAnsi="Times New Roman;sans-serif"/>
          <w:b w:val="false"/>
          <w:color w:val="000000"/>
          <w:sz w:val="20"/>
        </w:rPr>
        <w:t xml:space="preserve">Between December 7, 2021 (the date the Warrants became exercisable) and the Redemption Date, an aggregate of 12,722,773 Warrants were exercised (including 17,785 on a cash basis and 12,704,988 on a “cashless” basis); an aggregate of 3,333,650 shares of Common Stock were issued upon exercise of the Warrants (including 17,785 shares in respect of cash exercises and 3,315,865 shares in respect of “cashless” exercises). A total of 377,187 Warrants remained outstanding and unexercised at the Redemption Date and were redeemed for an aggregate Redemption Price of $38. Prior to the Redemption Date, the warrants had an aggregate fair value of </w:t>
      </w:r>
      <w:r>
        <w:rPr>
          <w:rFonts w:ascii="Times New Roman;sans-serif" w:hAnsi="Times New Roman;sans-serif"/>
          <w:b w:val="false"/>
          <w:color w:val="000000"/>
          <w:sz w:val="20"/>
          <w:shd w:fill="FFFFFF" w:val="clear"/>
        </w:rPr>
        <w:t>$81.4 million</w:t>
      </w:r>
      <w:r>
        <w:rPr>
          <w:color w:val="000000"/>
        </w:rPr>
        <w:t xml:space="preserve"> </w:t>
      </w:r>
      <w:r>
        <w:rPr>
          <w:rFonts w:ascii="Times New Roman;sans-serif" w:hAnsi="Times New Roman;sans-serif"/>
          <w:b w:val="false"/>
          <w:color w:val="000000"/>
          <w:sz w:val="20"/>
        </w:rPr>
        <w:t>which resulted in a gain of $51.8 million due to the decrease in the fair value of the warrant liability in the six months ended June 30, 2022. There were no outstanding warrants as of June 30, 2023.</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11. EARNOUT LIABILITY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stockholders are entitled to receive up to 10,000,000 aggregate “earnout shares” of the Company’s Class A Common Stock if earnout milestones set forth in the Business Combination Agreement are met. The earnout milestones represent three independent criteria, each of which entitles the eligible stockholders to 3,333,333 aggregate earn-out shares if the milestone is met. Each earnout milestone is considered met if, at any time 150 days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Business Combination and prior to October 19, 2026, the volume weighted average price of the Company’s Class A Common Stock is greater than or equal to $12.50, $17.00 or $20.00, respectively, for any twenty trading days within any thirty trading day period, respectively. Further, the earnout milestones are also considered to be met if the Company undergoes a Sale. A Sale is defined as the occurrence of any of the following: (i) engaging in a “going private” transaction pursuant to Rule 13e-3 under the Exchange Act or otherwise ceasing to be subject to reporting obligations under Sections 13 or 15(d) of the Exchange Act; (ii) the Class A Common Stock ceases to be listed on a national security exchange, other than for the failure to satisfy minimum listing requirements under applicable stock exchange rules; or (iii) a change of ownership (including a merger or consolidation) or approval of a plan for complete liquidation or dissolution.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These earnout shares have been categorized into two components: (i) the “Vested Shares” – those associated with vested equity held by stockholders at the closing of the Business Combination that will be earned upon achievement of the earnout milestones and (ii) the “Unvested Shares” – those associated with unvested equity held by stockholders at the closing of the Business Combination that will be earned over the remaining service period with the Company on their Unvested Shares and upon achievement of the earnout milestones. The Vested Shares are classified as liabilities in the consolidated balance sheet and the Unvested Shares are equity-classified share-based compensation to be recognized over time (see Note 9, Share-based Compensation). The earnout liability was initially measured at fair value at the closing of the Business Combination and subsequently remeasured at the end of each reporting period. The change in fair value of the earnout liability is recorded as part of</w:t>
      </w:r>
      <w:r>
        <w:rPr>
          <w:color w:val="000000"/>
        </w:rPr>
        <w:t xml:space="preserve">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in the consolidated statements of operations.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w:t>
      </w:r>
      <w:r>
        <w:rPr>
          <w:rFonts w:ascii="Times New Roman;sans-serif" w:hAnsi="Times New Roman;sans-serif"/>
          <w:b w:val="false"/>
          <w:color w:val="000000"/>
          <w:sz w:val="20"/>
          <w:shd w:fill="FFFFFF" w:val="clear"/>
        </w:rPr>
        <w:t>The valuation model utilized the following assumptions:</w:t>
      </w:r>
    </w:p>
    <w:tbl>
      <w:tblPr>
        <w:tblW w:w="5273" w:type="dxa"/>
        <w:jc w:val="left"/>
        <w:tblInd w:w="0" w:type="dxa"/>
        <w:tblLayout w:type="fixed"/>
        <w:tblCellMar>
          <w:top w:w="28" w:type="dxa"/>
          <w:left w:w="28" w:type="dxa"/>
          <w:bottom w:w="28" w:type="dxa"/>
          <w:right w:w="28" w:type="dxa"/>
        </w:tblCellMar>
      </w:tblPr>
      <w:tblGrid>
        <w:gridCol w:w="668"/>
        <w:gridCol w:w="587"/>
        <w:gridCol w:w="590"/>
        <w:gridCol w:w="339"/>
        <w:gridCol w:w="282"/>
        <w:gridCol w:w="711"/>
        <w:gridCol w:w="109"/>
        <w:gridCol w:w="109"/>
        <w:gridCol w:w="109"/>
        <w:gridCol w:w="360"/>
        <w:gridCol w:w="360"/>
        <w:gridCol w:w="1049"/>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Equity volatility rate</w:t>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67.50 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Business Combination on October 19, 2021, the earnout liability had an initial fair value of $96.1 million, which was recorded as a long-term liability and a reduction to additional paid in capital in the consolidated balance sheets. As of June 30, 2023 and December 31, 2022, the earnout liability had a fair value of $73.0 million and $12.5 million, respectively which resulted in a loss in the fair value of the earnout liability of $32.6 million and $60.0 million for the three and six months ended June 30, 2023, respectively, due to the increase in the fair value of the earnout liability.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GeneSiC Earnout Liability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GeneSiC as discussed in Note 17, the Company will pay additional contingent consideration of up to $25.0 million, in the form of cash earnout payments to the Sellers and certain employees of GeneSiC, conditioned on the achievement of substantial revenue and gross profit margin targets for the GeneSiC business over the four fiscal quarters beginning on October 1, 2022 and ending on September 30, 2023. The estimated fair value of the earnout liability was determined using a Monte Carlo analysis of 20,000 simulations assuming that GeneSiC’s revenue and gross profit margins follow a geometric Brownian motion over the earnout period. The valuation model utilized an assumption on the risk-free interest rate of 3.1% and equity volatility rate of 99.9%. As of June 30, 2023, the GeneSiC earnout probability is considered remote, and no liability was recorded in earnout liability in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12. SIGNIFICANT CUSTOMERS AND CREDIT CONCENTRATIONS</w:t>
      </w:r>
    </w:p>
    <w:p>
      <w:pPr>
        <w:pStyle w:val="TextBody"/>
        <w:bidi w:val="0"/>
        <w:spacing w:lineRule="auto" w:line="28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Customer Concentration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majority of the Company’s revenues are attributable to sales of the Company’s products to distributors of electronic components. These distributors sell the Company’s products to a range of end users, including OEMs and merchant power supply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The following customers represented 10% or more of the Company’s net revenues for the </w:t>
      </w:r>
      <w:r>
        <w:rPr>
          <w:rFonts w:ascii="Times New Roman;sans-serif" w:hAnsi="Times New Roman;sans-serif"/>
          <w:b w:val="false"/>
          <w:color w:val="000000"/>
          <w:sz w:val="20"/>
        </w:rPr>
        <w:t>three and six months ended June 30, 2023</w:t>
      </w:r>
      <w:r>
        <w:rPr>
          <w:color w:val="000000"/>
          <w:shd w:fill="FFFFFF" w:val="clear"/>
        </w:rPr>
        <w:t xml:space="preserve"> </w:t>
      </w:r>
      <w:r>
        <w:rPr>
          <w:rFonts w:ascii="Times New Roman;sans-serif" w:hAnsi="Times New Roman;sans-serif"/>
          <w:b w:val="false"/>
          <w:color w:val="000000"/>
          <w:sz w:val="20"/>
          <w:shd w:fill="FFFFFF" w:val="clear"/>
        </w:rPr>
        <w:t>and 2022:</w:t>
      </w:r>
    </w:p>
    <w:p>
      <w:pPr>
        <w:pStyle w:val="TextBody"/>
        <w:bidi w:val="0"/>
        <w:spacing w:before="0" w:after="0"/>
        <w:jc w:val="left"/>
        <w:rPr/>
      </w:pPr>
      <w:r>
        <w:rPr/>
      </w:r>
    </w:p>
    <w:tbl>
      <w:tblPr>
        <w:tblW w:w="6563" w:type="dxa"/>
        <w:jc w:val="left"/>
        <w:tblInd w:w="0" w:type="dxa"/>
        <w:tblLayout w:type="fixed"/>
        <w:tblCellMar>
          <w:top w:w="28" w:type="dxa"/>
          <w:left w:w="28" w:type="dxa"/>
          <w:bottom w:w="28" w:type="dxa"/>
          <w:right w:w="28" w:type="dxa"/>
        </w:tblCellMar>
      </w:tblPr>
      <w:tblGrid>
        <w:gridCol w:w="427"/>
        <w:gridCol w:w="377"/>
        <w:gridCol w:w="380"/>
        <w:gridCol w:w="109"/>
        <w:gridCol w:w="109"/>
        <w:gridCol w:w="109"/>
        <w:gridCol w:w="219"/>
        <w:gridCol w:w="219"/>
        <w:gridCol w:w="545"/>
        <w:gridCol w:w="219"/>
        <w:gridCol w:w="219"/>
        <w:gridCol w:w="219"/>
        <w:gridCol w:w="219"/>
        <w:gridCol w:w="219"/>
        <w:gridCol w:w="545"/>
        <w:gridCol w:w="196"/>
        <w:gridCol w:w="196"/>
        <w:gridCol w:w="488"/>
        <w:gridCol w:w="196"/>
        <w:gridCol w:w="196"/>
        <w:gridCol w:w="196"/>
        <w:gridCol w:w="196"/>
        <w:gridCol w:w="196"/>
        <w:gridCol w:w="569"/>
      </w:tblGrid>
      <w:tr>
        <w:trPr/>
        <w:tc>
          <w:tcPr>
            <w:tcW w:w="42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customer net revenues were less than 10% of total net revenues.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Revenues by Geographic Area</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 xml:space="preserve">The Company considers the domicile of its end customers, rather than the distributors it sells to directly, to be the basis for attributing revenues from external customers to individual countries. Revenues for the </w:t>
      </w:r>
      <w:r>
        <w:rPr>
          <w:rFonts w:ascii="Times New Roman;sans-serif" w:hAnsi="Times New Roman;sans-serif"/>
          <w:b w:val="false"/>
          <w:color w:val="000000"/>
          <w:sz w:val="20"/>
        </w:rPr>
        <w:t>three and six months ended June 30, 2023</w:t>
      </w:r>
      <w:r>
        <w:rPr>
          <w:color w:val="000000"/>
          <w:shd w:fill="FFFFFF" w:val="clear"/>
        </w:rPr>
        <w:t xml:space="preserve"> </w:t>
      </w:r>
      <w:r>
        <w:rPr>
          <w:rFonts w:ascii="Times New Roman;sans-serif" w:hAnsi="Times New Roman;sans-serif"/>
          <w:b w:val="false"/>
          <w:color w:val="000000"/>
          <w:sz w:val="20"/>
          <w:shd w:fill="FFFFFF" w:val="clear"/>
        </w:rPr>
        <w:t>and 2022 were attributable to end customers in the following countries or regions:</w:t>
      </w:r>
    </w:p>
    <w:tbl>
      <w:tblPr>
        <w:tblW w:w="6525" w:type="dxa"/>
        <w:jc w:val="center"/>
        <w:tblInd w:w="0" w:type="dxa"/>
        <w:tblLayout w:type="fixed"/>
        <w:tblCellMar>
          <w:top w:w="28" w:type="dxa"/>
          <w:left w:w="28" w:type="dxa"/>
          <w:bottom w:w="28" w:type="dxa"/>
          <w:right w:w="28" w:type="dxa"/>
        </w:tblCellMar>
      </w:tblPr>
      <w:tblGrid>
        <w:gridCol w:w="434"/>
        <w:gridCol w:w="382"/>
        <w:gridCol w:w="383"/>
        <w:gridCol w:w="282"/>
        <w:gridCol w:w="219"/>
        <w:gridCol w:w="545"/>
        <w:gridCol w:w="219"/>
        <w:gridCol w:w="219"/>
        <w:gridCol w:w="219"/>
        <w:gridCol w:w="282"/>
        <w:gridCol w:w="219"/>
        <w:gridCol w:w="545"/>
        <w:gridCol w:w="253"/>
        <w:gridCol w:w="213"/>
        <w:gridCol w:w="488"/>
        <w:gridCol w:w="196"/>
        <w:gridCol w:w="196"/>
        <w:gridCol w:w="196"/>
        <w:gridCol w:w="253"/>
        <w:gridCol w:w="213"/>
        <w:gridCol w:w="569"/>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Country</w:t>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Asia</w:t>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*Impractical to disclose the revenue percentages by individual countries within Europe and therefore Europe is presented in total.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Concentration of Credit Risk</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customers represented 10% or more of the Company’s accounts receivable. </w:t>
      </w:r>
    </w:p>
    <w:tbl>
      <w:tblPr>
        <w:tblW w:w="4882" w:type="dxa"/>
        <w:jc w:val="left"/>
        <w:tblInd w:w="0" w:type="dxa"/>
        <w:tblLayout w:type="fixed"/>
        <w:tblCellMar>
          <w:top w:w="28" w:type="dxa"/>
          <w:left w:w="28" w:type="dxa"/>
          <w:bottom w:w="28" w:type="dxa"/>
          <w:right w:w="28" w:type="dxa"/>
        </w:tblCellMar>
      </w:tblPr>
      <w:tblGrid>
        <w:gridCol w:w="427"/>
        <w:gridCol w:w="377"/>
        <w:gridCol w:w="380"/>
        <w:gridCol w:w="109"/>
        <w:gridCol w:w="109"/>
        <w:gridCol w:w="109"/>
        <w:gridCol w:w="282"/>
        <w:gridCol w:w="282"/>
        <w:gridCol w:w="711"/>
        <w:gridCol w:w="109"/>
        <w:gridCol w:w="109"/>
        <w:gridCol w:w="109"/>
        <w:gridCol w:w="360"/>
        <w:gridCol w:w="360"/>
        <w:gridCol w:w="1049"/>
      </w:tblGrid>
      <w:tr>
        <w:trPr/>
        <w:tc>
          <w:tcPr>
            <w:tcW w:w="42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Customer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7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customer accounts receivable was less than 10% of total net accounts receivable.</w:t>
      </w:r>
    </w:p>
    <w:p>
      <w:pPr>
        <w:pStyle w:val="TextBody"/>
        <w:bidi w:val="0"/>
        <w:spacing w:before="120" w:after="283"/>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Concentration of Supplier Risk</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currently relies on a single foundry to produce wafers for GaN ICs and a separate single foundry to produce wafers for SiC 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due to pandemics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13. NET INCOME (LOSS) PER SHARE: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Basic income (loss) per share is calculated by dividing net income (loss) by the weighted-average shares of common stock outstanding during the period.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(but not restricted stock unit awards) are eligible to receive all dividends declared on the Company’s common shares during the vesting period; however, such dividends are not paid until the restrictions lapse. The Company has no plans to declare dividends.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A summary of the net income (loss) per share calculation is as follows (in thousands, except per share amounts):</w:t>
      </w: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734"/>
        <w:gridCol w:w="1462"/>
        <w:gridCol w:w="1472"/>
        <w:gridCol w:w="211"/>
        <w:gridCol w:w="788"/>
        <w:gridCol w:w="109"/>
        <w:gridCol w:w="109"/>
        <w:gridCol w:w="109"/>
        <w:gridCol w:w="109"/>
        <w:gridCol w:w="211"/>
        <w:gridCol w:w="721"/>
        <w:gridCol w:w="109"/>
        <w:gridCol w:w="109"/>
        <w:gridCol w:w="109"/>
        <w:gridCol w:w="109"/>
        <w:gridCol w:w="211"/>
        <w:gridCol w:w="893"/>
        <w:gridCol w:w="109"/>
        <w:gridCol w:w="109"/>
        <w:gridCol w:w="109"/>
        <w:gridCol w:w="109"/>
        <w:gridCol w:w="211"/>
        <w:gridCol w:w="826"/>
        <w:gridCol w:w="157"/>
      </w:tblGrid>
      <w:tr>
        <w:trPr/>
        <w:tc>
          <w:tcPr>
            <w:tcW w:w="173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 - basic and diluted:</w:t>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 basic common stock</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 diluted common stock</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 basic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 diluted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 basic common stock</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other dilutive awards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 diluted common stock</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 excluded from diluted weighted-average shares:</w:t>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shares (potentially issuable common shares)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 and restricted stock awards (1)</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potentially exercisable for common shares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excluded from diluted weighted average shares</w:t>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Company’s potentially dilutive securities, which include unexercised stock options, unvested shares, and earnout shares, have been excluded from the computation of diluted net loss per share as the effect would be to reduce the net loss per share for the three and six months ended June 30, 2023.</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14. PROVISION FOR INCOME TAXES: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jc w:val="both"/>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income tax provision for interim periods using an estimate of the Company’s annual effective tax rate, adjusted for discrete items arising during the quarter. The Company’s effective tax rate for the three and six months ended June 30, 2023 was 0.2% and 0.0%, respectively. The Company’s effective tax rate for the three and six months ended June 30, 2022 was 0.8% and 0.2%, respectively. The effective tax rate was impacted by nondeductible executive compensation and other expenses, stock compensation, state taxes, and the change in valuation allowance in the U.S. and certain foreign jurisdictions. The effective tax rate for 2023 differs from the prior year primarily as a result of tax expense in certain foreign jurisdictions not impacted by valuation allowance. The effective tax rate as of June 30, 2022 is reflective of a full valuation allowance in all jurisdictions. The Company’s quarterly income tax provision and quarterly estimate of the annual effective tax rate are subject to volatility due to several factors, including our ability to accurately predict the proportion of our income (loss) before provision for income taxes in multiple jurisdictions, the tax effects of stock-based compensation, and the effects of its foreign entities.</w:t>
      </w:r>
    </w:p>
    <w:p>
      <w:pPr>
        <w:pStyle w:val="TextBody"/>
        <w:bidi w:val="0"/>
        <w:spacing w:before="0" w:after="0"/>
        <w:jc w:val="both"/>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unrecognized tax benefits for the three and six months ended June 30, 2023 and 2022. The Company recognizes interest and penalties related to unrecognized tax benefits in operating expenses. No such interest and penalties were recognized during the three and six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15.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Purchase Obligations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At June 30, 2023, the Com</w:t>
      </w:r>
      <w:r>
        <w:rPr>
          <w:rFonts w:ascii="Times New Roman;sans-serif" w:hAnsi="Times New Roman;sans-serif"/>
          <w:b w:val="false"/>
          <w:color w:val="000000"/>
          <w:sz w:val="20"/>
        </w:rPr>
        <w:t>pany had no non-cancelable contractual arrangements that were due beyond one year besides lease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Employment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agreements with certain employees to provide severance payments to the employees in the event of the termination of their employment for reasons other than cause, death or disability. Aggregate payments that would be required to be made in the event of termination under the agreements are approximately $2.1 million. At June 30, 2023, no terminations have occurred or are expected to occur pursuant to these arrangements and, accordingly, no termination benefits have been accrued.</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sells products to its distributors under contracts, collectively referred to as Distributor Sales Agreements (“DSAs”).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June 30, 2023. For several reasons, including the lack of prior indemnification claims and the lack of a monetary liability limit for certain infringement cases, the Company cannot determine the maximum amount of</w:t>
      </w:r>
      <w:r>
        <w:rPr>
          <w:color w:val="000000"/>
          <w:shd w:fill="FFFFFF" w:val="clear"/>
        </w:rPr>
        <w:t xml:space="preserve"> </w:t>
      </w:r>
      <w:r>
        <w:rPr>
          <w:rFonts w:ascii="Times New Roman;sans-serif" w:hAnsi="Times New Roman;sans-serif"/>
          <w:b w:val="false"/>
          <w:color w:val="000000"/>
          <w:sz w:val="20"/>
          <w:shd w:fill="FFFFFF" w:val="clear"/>
        </w:rPr>
        <w:t>potential future payments, if any, related to such indemnifications.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Legal proceedings and contingencies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16. RELATED PARTY TRANSACTIONS</w:t>
      </w:r>
    </w:p>
    <w:p>
      <w:pPr>
        <w:pStyle w:val="TextBody"/>
        <w:bidi w:val="0"/>
        <w:spacing w:lineRule="auto" w:line="288" w:before="12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Notes Receivable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had outstanding interest-bearing notes receivable from a non-executive employee. The notes had various maturity dates through May 1, 2023 and bore interest at rates ranging from 1% to 2.76%. As of December 31, 2022, Note 1 was forgiven for a loss of $0.1 million and Note 2 was paid off in the amount of $0.1 million. The Company did not recognize significant</w:t>
      </w:r>
      <w:r>
        <w:rPr>
          <w:color w:val="000000"/>
        </w:rPr>
        <w:t xml:space="preserve"> </w:t>
      </w:r>
      <w:r>
        <w:rPr>
          <w:rFonts w:ascii="Times New Roman;sans-serif" w:hAnsi="Times New Roman;sans-serif"/>
          <w:b w:val="false"/>
          <w:color w:val="000000"/>
          <w:sz w:val="20"/>
        </w:rPr>
        <w:t xml:space="preserve">interest income from the notes for the three and six months ended June 30, 2023 or 2022. </w:t>
      </w:r>
    </w:p>
    <w:p>
      <w:pPr>
        <w:pStyle w:val="TextBody"/>
        <w:bidi w:val="0"/>
        <w:spacing w:lineRule="auto" w:line="288"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Joint Venture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In 2021, Navitas entered into a silicon control IC joint venture with Halo Microelectronics Co., Ltd. (“Halo”), a manufacturer of power management ICs, to develop products and technology relating to AC/DC converters. Navitas’ initial contribution to the joint venture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w:t>
      </w:r>
      <w:r>
        <w:rPr>
          <w:rFonts w:ascii="Times New Roman;sans-serif" w:hAnsi="Times New Roman;sans-serif"/>
          <w:b w:val="false"/>
          <w:color w:val="000000"/>
          <w:sz w:val="20"/>
        </w:rPr>
        <w:t>gat</w:t>
      </w:r>
      <w:r>
        <w:rPr>
          <w:rFonts w:ascii="Times New Roman;sans-serif" w:hAnsi="Times New Roman;sans-serif"/>
          <w:b w:val="false"/>
          <w:color w:val="000000"/>
          <w:sz w:val="20"/>
          <w:shd w:fill="FFFFFF" w:val="clear"/>
        </w:rPr>
        <w:t xml:space="preserve">ions). On January 19, 2023, the Company announced an agreement to acquire the remaining minority interest in the joint venture as well as rights to certain intellectual property from Halo and its U.S. affiliate for a total purchase price of $22.4 million in Navitas stock. Total related party revenues recognized by the Company as a result of arrangements with its joint venture </w:t>
      </w:r>
      <w:r>
        <w:rPr>
          <w:rFonts w:ascii="Times New Roman;sans-serif" w:hAnsi="Times New Roman;sans-serif"/>
          <w:b w:val="false"/>
          <w:color w:val="000000"/>
          <w:sz w:val="20"/>
        </w:rPr>
        <w:t>were $0.0 million f</w:t>
      </w:r>
      <w:r>
        <w:rPr>
          <w:rFonts w:ascii="Times New Roman;sans-serif" w:hAnsi="Times New Roman;sans-serif"/>
          <w:b w:val="false"/>
          <w:color w:val="000000"/>
          <w:sz w:val="20"/>
          <w:shd w:fill="FFFFFF" w:val="clear"/>
        </w:rPr>
        <w:t>or both the three and six months ended June 30, 2023</w:t>
      </w:r>
      <w:r>
        <w:rPr>
          <w:rFonts w:ascii="Times New Roman;sans-serif" w:hAnsi="Times New Roman;sans-serif"/>
          <w:b w:val="false"/>
          <w:color w:val="000000"/>
          <w:sz w:val="20"/>
        </w:rPr>
        <w:t xml:space="preserve">, and $0.0 million and $0.7 million for the three and six months ended June 30, 2022, respectively, and are included in Net Revenues in the Condensed Consolidated Statements of Operations. See Note 18, Noncontrolling Interest, for more information. </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Related Party Investment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During the third quarter of 2022, Navitas ma</w:t>
      </w:r>
      <w:r>
        <w:rPr>
          <w:rFonts w:ascii="Times New Roman;sans-serif" w:hAnsi="Times New Roman;sans-serif"/>
          <w:b w:val="false"/>
          <w:color w:val="000000"/>
          <w:sz w:val="20"/>
        </w:rPr>
        <w:t>de a $1.5 million inv</w:t>
      </w:r>
      <w:r>
        <w:rPr>
          <w:rFonts w:ascii="Times New Roman;sans-serif" w:hAnsi="Times New Roman;sans-serif"/>
          <w:b w:val="false"/>
          <w:color w:val="000000"/>
          <w:sz w:val="20"/>
          <w:shd w:fill="FFFFFF" w:val="clear"/>
        </w:rPr>
        <w:t>estment in preferred interests of an entity under common control with the Company’s partner in the joint venture described a</w:t>
      </w:r>
      <w:r>
        <w:rPr>
          <w:rFonts w:ascii="Times New Roman;sans-serif" w:hAnsi="Times New Roman;sans-serif"/>
          <w:b w:val="false"/>
          <w:color w:val="000000"/>
          <w:sz w:val="20"/>
        </w:rPr>
        <w:t>bove. During the first quarter of 2023 the Company made an additional investment of $1.0 million in the entity. Such investment is included in Other Assets in the Condensed Consolidated Balance Sheets as of June 30, 2023 and is accounted fo</w:t>
      </w:r>
      <w:r>
        <w:rPr>
          <w:rFonts w:ascii="Times New Roman;sans-serif" w:hAnsi="Times New Roman;sans-serif"/>
          <w:b w:val="false"/>
          <w:color w:val="000000"/>
          <w:sz w:val="20"/>
          <w:shd w:fill="FFFFFF" w:val="clear"/>
        </w:rPr>
        <w:t xml:space="preserve">r as an equity investment under </w:t>
      </w:r>
      <w:r>
        <w:rPr>
          <w:rFonts w:ascii="Times New Roman;sans-serif" w:hAnsi="Times New Roman;sans-serif"/>
          <w:b w:val="false"/>
          <w:i/>
          <w:color w:val="000000"/>
          <w:sz w:val="20"/>
          <w:shd w:fill="FFFFFF" w:val="clear"/>
        </w:rPr>
        <w:t>ASC 321 Investments - Equity Securities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Related Party Advance</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During the third quarter of 2022, Navitas made</w:t>
      </w:r>
      <w:r>
        <w:rPr>
          <w:color w:val="000000"/>
        </w:rPr>
        <w:t xml:space="preserve"> </w:t>
      </w:r>
      <w:r>
        <w:rPr>
          <w:rFonts w:ascii="Times New Roman;sans-serif" w:hAnsi="Times New Roman;sans-serif"/>
          <w:b w:val="false"/>
          <w:color w:val="000000"/>
          <w:sz w:val="20"/>
        </w:rPr>
        <w:t>a $1.0 million advance to its partner in the joint venture described above in order to facilitate orders of raw materials. The outstanding amount as of June 30, 2023 was not material.</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Leases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leases certain property from an entity that it is owned by an executive of the Company, which expires in September 2023. During the three and six months ended June 30, 2023, the Company</w:t>
      </w:r>
      <w:r>
        <w:rPr>
          <w:color w:val="000000"/>
        </w:rPr>
        <w:t xml:space="preserve"> </w:t>
      </w:r>
      <w:r>
        <w:rPr>
          <w:rFonts w:ascii="Times New Roman;sans-serif" w:hAnsi="Times New Roman;sans-serif"/>
          <w:b w:val="false"/>
          <w:color w:val="000000"/>
          <w:sz w:val="20"/>
        </w:rPr>
        <w:t xml:space="preserve">paid an immaterial amount in rental payments in relation to this lease. These payments were made at standard market rates in the </w:t>
      </w:r>
      <w:r>
        <w:rPr>
          <w:rFonts w:ascii="Times New Roman;sans-serif" w:hAnsi="Times New Roman;sans-serif"/>
          <w:b w:val="false"/>
          <w:color w:val="000000"/>
          <w:sz w:val="20"/>
          <w:shd w:fill="FFFFFF" w:val="clear"/>
        </w:rPr>
        <w:t>ordinary course of business. The total rent obligation as of June 30, 2023 was $27 thousand through September 30, 2023.</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 leases certain property from the family member of a senior executive of the Company, which expires in March 2024. During the three and six months ended June 30, 2023, the Co</w:t>
      </w:r>
      <w:r>
        <w:rPr>
          <w:rFonts w:ascii="Times New Roman;sans-serif" w:hAnsi="Times New Roman;sans-serif"/>
          <w:b w:val="false"/>
          <w:color w:val="000000"/>
          <w:sz w:val="20"/>
        </w:rPr>
        <w:t>mpany paid an immaterial amount in rental payments in relation to this lease. These payments were made at standard market rates in the ordinary course of business. The total rent obligation as of June 30, 2023 was $32 thousand through M</w:t>
      </w:r>
      <w:r>
        <w:rPr>
          <w:rFonts w:ascii="Times New Roman;sans-serif" w:hAnsi="Times New Roman;sans-serif"/>
          <w:b w:val="false"/>
          <w:color w:val="000000"/>
          <w:sz w:val="20"/>
          <w:shd w:fill="FFFFFF" w:val="clear"/>
        </w:rPr>
        <w:t>arch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5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17. BUSINESS COMBINATIONS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of VDDTECH srl</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On June 10, 2022, the Company’s wholly owned subsidiary, Navitas Semiconductor Limited, acquired all of the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w:t>
      </w:r>
      <w:r>
        <w:rPr>
          <w:rFonts w:ascii="Times New Roman;sans-serif" w:hAnsi="Times New Roman;sans-serif"/>
          <w:b w:val="false"/>
          <w:color w:val="000000"/>
          <w:sz w:val="20"/>
          <w:shd w:fill="FFFFFF" w:val="clear"/>
        </w:rPr>
        <w:t>luded in the Company’s Condensed Consolidated Balance Sheets and Condensed Consolidated Statements of Operations.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recorded an allocation of the purchase price to tangible assets acquired and liabilities assumed based on their fair values as of</w:t>
      </w:r>
      <w:r>
        <w:rPr>
          <w:color w:val="000000"/>
          <w:shd w:fill="FFFFFF" w:val="clear"/>
        </w:rPr>
        <w:t xml:space="preserve"> </w:t>
      </w:r>
      <w:r>
        <w:rPr>
          <w:rFonts w:ascii="Times New Roman;sans-serif" w:hAnsi="Times New Roman;sans-serif"/>
          <w:b w:val="false"/>
          <w:color w:val="000000"/>
          <w:sz w:val="20"/>
          <w:shd w:fill="FFFFFF" w:val="clear"/>
        </w:rPr>
        <w:t xml:space="preserve">the acquisition date. The excess of the purchase price over the fair value of tangible assets and liabilities of </w:t>
      </w:r>
      <w:r>
        <w:rPr>
          <w:rFonts w:ascii="Times New Roman;sans-serif" w:hAnsi="Times New Roman;sans-serif"/>
          <w:b w:val="false"/>
          <w:color w:val="000000"/>
          <w:sz w:val="20"/>
        </w:rPr>
        <w:t>$1.2 million</w:t>
      </w:r>
      <w:r>
        <w:rPr>
          <w:color w:val="000000"/>
          <w:shd w:fill="FFFFFF" w:val="clear"/>
        </w:rPr>
        <w:t xml:space="preserve"> </w:t>
      </w:r>
      <w:r>
        <w:rPr>
          <w:rFonts w:ascii="Times New Roman;sans-serif" w:hAnsi="Times New Roman;sans-serif"/>
          <w:b w:val="false"/>
          <w:color w:val="000000"/>
          <w:sz w:val="20"/>
          <w:shd w:fill="FFFFFF" w:val="clear"/>
        </w:rPr>
        <w:t xml:space="preserve">was recorded as goodwill as of June 30, 2022. Subsequent to June 30, 2022, a valuation of the intangible assets acquired was calculated at </w:t>
      </w:r>
      <w:r>
        <w:rPr>
          <w:rFonts w:ascii="Times New Roman;sans-serif" w:hAnsi="Times New Roman;sans-serif"/>
          <w:b w:val="false"/>
          <w:color w:val="000000"/>
          <w:sz w:val="20"/>
        </w:rPr>
        <w:t>$1.2 million</w:t>
      </w:r>
      <w:r>
        <w:rPr>
          <w:rFonts w:ascii="Times New Roman;sans-serif" w:hAnsi="Times New Roman;sans-serif"/>
          <w:b w:val="false"/>
          <w:color w:val="000000"/>
          <w:sz w:val="20"/>
          <w:shd w:fill="FFFFFF" w:val="clear"/>
        </w:rPr>
        <w:t xml:space="preserve">. During the third quarter of fiscal year 2022, the Company reclassified the goodwill to an intangible asset. </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in-process R&amp;D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18% to determine the fair value.</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of GeneSiC Semiconductor Inc.</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15, 2022, the Company entered into an Agreement and Plan of Merger (the “Merger Agreement”) to acquire 100% of the outstanding shares of GeneSiC Semiconductor Inc., a silicon carbide (“SiC”) pioneer with deep expertise in SiC power device design and process, based in Dulles, Virginia. Total merger consideration was approximately $244.0 million and consisted of approximately $146.3 million of common stock, $97.1 million of cash consideration, and potential future cash earn-out payments of up to an aggregate of $25.0 million which were fair valued at $0.6 million. The acquisition was accounted for as a business combination in accordance with ASC 805, Business Combinations. The Company has determined fair values of the assets acquired and liabilities assumed.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purchase consideration and the purchase price allocation to estimated fair values of the identifiable assets acquired and liabilities assumed (in thousands) at acquisition date:</w:t>
      </w:r>
    </w:p>
    <w:p>
      <w:pPr>
        <w:pStyle w:val="TextBody"/>
        <w:bidi w:val="0"/>
        <w:spacing w:before="0" w:after="0"/>
        <w:jc w:val="both"/>
        <w:rPr/>
      </w:pPr>
      <w:r>
        <w:rPr/>
      </w:r>
    </w:p>
    <w:tbl>
      <w:tblPr>
        <w:tblW w:w="5028" w:type="dxa"/>
        <w:jc w:val="left"/>
        <w:tblInd w:w="0" w:type="dxa"/>
        <w:tblLayout w:type="fixed"/>
        <w:tblCellMar>
          <w:top w:w="28" w:type="dxa"/>
          <w:left w:w="28" w:type="dxa"/>
          <w:bottom w:w="28" w:type="dxa"/>
          <w:right w:w="28" w:type="dxa"/>
        </w:tblCellMar>
      </w:tblPr>
      <w:tblGrid>
        <w:gridCol w:w="1270"/>
        <w:gridCol w:w="1118"/>
        <w:gridCol w:w="1122"/>
        <w:gridCol w:w="109"/>
        <w:gridCol w:w="109"/>
        <w:gridCol w:w="109"/>
        <w:gridCol w:w="211"/>
        <w:gridCol w:w="826"/>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Merger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 at closing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consideration at closing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 of purchase price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 of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merger price over the amounts assigned to the fair value of the assets acquired and the liabilities assumed, the final amount of the goodwill recorded could differ materially from the amount presented. Goodwill is primarily attributable to assembled workforce, market and expansion capabilities, expected synergies from integration and streamlining operational activities and other factors. Goodwill is not expected to be deductible for income tax purposes.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Company’s second quarter of 2023, the Company received information regarding products shipped by GeneSiC to a distributor prior to the Company’s acquisition of GeneSiC. GeneSiC had the option, but not the obligation, to accept returns sold to the distributor. The Company determined that a $1.7 million return liability should have been recorded as of the close of the acquisition on August 15, 2022. The Company recorded the return liability as a purchase price adjustment as of June 30, 2023, resulting in an increase to goodwill and accounts payable and other accrued expenses of $1.7 million.</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cumulative purchase price allocation adjustment through June 30, 2023 was $1.6 million, primarily due to sales returns discussed above, inventory reserve, working capital adjustment and employee bonuses.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the identifiable intangible assets acquired at the date of Acquisition are as follows (in thousands): </w:t>
      </w:r>
    </w:p>
    <w:p>
      <w:pPr>
        <w:pStyle w:val="TextBody"/>
        <w:bidi w:val="0"/>
        <w:spacing w:before="0" w:after="0"/>
        <w:jc w:val="both"/>
        <w:rPr/>
      </w:pPr>
      <w:r>
        <w:rPr/>
      </w:r>
    </w:p>
    <w:tbl>
      <w:tblPr>
        <w:tblW w:w="7691" w:type="dxa"/>
        <w:jc w:val="left"/>
        <w:tblInd w:w="0" w:type="dxa"/>
        <w:tblLayout w:type="fixed"/>
        <w:tblCellMar>
          <w:top w:w="28" w:type="dxa"/>
          <w:left w:w="28" w:type="dxa"/>
          <w:bottom w:w="28" w:type="dxa"/>
          <w:right w:w="28" w:type="dxa"/>
        </w:tblCellMar>
      </w:tblPr>
      <w:tblGrid>
        <w:gridCol w:w="930"/>
        <w:gridCol w:w="814"/>
        <w:gridCol w:w="821"/>
        <w:gridCol w:w="109"/>
        <w:gridCol w:w="109"/>
        <w:gridCol w:w="109"/>
        <w:gridCol w:w="211"/>
        <w:gridCol w:w="826"/>
        <w:gridCol w:w="109"/>
        <w:gridCol w:w="109"/>
        <w:gridCol w:w="109"/>
        <w:gridCol w:w="109"/>
        <w:gridCol w:w="644"/>
        <w:gridCol w:w="644"/>
        <w:gridCol w:w="646"/>
        <w:gridCol w:w="109"/>
        <w:gridCol w:w="109"/>
        <w:gridCol w:w="109"/>
        <w:gridCol w:w="312"/>
        <w:gridCol w:w="312"/>
        <w:gridCol w:w="441"/>
      </w:tblGrid>
      <w:tr>
        <w:trPr/>
        <w:tc>
          <w:tcPr>
            <w:tcW w:w="93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Life</w:t>
            </w:r>
          </w:p>
        </w:tc>
      </w:tr>
      <w:tr>
        <w:trPr/>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years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years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valuations of intangible assets incorporate significant unobservable inputs and require significant judgment and estimates, including the amount and timing of future cash flows. The Company recognized approximately $5.9 million of transaction costs in the fiscal year ended December 31, 2022. These costs were recorded in “Selling, general and administrative expense” in the consolidated statements of operations. The financial results of GeneSiC have been included in the Company's consolidated financial statements since the date of the acquisition. </w:t>
      </w:r>
    </w:p>
    <w:p>
      <w:pPr>
        <w:pStyle w:val="TextBody"/>
        <w:bidi w:val="0"/>
        <w:spacing w:before="0" w:after="0"/>
        <w:ind w:left="0" w:right="0" w:firstLine="630"/>
        <w:jc w:val="both"/>
        <w:rPr/>
      </w:pPr>
      <w:r>
        <w:rPr/>
      </w:r>
    </w:p>
    <w:p>
      <w:pPr>
        <w:pStyle w:val="TextBody"/>
        <w:bidi w:val="0"/>
        <w:spacing w:lineRule="auto" w:line="288" w:before="0" w:after="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developed technology was estimated using the multi-period excess earnings method, an income approach (Level 3), which converts projected revenues and costs into cash flows. To reflect the fact that certain other assets contribute to the cash flows generated, the returns for these contributory assets were removed to arrive at estimated cash flows solely attributable to the acquired technology, which were discounted at a rate of 15% to determine the fair value.</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customer relationships was estimated using the distributor method, an income level approach (Level 3), which estimates the value of an asset based upon costs avoided through ownership of the asset. Estimated costs on projected revenues were made using historical data pertaining to sales to new and existing customers. The cash flow impact of projected cost savings, primarily avoidance of legal costs pertaining to new customers and lower commission rates applicable to existing customers than new customers, were discounted at a rate of 16% to determine the fair value. </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trade name and trademarks was estimated using the relief from royalty method, an income approach (Level 3), because of the licensing appeal of these assets, the Company estimated the benefit of the ownership as the relief from the royalty expense that would be incurred in the absence of ownership A royalty rate was applied to the projected revenues associated with the intangible asset to determine the amount of savings, which was at a rate of 1% to determine the fair value.</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patents was estimated using the relief from royalty method, an income approach (Level 3), because of the licensing appeal of these assets, the Company estimated the benefit of the ownership as the relief from the royalty expense that would be incurred in the absence of ownership. A royalty rate was applied to the projected revenues associated with the intangible asset to determine the amount of savings, which was at a rate of 5% to determine the fair value.</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value of the non-competition agreement was estimated using the lost income method (Level 3). Because the non-competition agreement prohibits the covenantor from competing with the Company, the fair value of the non-competition agreement can be determined by estimating cash flows that would be lost if the covenantors were to compete. Based on this method we estimated a discount rate of 16% to determine the fair value.</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Discount rates for each respective intangible asset were determined by accounting for the risk associated with each asset, including required technology development and customer acquisition required to support respective projections, the uncertainty of market success and the risk inherent with projected financial results. The estimated useful lives were determined by evaluating the expected economic and useful lives of the assets and of similar intangible assets from comparable business combinations and adjusting accordingly after taking into account circumstances that may be unique to GeneSiC. Net tangible assets and intangibles assets assumed as well as goodwill recognized are presented as continuing operations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financial information presented in the table below is provided for illustrative purposes only and is based on the historical financial statements of the Company and presents the Company’s results as if the business combination had occurred as of January 1, 2022 (in thousands):</w:t>
      </w:r>
    </w:p>
    <w:p>
      <w:pPr>
        <w:pStyle w:val="TextBody"/>
        <w:bidi w:val="0"/>
        <w:spacing w:before="0" w:after="0"/>
        <w:ind w:left="0" w:right="0" w:firstLine="630"/>
        <w:jc w:val="both"/>
        <w:rPr/>
      </w:pPr>
      <w:r>
        <w:rPr/>
      </w:r>
    </w:p>
    <w:tbl>
      <w:tblPr>
        <w:tblW w:w="9895" w:type="dxa"/>
        <w:jc w:val="left"/>
        <w:tblInd w:w="0" w:type="dxa"/>
        <w:tblLayout w:type="fixed"/>
        <w:tblCellMar>
          <w:top w:w="28" w:type="dxa"/>
          <w:left w:w="28" w:type="dxa"/>
          <w:bottom w:w="28" w:type="dxa"/>
          <w:right w:w="28" w:type="dxa"/>
        </w:tblCellMar>
      </w:tblPr>
      <w:tblGrid>
        <w:gridCol w:w="888"/>
        <w:gridCol w:w="778"/>
        <w:gridCol w:w="778"/>
        <w:gridCol w:w="281"/>
        <w:gridCol w:w="281"/>
        <w:gridCol w:w="281"/>
        <w:gridCol w:w="545"/>
        <w:gridCol w:w="1863"/>
        <w:gridCol w:w="281"/>
        <w:gridCol w:w="281"/>
        <w:gridCol w:w="281"/>
        <w:gridCol w:w="281"/>
        <w:gridCol w:w="545"/>
        <w:gridCol w:w="2134"/>
        <w:gridCol w:w="397"/>
      </w:tblGrid>
      <w:tr>
        <w:trPr/>
        <w:tc>
          <w:tcPr>
            <w:tcW w:w="88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9895" w:type="dxa"/>
            <w:gridSpan w:val="15"/>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UNAUDITED PRO FORMA CONDENSED CONSOLIDATED STATEMENT OF OPERATIONS </w:t>
            </w:r>
          </w:p>
        </w:tc>
      </w:tr>
      <w:tr>
        <w:trPr/>
        <w:tc>
          <w:tcPr>
            <w:tcW w:w="244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244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25,196 </w:t>
            </w:r>
          </w:p>
        </w:tc>
        <w:tc>
          <w:tcPr>
            <w:tcW w:w="397"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116,356 </w:t>
            </w:r>
          </w:p>
        </w:tc>
        <w:tc>
          <w:tcPr>
            <w:tcW w:w="397"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0.79 </w:t>
            </w:r>
          </w:p>
        </w:tc>
        <w:tc>
          <w:tcPr>
            <w:tcW w:w="397"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8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2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397"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ind w:left="0" w:right="0" w:firstLine="630"/>
        <w:jc w:val="both"/>
        <w:rPr/>
      </w:pPr>
      <w:r>
        <w:rPr>
          <w:rFonts w:ascii="Times New Roman;sans-serif" w:hAnsi="Times New Roman;sans-serif"/>
          <w:b w:val="false"/>
          <w:color w:val="000000"/>
          <w:sz w:val="20"/>
        </w:rPr>
        <w:t>The unaudited pro forma financial information may not be indicative of the results of operations that the Company would have attained had the business combination occurred as of January 1, 2022, nor is the pro forma financial information indicative of the results of operations that may occur in the fut</w:t>
      </w:r>
      <w:r>
        <w:rPr>
          <w:rFonts w:ascii="Times New Roman;sans-serif" w:hAnsi="Times New Roman;sans-serif"/>
          <w:b w:val="false"/>
          <w:color w:val="000000"/>
          <w:sz w:val="20"/>
          <w:shd w:fill="FFFFFF" w:val="clear"/>
        </w:rPr>
        <w:t>ure.</w:t>
      </w:r>
    </w:p>
    <w:p>
      <w:pPr>
        <w:pStyle w:val="TextBody"/>
        <w:bidi w:val="0"/>
        <w:spacing w:before="0" w:after="0"/>
        <w:ind w:left="0" w:right="0" w:firstLine="630"/>
        <w:jc w:val="both"/>
        <w:rPr/>
      </w:pPr>
      <w:r>
        <w:rPr/>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NONCONTROLLING INTEREST</w:t>
      </w:r>
    </w:p>
    <w:p>
      <w:pPr>
        <w:pStyle w:val="TextBody"/>
        <w:bidi w:val="0"/>
        <w:spacing w:before="0" w:after="0"/>
        <w:jc w:val="both"/>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formed a joint venture for the purpose of conducting research and development on technology in the area of AC/DC converters for chargers and adapters. Refer to Note 16 above.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19, 2022, the Company obtained control of the joint venture, and no consideration was paid pursuant to the Change of Control Agreement. The Company consolidated the fair value of the net assets of the joint venture as of August 19, 2022, and the Company reports noncontrolling interests of the joint venture as a component of equity separate from the Company’s equity. The fair value of the noncontrolling interest and net assets is based on estimates. The Company’s net income (loss) excludes income (loss) attributable to the noncontrollling interests. The fair value of the joint venture was determined based on a multiple of future annual revenues with a discount rate of 30%. In connection with the consolidation, the Company reacquired a patent license, which was fair valued at $1.0 million based on comparable transactions during the year, and will be amortized over a five year term. Goodwill of $3.1 million was recorded in connection with this transaction.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On January 19, 2023, the Company announced an agreement to acquire the remaining minority interest in the joint venture </w:t>
      </w:r>
      <w:r>
        <w:rPr>
          <w:rFonts w:ascii="Times New Roman;sans-serif" w:hAnsi="Times New Roman;sans-serif"/>
          <w:b w:val="false"/>
          <w:color w:val="000000"/>
          <w:sz w:val="20"/>
          <w:shd w:fill="FFFFFF" w:val="clear"/>
        </w:rPr>
        <w:t xml:space="preserve">as well as rights to certain intellectual property from Halo and its U.S. affiliate </w:t>
      </w:r>
      <w:r>
        <w:rPr>
          <w:rFonts w:ascii="Times New Roman;sans-serif" w:hAnsi="Times New Roman;sans-serif"/>
          <w:b w:val="false"/>
          <w:color w:val="000000"/>
          <w:sz w:val="20"/>
        </w:rPr>
        <w:t>for a total purchase price of $22.4 million in Navitas stock. The transaction was completed on February 13, 2023. In connection with the purchase of intellectual property, the Company recognized developed technology as an intangible asset at its estimated fair value o</w:t>
      </w:r>
      <w:r>
        <w:rPr>
          <w:rFonts w:ascii="Times New Roman;sans-serif" w:hAnsi="Times New Roman;sans-serif"/>
          <w:b w:val="false"/>
          <w:color w:val="000000"/>
          <w:sz w:val="20"/>
          <w:shd w:fill="FFFFFF" w:val="clear"/>
        </w:rPr>
        <w:t>f $4.4 million</w:t>
      </w:r>
      <w:r>
        <w:rPr>
          <w:rFonts w:ascii="Times New Roman;sans-serif" w:hAnsi="Times New Roman;sans-serif"/>
          <w:b w:val="false"/>
          <w:color w:val="000000"/>
          <w:sz w:val="20"/>
        </w:rPr>
        <w:t>. As a result of this transaction, the Company recorded a net increase to additional paid in capital of $7.5 million representing the difference between the fair value of share consideration related to the acquisition of the remaining noncontrolling interest and the carrying value of the noncontrolling interest at the date of the transaction.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developed technology was estimated using the relief from royalty method, an income approach (Level 3), because of the licensing appeal of these assets The Company estimated the benefit of the ownership as the relief form the royalty expense that would be incurred in the absence of ownership. A royalty rate was applied to the projected revenues associated with the intangible asset to determine the amount of savings, which was at a rate of 10% to determine the fair value.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material subsequent events from the consolidated balance sheet date of June 30, 2023, through August 14, 2023, the date the condensed consolidated financial statements were issued. There were no material subsequent events as of August 14,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pStyle w:val="TextBody"/>
        <w:bidi w:val="0"/>
        <w:spacing w:lineRule="auto" w:line="288" w:before="120" w:after="283"/>
        <w:ind w:left="0" w:right="0" w:firstLine="5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pStyle w:val="TextBody"/>
        <w:bidi w:val="0"/>
        <w:spacing w:lineRule="auto" w:line="288"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Founded in 2013, Navitas is a U.S. based developer of gallium nitride and silicon carbide power semiconductor devices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Belgium, China, Taiwan, Thailand and the Philippines, with principal executive offices in Torrance, California.</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 </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support of our technology leadership, we have formed relationships with numerous Tier 1 manufacturers and suppliers over the past eight years, gaining significant traction in mobile and consumer charging applications. Navitas GaN is now in mass production with 10 of the top 10 world-wide mobile OEMs across smartphone and laptops in development with 10 out of 10. In addition, our supply chain partners have committed manufacturing capacity in excess of what we consider to be necessary to support our continued growth and expansion.</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A core strength of our business lies in our industry leading IP position in GaN Power ICs. Navitas invented the first commercial GaN Power ICs. Today, we have</w:t>
      </w:r>
      <w:r>
        <w:rPr>
          <w:color w:val="000000"/>
        </w:rPr>
        <w:t xml:space="preserve"> </w:t>
      </w:r>
      <w:r>
        <w:rPr>
          <w:rFonts w:ascii="Times New Roman;sans-serif" w:hAnsi="Times New Roman;sans-serif"/>
          <w:b w:val="false"/>
          <w:color w:val="000000"/>
          <w:sz w:val="20"/>
        </w:rPr>
        <w:t xml:space="preserve">over 185 patents </w:t>
      </w:r>
      <w:r>
        <w:rPr>
          <w:rFonts w:ascii="Times New Roman;sans-serif" w:hAnsi="Times New Roman;sans-serif"/>
          <w:b w:val="false"/>
          <w:color w:val="000000"/>
          <w:sz w:val="20"/>
          <w:shd w:fill="FFFFFF" w:val="clear"/>
        </w:rPr>
        <w:t>that are issued or pending.</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In addition to our comprehensive patent portfolio, our biggest proprietary advantage is our process design kit (PDK), the ‘how-to’ guide for Navitas designers to create new GaN based devices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the six months ended June 30, 2023 and 2022</w:t>
      </w:r>
      <w:r>
        <w:rPr>
          <w:rFonts w:ascii="Times New Roman;sans-serif" w:hAnsi="Times New Roman;sans-serif"/>
          <w:b w:val="false"/>
          <w:color w:val="000000"/>
          <w:sz w:val="20"/>
        </w:rPr>
        <w:t xml:space="preserve">, we spent approximately 109% and 149%, respectively, of our revenue on research and development. Navitas’ research and development activities are </w:t>
      </w:r>
      <w:r>
        <w:rPr>
          <w:rFonts w:ascii="Times New Roman;sans-serif" w:hAnsi="Times New Roman;sans-serif"/>
          <w:b w:val="false"/>
          <w:color w:val="000000"/>
          <w:sz w:val="20"/>
          <w:shd w:fill="FFFFFF" w:val="clear"/>
        </w:rPr>
        <w:t xml:space="preserve">located primarily in the US and China.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May 2023 Public Offering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p>
    <w:p>
      <w:pPr>
        <w:pStyle w:val="TextBody"/>
        <w:bidi w:val="0"/>
        <w:spacing w:before="120" w:after="283"/>
        <w:ind w:left="0" w:right="0" w:firstLine="54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Buyout of Elevation Semiconductor</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19, 2023, the Company announced an agreement to acquire the remaining minority interest in its silicon control IC joint venture as well as rights to certain intellectual property from Halo Microelectronics for a total purchase price of $22.4 million in Navitas stock. As Navitas was already the majority shareholder, financial results from the joint venture have already been reflected in Navitas’ historical financial statements. The transaction was completed on February 13, 2023. In connection with the purchase of intellectual property, the Company recognized an intangible asset at its estimated fair value of $4.4 million related to acquired intellectual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GeneSiC</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15, 2022, the Company entered into an Agreement and Plan of Merger (the “Merger Agreement”) to acquire 100% of the outstanding shares of GeneSiC Semiconductor Inc. (“GeneSiC”) for $146.3 million of equity, $97.1 million of cash consideration, and potential future earn-out payments of up to an aggregate of $25.0 million in cash. GeneSiC is a silicon carbide (“SiC”) pioneer with deep expertise in SiC power device design and process, based in Dulles, Virginia. The future earn-out payments were fair valued at $0.6 million, for a total merger consideration of $244.0 million. GeneSiC’s net assets and operating results since the merger date are included in the Company’s Condensed Consolidated Balance Sheet and Condensed Consolidated Statements of Operations as of and for the three and six months ended June 30, 2023.</w:t>
      </w:r>
    </w:p>
    <w:p>
      <w:pPr>
        <w:pStyle w:val="TextBody"/>
        <w:bidi w:val="0"/>
        <w:spacing w:lineRule="auto" w:line="288" w:before="120" w:after="283"/>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Company’s second quarter of 2023, the Company received information regarding products shipped by GeneSiC to a distributor prior to the Company’s acquisition of GeneSiC. GeneSiC had the option, but not the obligation, to accept returns sold to the distributor. The Company determined that a $1.7 million return liability should have been recorded as of the close of the acquisition on August 15, 2022. The Company recorded the return liability as a purchase price adjustment as of June 30, 2023, resulting in an increase to goodwill and accounts payable and other accrued expenses of $1.7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VDDTech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2022, the Company’s wholly owned subsidiary, Navitas Semiconductor Limited, acquired all of the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included in the Company’s Condensed Consolidated Balance Sheet and Condensed Consolidated Statement of Operations for the three and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288" w:before="12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design, develop and market next-generation power semiconductors including gallium nitride (“GaN”) power integrated circuits (“ICs”, silicon carbide (“SiC”) and associated high-speed silicon system controllers, and digital isolators used in power conversion and charging. Our revenue represents the sale of semiconductors through specialized distributors to original equipment manufacturers (“OEMs”), their suppliers and other end customers.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revenues fluctuate in response to a combination of factors, including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overall product mix and sales volumes;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gains and losses in market share and design win traction;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pace at which technology is adopted in our end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stage of our products in their respective life cycles;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effects of competition and competitive pricing strategies;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availability of specialized field application engineering resources supporting demand creation and end customer adoption of new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achieving acceptable yields and obtaining adequate production capacity from our wafer foundries and assembly and test subcontractors;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 acceptance of our end customers’ products; governmental regulations influencing our markets;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global and regional economic cycles.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product revenue is recognized when the customer obtains control of the product and the timing of recognition is based on the contractual shipping terms of a contract. We provide a non-conformity warranty which is not sold separately and does not represent a separate performance obligation. Our product revenue is well diversified across the United States, Europe, and Asia.</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Cost of Revenues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revenues also includes compensation related to personnel associated with manufacturing.</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Research and Development Expense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Selling, General and Administrative Expense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Interest Income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income primarily consists of interest earned from our cash on hand.</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Interest Expense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expense primarily consists of interest under our term loan facility, held during the fiscal year 2022.</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Legacy Navitas is a dual domesticated corporation for Ireland and U.S. federal income tax purposes. Refer to Note 14, Provision for Income Taxes, in our accompanying condensed consolidated financial statements elsewhere in this quarterly report.</w:t>
      </w:r>
    </w:p>
    <w:p>
      <w:pPr>
        <w:pStyle w:val="TextBody"/>
        <w:bidi w:val="0"/>
        <w:spacing w:lineRule="auto" w:line="288" w:before="36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tables and discussion below present our results for the three and six months ended June 30, 2023 and 2022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1"/>
        <w:gridCol w:w="1522"/>
        <w:gridCol w:w="1521"/>
        <w:gridCol w:w="109"/>
        <w:gridCol w:w="109"/>
        <w:gridCol w:w="109"/>
        <w:gridCol w:w="211"/>
        <w:gridCol w:w="775"/>
        <w:gridCol w:w="109"/>
        <w:gridCol w:w="109"/>
        <w:gridCol w:w="109"/>
        <w:gridCol w:w="109"/>
        <w:gridCol w:w="211"/>
        <w:gridCol w:w="721"/>
        <w:gridCol w:w="109"/>
        <w:gridCol w:w="109"/>
        <w:gridCol w:w="109"/>
        <w:gridCol w:w="109"/>
        <w:gridCol w:w="211"/>
        <w:gridCol w:w="616"/>
        <w:gridCol w:w="109"/>
        <w:gridCol w:w="109"/>
        <w:gridCol w:w="109"/>
        <w:gridCol w:w="109"/>
        <w:gridCol w:w="285"/>
        <w:gridCol w:w="286"/>
        <w:gridCol w:w="420"/>
      </w:tblGrid>
      <w:tr>
        <w:trPr/>
        <w:tc>
          <w:tcPr>
            <w:tcW w:w="179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amortization of intangible assets included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earnout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86"/>
        <w:gridCol w:w="1419"/>
        <w:gridCol w:w="1417"/>
        <w:gridCol w:w="109"/>
        <w:gridCol w:w="109"/>
        <w:gridCol w:w="109"/>
        <w:gridCol w:w="211"/>
        <w:gridCol w:w="877"/>
        <w:gridCol w:w="109"/>
        <w:gridCol w:w="109"/>
        <w:gridCol w:w="109"/>
        <w:gridCol w:w="109"/>
        <w:gridCol w:w="211"/>
        <w:gridCol w:w="826"/>
        <w:gridCol w:w="109"/>
        <w:gridCol w:w="109"/>
        <w:gridCol w:w="109"/>
        <w:gridCol w:w="109"/>
        <w:gridCol w:w="211"/>
        <w:gridCol w:w="721"/>
        <w:gridCol w:w="109"/>
        <w:gridCol w:w="109"/>
        <w:gridCol w:w="109"/>
        <w:gridCol w:w="109"/>
        <w:gridCol w:w="285"/>
        <w:gridCol w:w="286"/>
        <w:gridCol w:w="420"/>
      </w:tblGrid>
      <w:tr>
        <w:trPr/>
        <w:tc>
          <w:tcPr>
            <w:tcW w:w="168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4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amortization of intangible assets included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from change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earnout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June 30, 2023 Compared to the Three Months Ended June 30, 2022</w:t>
      </w:r>
    </w:p>
    <w:p>
      <w:pPr>
        <w:pStyle w:val="TextBody"/>
        <w:bidi w:val="0"/>
        <w:spacing w:lineRule="auto" w:line="288" w:before="12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three months ended June 30, 2023 was $18.1 million compared to $8.6 million for the three months ended June 30, 2022, an increase of $9.5 million, or 110%. The increase reflects a combination of the Company’s customer growth trajectory, evolving from aftermarket customers to higher volume customers, and the accretive revenue impact from the acquisition of GeneSiC. Total sales volume increased 121%, from 7.3 million to 16.2 million units shipped, while the average selling price increased 4% to $1.07 per unit.</w:t>
      </w:r>
    </w:p>
    <w:p>
      <w:pPr>
        <w:pStyle w:val="TextBody"/>
        <w:bidi w:val="0"/>
        <w:spacing w:lineRule="auto" w:line="288"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Cost of Revenues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for the three months ended June 30, 2023 was $10.6 million compared to $5.0 for the three months ended June 30, 2022, an increase of $5.5 million or 110%. The increase was primarily driven by significant revenue growth, acquisition of GeneSiC, in addition to TSMC’s 20% wafer price increase which created a higher cost of revenues.</w:t>
      </w:r>
    </w:p>
    <w:p>
      <w:pPr>
        <w:pStyle w:val="TextBody"/>
        <w:bidi w:val="0"/>
        <w:spacing w:lineRule="auto" w:line="288"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Research and Development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for the three months ended June 30, 2023 of $16.8 million increased by $7.3 million, or 76%, when compared to the three months ended June 30, 2022, driven by an increase of $3.9 million in stock based compensation and $3.1 million in compensation costs related to growth in headcount. We expect research and development expense to continue to increase as we grow our headcount to support our expansion into new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Selling, General and Administrative Expense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for the three months ended June 30, 2023 of $13.2 million decreased by $0.8 million, or 6%, when compared to the three months ended June 30, 2022, driven by decreases of $2.4 million in stock based compensation, offset by an increase of $1.1 million in headcount costs, $0.3 million in professional fees, and $0.2 million higher transaction expenses. We expect selling, general and administrative costs to increase to support our growth and as a result of the increased costs for infrastructure required as a public company.</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Amortization of Definite-Lived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definite-lived intangible assets for the three months ended June 30, 2023 of $4.8 million increased by $4.7 million, or 5582%, when compared to the three months ended June 30, 2022. The increase is primarily due to business acquisitions that occurred during the fiscal year ended December 31, 2022.</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 Income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for the three months ended June 30, 2023 was $0.8 million compared to $0.1 million net interest expense for the three months ended June 30, 2022, primarily due to the higher interest rate received on money markets funds.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we recognized a $32.2 million loss from the change in fair value of our earn-out liabilities. Subsequent to the recognition of the earnout liability upon the consummation of the Business Combination on October 19, 2021, we remeasure the fair value of this liability at each reporting date. The increase in fair value of our earn-out liability of $32.2 million was primarily a result of the increase of the closing price of our Class A common stock listed on the Nasdaq, resulting in the increase in the estimated fair value of the earnout shares from $4.76 as of March 31, 2023 to $8.58 as of June 30, 2023.</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Income Tax (Benefit) Provision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provision for the three months ended June 30, 2023 did not change materially when compared to the three months ended June 30, 2022. We expect our tax rate to remain close to zero in the near term due to full valuation allowances against deferred tax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Six Months Ended June 30, 2023 Compared to the Six Months Ended June 30, 2022</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six months ended June 30, 2023 was $31.4 million compared to $15.4 million for the six months ended June 30, 2022, an increase of $16.1 million, or 105%. The increase reflects a combination of the Company’s customer growth trajectory, evolving from aftermarket customers to higher volume customers, and the accretive revenue impact from the acquisition of GeneSiC. Total sales volumes increased 69%, from 14.8 million to 25.1 million units shipped, while the average selling price increased 26% to $1.21 per unit.</w:t>
      </w:r>
    </w:p>
    <w:p>
      <w:pPr>
        <w:pStyle w:val="TextBody"/>
        <w:bidi w:val="0"/>
        <w:spacing w:lineRule="auto" w:line="288"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Cost of Revenues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for the six months ended June 30, 2023 was $18.4 million compared to $8.8 million for the six months ended June 30, 2022, an increase of $9.6 million or 110%. The increase was primarily driven by significant revenue growth, acquisition of GeneSiC, in addition to TSMC’s 20% wafer price increase which created a higher cost of revenues.</w:t>
      </w:r>
    </w:p>
    <w:p>
      <w:pPr>
        <w:pStyle w:val="TextBody"/>
        <w:bidi w:val="0"/>
        <w:spacing w:lineRule="auto" w:line="288"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Research and Development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for the six months ended June 30, 2023 of $34.2 million increased by $11.3 million, or 50%, when compared to the six months ended June 30, 2022, driven by an increase of $6.6 million in compensation costs related to growth in headcount and $1.4 million toward the expansion of new products, in addition to an increase of $3.2 million in stock based compensation. We expect research and development expense to continue to increase as we grow our headcount to support our expansion into new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Selling, General and Administrative Expense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for the six months ended June 30, 2023 of $32.2 million decreased by $6.3 million, or 16%, when compared to the six months ended June 30, 2022, driven by decreases of $10.4 million in stock based compensation and $0.6 million in professional fees, partially offset by an increase of $3.1 million in headcount costs and $1.5 million higher transaction expense. We expect selling, general and administrative costs to increase to support our growth and as a result of the increased costs for infrastructure required as a public company.</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Amortization of Definite-Lived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definite-lived intangible assets for the six months ended June 30, 2023 of $9.3 million increased by $9.1 million, or 5291%, when compared to the six months ended June 30, 2022. The increase is primarily due to business acquisitions that occurred during the fiscal year ended December 31, 2022.</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 Income (Expense), net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for the six months ended June 30, 2023 was $1.7 million compared to immaterial net interest expense for the six months ended June 30, 2022, primarily due to the higher interest rate received on money markets funds.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recognized a $60.0 million loss from the change in fair value of our earn-out liabilities. Subsequent to the recognition of the earnout liability upon the consummation of the Business Combination on October 19, 2021, we remeasure the fair value of this liability at each reporting date. The increase in fair value of our earn-out liability of $60.0 million was primarily a result of the increase of the closing price of our Class A common stock listed on the Nasdaq, resulting in the increase in the estimated fair value of the earnout shares from $1.47 as of December 31, 2022 to $8.58 as of June 30, 2022.</w:t>
      </w:r>
    </w:p>
    <w:p>
      <w:pPr>
        <w:pStyle w:val="TextBody"/>
        <w:bidi w:val="0"/>
        <w:spacing w:lineRule="auto" w:line="288"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Income Tax (Benefit) Provision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provision for the six months ended June 30, 2023 did not change materially when compared to the three months ended June 30, 2022. We expect our tax rate to remain close to zero in the near term due to full valuation allowances against deferred tax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primary use of cash is to fund our operating expenses, working capital requirements, and outlays for strategic investments and acquisitions. In addition, we use cash to conduct research and development, incur capital expenditures, and fund our debt service obligations.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2023, we had cash and cash equivalents of $177.7 million. We currently expect to fund our cash requirements through the use of cash on hand. We believe that our current levels of cash and cash equivalents are sufficient to finance our operations, working capital requirements and capital expenditures for the foreseeable future.</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our consolidated cash flows for the six months ended June 30, 2023 and 2022 (in thousands):</w:t>
      </w:r>
    </w:p>
    <w:tbl>
      <w:tblPr>
        <w:tblW w:w="7137" w:type="dxa"/>
        <w:jc w:val="left"/>
        <w:tblInd w:w="0" w:type="dxa"/>
        <w:tblLayout w:type="fixed"/>
        <w:tblCellMar>
          <w:top w:w="28" w:type="dxa"/>
          <w:left w:w="28" w:type="dxa"/>
          <w:bottom w:w="28" w:type="dxa"/>
          <w:right w:w="28" w:type="dxa"/>
        </w:tblCellMar>
      </w:tblPr>
      <w:tblGrid>
        <w:gridCol w:w="1527"/>
        <w:gridCol w:w="1342"/>
        <w:gridCol w:w="1346"/>
        <w:gridCol w:w="241"/>
        <w:gridCol w:w="910"/>
        <w:gridCol w:w="124"/>
        <w:gridCol w:w="109"/>
        <w:gridCol w:w="109"/>
        <w:gridCol w:w="109"/>
        <w:gridCol w:w="240"/>
        <w:gridCol w:w="905"/>
        <w:gridCol w:w="175"/>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 Data:</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derive liquidity primarily from debt and equity financing activities. As of June 30, 2023, our balance of cash and cash equivalents was $177.7 million, which is an increase of $67.4 million or 61% compared to December 31, 2022. </w:t>
      </w:r>
    </w:p>
    <w:p>
      <w:pPr>
        <w:pStyle w:val="TextBody"/>
        <w:bidi w:val="0"/>
        <w:spacing w:lineRule="auto" w:line="288" w:before="36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Operating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net cash used in operating activities was $17.2 million, which primarily reflects a net loss of $120.9 million. This decrease to operating cash flows are partially offset by adjustments for non-cash share-based compensation of $29.7 million, non-cash losses of $60.0 million in earnout liabilities, amortization of intangible assets of $9.3 million, and an aggregate cash provided by operating assets and liabilities of $3.2 million. Specifically, a $11.9 million increase in accounts payable-trade, accrued compensation, and other expenses primarily due to an increase in accrued compensation expense as a result of timing, partially offset by a $6.0 million increase in account receivable and $1.6 million increase in other assets, a $0.7 million increase in prepaid expenses and other, and a decrease in operating lease liabilities of $0.5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six months ended June 30, 2023 of $2.7 million was primarily due to $1.0 million cash funding of a joint venture and $1.7 million for purchases of fixed assets.</w:t>
      </w:r>
    </w:p>
    <w:p>
      <w:pPr>
        <w:pStyle w:val="TextBody"/>
        <w:bidi w:val="0"/>
        <w:spacing w:lineRule="auto" w:line="288"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six months ended June 30, 2023 of $87.3 million was primarily due to proceeds from the issuance of common stock in May 2023 of $86.9 million and proceeds from stock option exercises of $0.9 million, offset by the payment of May 2023 public offering costs of $0.5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Contractual Obligations, Commitments and Contingencies</w: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contractual arrangements that may require future cash payments. As of June 30, 2023, our non-cancellable contractual arrangements consisted entirely of lease obligations. Refer to Note 8 - Leases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Off-Balance Sheet Commitments and Arrangements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2023, we did not have any off-balance sheet arrangements as defined in Item 303(a)(4)(ii)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various other factors that are believed to be reasonable under the circumstances. Actual results may differ from these estimates under different assumptions or conditions.</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have been no material changes to our critical accounting policies and estimates from the information in Item 7, “Management’s Discussion and Analysis of Financial Condition and Results of Operations”, included in our 2022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JOBS Act Accounting Election</w:t>
      </w:r>
    </w:p>
    <w:p>
      <w:pPr>
        <w:pStyle w:val="TextBody"/>
        <w:bidi w:val="0"/>
        <w:spacing w:lineRule="auto" w:line="288"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following the Business Combination, our condensed consolidated financial statements may not be comparable to the financial statements of companies that are required to comply with the effective dates for new or revised accounting standards that are applicable to public companies, which may make common stock less attractive to investors. Since the value of our public float exceeded $700 million as of June 30, 2023, we will cease to be an emerging growth company as of the end of fiscal year 2023 and will become a large accelerated filer, as defined by applicable regulations, effective as of January 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3. Quantitative and Qualitative Disclosures About Market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in Rule 12b-2 under the Securities Exchange Act of 1934, as amended, for this reporting period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pPr>
      <w:r>
        <w:rPr>
          <w:rFonts w:ascii="Times New Roman;sans-serif" w:hAnsi="Times New Roman;sans-serif"/>
          <w:b/>
          <w:color w:val="000000"/>
          <w:sz w:val="20"/>
        </w:rPr>
        <w:t>Evaluation</w:t>
      </w:r>
      <w:r>
        <w:rPr>
          <w:color w:val="000000"/>
        </w:rPr>
        <w:t xml:space="preserve"> </w:t>
      </w:r>
      <w:r>
        <w:rPr>
          <w:rFonts w:ascii="Times New Roman;sans-serif" w:hAnsi="Times New Roman;sans-serif"/>
          <w:b/>
          <w:color w:val="000000"/>
          <w:sz w:val="20"/>
        </w:rPr>
        <w:t>of Disclosure Controls and Procedures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carried out an evaluation, under the supervision and with the participation of our chief executive officer and chief financial officer (our principal executive officer and principal financial officer, respectively), of the effectiveness of the design and operation of our disclosure controls and procedures (as such term is defined in Rule 13a-15(e) under the Exchange Act) as of June 30, 2023, pursuant to Exchange Act Rule 13a-15. Based upon this evaluation, our chief executive officer and chief financial officer have concluded that, as of June 30, 2023, as a result of the material weaknesses in our internal control over financial reporting discussed below and in the Company’s annual report on Form 10-K for the year ended December 31, 2022, our disclosure controls and procedures were not effective.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in Item 9 of our annual report on Form 10-K for the year ended December 31, 2022, management concluded that we lack a sufficient number of trained professionals with technical accounting expertise to identify, evaluate, value and account for complex and non-routine transactions, including revenue and stock-based compensation. We also found we have insufficient accounting resources to maintain appropriate segregation of duties, including to ensure journal entries are reviewed by personnel independent of the preparer.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taken steps to evaluate resources throughout the organization to determine where current resources should be reassigned and where additional resources are needed to consistently and timely execute internal control activities. During the first quarter of 2023, an SEC reporting manger was added to the accounting department and management plans to hire additional accounting staff during the remainder of the year. For more complex transactions and to the extent there is a lack of knowledge within the current accounting team, management plans to engage external professional firms to assist with such transactions as they arise, and to make additional hires and consulting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necessary. During the second quarter, management hired a consulting firm to act as the Company’s co-sourced internal audit department and assist with the Company’s SOX 404(b) readiness. The material weaknesses will not be considered remediated until remediated controls operate for a sufficient period of time and management has concluded that these controls are operating effectively.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concluded that, notwithstanding the material weaknesses described above, the Company’s condensed consolidated financial statements included in this quarterly report on Form 10-Q fairly present, in all material respects, our financial position, results of operations and cash flows as of the date, and for the periods presented, in conformity with U.S.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360" w:after="283"/>
        <w:ind w:left="0" w:right="0" w:firstLine="360"/>
        <w:jc w:val="center"/>
        <w:rPr/>
      </w:pPr>
      <w:r>
        <w:rPr>
          <w:rFonts w:ascii="Times New Roman;sans-serif" w:hAnsi="Times New Roman;sans-serif"/>
          <w:b/>
          <w:color w:val="000000"/>
          <w:sz w:val="20"/>
          <w:shd w:fill="FFFFFF" w:val="clear"/>
        </w:rPr>
        <w:t>PART II</w:t>
      </w:r>
      <w:r>
        <w:rPr>
          <w:color w:val="000000"/>
        </w:rPr>
        <w:t>—</w:t>
      </w:r>
      <w:r>
        <w:rPr>
          <w:rFonts w:ascii="Times New Roman;sans-serif" w:hAnsi="Times New Roman;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 Legal Proceedings.</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be involved in various disputes and litigation matters that arise in the ordinary course of business. We are currently not a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the risk factors disclosed in Part I—Item 1A, “Risk Factors,” in our annual report on Form 10-K for the fiscal year ended December 31, 2022, which was filed with the SEC on April 3, 2023, the following risks could also materially adversely affect our operating results, financial condition or future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management has broad discretion as to the use of the proceeds from our recent follow-on equity offering and may not use the proceeds effectively.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has broad discretion in the application of the net proceeds from this our recently completed follow-on equity offering, described in Note 1 to our consolidated financial statements included in this report. Because of the number and variability of factors that will determine our use of the net proceeds from the offering, their ultimate use may vary substantially from their currently intended use. Pending their use, we may invest the net proceeds from this offering in short-term, investment-grade, interest-bearing securities. These investments may not yield returns that enhance stockholder value. If we do not invest or apply the net proceeds from this offering in ways that enhance stockholder value, we may fail to achieve expected financial results, which could cause our stock price to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We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previously disclosed in our annual report on Form 10-K for the year ended December 31, 2021, in connection with the audit of our consolidated financial statements for the year ended December 31, 2021, we identified material weaknesses in our internal control over financial reporting, as described above in Part I, Item 4, Controls and Procedures. In 2022, we began implementing and are continuing to implement measures designed to improve our internal control over financial reporting to remediate these material weaknesses, specifically by hiring additional accounting personnel to augment existing technical expertise as well as to provide the staffing necessary to maintain effective segregation of duties. As previously disclosed in our annual report on Form 10-K for the year ended December 31, 2022, in connection with the audit of our consolidated financial statements for the year ended December 31, 2022, we identified that these material weaknesses continue to exist as of December 31, 2022. And as disclosed above in Part I, Item 4, Controls and Procedures, we identified that these material weaknesses continue to exist as of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remediation efforts are ongoing, and we will continue our initiatives to implement and document policies and procedures and strengthen our internal control environment. Remediation of the identified material weaknesses and strengthening our internal control environment will require a substantial effort throughout the remainder of 2023. The material weaknesses cannot be considered completely remediated until the applicable controls have operated for a sufficient period of time and management has concluded, through testing, that these controls are operating effectively. In addition, it is possible that certain controls we plan to implement in 2023 will not have operated for a sufficient period of time in 2023 to test their operating effectiveness as part of our evaluation of internal control over financial reporting as of December 31, 2023 and may extend to the following year.</w:t>
      </w:r>
    </w:p>
    <w:p>
      <w:pPr>
        <w:pStyle w:val="TextBody"/>
        <w:bidi w:val="0"/>
        <w:spacing w:before="0" w:after="0"/>
        <w:jc w:val="both"/>
        <w:rPr/>
      </w:pPr>
      <w:r>
        <w:rPr/>
      </w:r>
    </w:p>
    <w:p>
      <w:pPr>
        <w:pStyle w:val="TextBody"/>
        <w:bidi w:val="0"/>
        <w:spacing w:lineRule="auto" w:line="288"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remediate the material weaknesses described above, we have pursued the following remediation steps: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have added an SEC reporting manager to the accounting team with technical accounting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have outsourced complex technical accounting matters to an external third party to provide assistance to us when such accounting matters arise.</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have identified a system generated report from our accounting system that identifies if edits were made to journal entries and posted without review. On at least a quarterly basis, our management will review this report to ensure journal entries are valid.</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through our continued remediation efforts we are unable to successfully remediate our existing or any future material weaknesses in our internal control over financial reporting, or if we identify additional material weaknesses, the accuracy and timing of our financial reporting may be adversely affected, we may be unable to maintain compliance with securities law requirements regarding timely filing of periodic reports in addition to applicable Nasdaq listing requirements. Investors may lose confidence in our reported financial information as a result, which would likely have a negative effect on the trading price of our stock. We also could become subject to investigations by Nasdaq, the SEC or other regulatory authorities.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Investments in or by us may be subject to foreign investment regulation and review in the United States and elsewhere, which may result in material restrictions, conditions, prohibitions or penalties on us or our investors related to any such investments. Semiconductor technologies generally, and GaN and SiC semiconductors specifically, may be subject to heightened regulatory scrutiny.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industry is subject to foreign direct investment (“FDI”) regulations in many countries, including the United States. Our ability to invest in companies or operations in, and our ability to raise capital from investors affiliated with, those jurisdictions may be subject to review or approval requirements, restrictions, conditions, or prohibitions. Any review and approval of an investment or transaction by an FDI regulator may have outsized impacts on transaction certainty, timing, feasibility, and cost, among other things. FDI regulatory policies and practices are rapidly evolving, and in the event that an FDI regulator reviews one or more proposed or existing investments, there can be no assurances that we will be able to maintain, or proceed with, such investments on terms acceptable to us. We may be unable to complete commercially desirable acquisitions in such jurisdictions or be subject to material costs or restrictions in connection with such acquisitions. While we strive to comply with all applicable laws and regulations, the application of FDI regulations could also in some circumstances result in financial or other penalties or required divestments, which could have a material impact on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the United States, certain investments that involve the acquisition of, or investment in, a U.S. business by an investor subject to foreign control (a “foreign person”) may be subject to review and approval by the Committee on Foreign Investment in the United States (“CFIUS”). Whether CFIUS has jurisdiction to review an acquisition or investment transaction depends on, among other factors, the nature and structure of the transaction, including the level of beneficial ownership interest and the nature of any information or governance rights involved, and the nature of the technology possessed by the U.S. business. For example, investments that result in “control” of a U.S. business, which may include governance rights falling well short of majority control, by a foreign person always are subject to CFIUS jurisdiction. CFIUS’s jurisdiction also extends to investments that do not result in control of a U.S. business by a foreign person but afford certain foreign investors certain information or governance rights in a U.S. business that has a nexus to, among other things, “critical technologies,” and transactions involving companies that develop, produce, or test critical technologies may be subject to mandatory filing requirements. In addition, recent U.S. regulatory initiatives have classified certain semiconductor technologies as “critical to national security,” including compound semiconductors and wide-bandgap semiconductors. Both gallium nitride (GaN) and silicon carbide (SiC) are compound semiconductors and wide-bandgap semiconductors. As a result, our company’s exclusive focus on GaN- and SiC-based products, together with our global presence in rapidly growing markets, including China, may subject our company to additional regulatory restrictions or scrutiny, including by CFIUS, in connection with past or future transactions that involve investments in us or by us. Whether or not our business is deemed to involve “critical technologies,” CFIUS could choose to review proposed or past investments in us by foreign persons. In the case of such review, CFIUS could prohibit or impose conditions on the relevant investment. Such conditions might include limitations or obligations on our operations that could result in material costs or disruptions of our current or future operations. The prospect of CFIUS review, or any such prohibitions or conditions, could result in material costs or disruptions in our current or future operations or plans, and could also have a negative impact on our stock price. Furthermore, we have had recent communications with CFIUS with respect to our products, investors and acquisitions, and may have additional communications in the future with respect to these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matters. Any future communications with CFIUS or other similar regulatory agency with authority over FDI, if not satisfactorily resolved, may result in material restrictions, conditions, prohibitions or penalties on us or our investors.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Finally, U.S. authorities have publicly announced plans to institute an outbound investment review regime, and various legislative proposals to implement such a regime are also pending. For example, on August 9, 2023, the U.S. Treasury Department issued an Advance Notice of Proposed Rulemaking announcing a proposed program that would prohibit certain types of investments by U.S. companies into certain Chinese entities with capabilities or activities related to specified semiconductor technologies, including integrated circuits manufactured from a gallium-based compound semiconductor. The final scope and content of this program remain to be defined through public comment and further rulemaking. There can be no assurance that any such regime will not restrict our ability to engage in commercially desirable investments in jurisdictions outside the United States, particularly China, or that any such restrictions will not impose material costs or competitive disadvantages on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300" w:before="0" w:after="0"/>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4"/>
        <w:gridCol w:w="240"/>
        <w:gridCol w:w="241"/>
        <w:gridCol w:w="118"/>
        <w:gridCol w:w="118"/>
        <w:gridCol w:w="118"/>
        <w:gridCol w:w="2886"/>
        <w:gridCol w:w="2886"/>
        <w:gridCol w:w="2916"/>
        <w:gridCol w:w="118"/>
        <w:gridCol w:w="118"/>
        <w:gridCol w:w="172"/>
      </w:tblGrid>
      <w:tr>
        <w:trPr/>
        <w:tc>
          <w:tcPr>
            <w:tcW w:w="2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r>
      <w:tr>
        <w:trPr/>
        <w:tc>
          <w:tcPr>
            <w:tcW w:w="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18"/>
                  <w:u w:val="single"/>
                </w:rPr>
                <w:t>Underwriting Agreement, dated as of May 23, 2023, by and among Navitas Semiconductor Corporation, Morgan Stanley &amp; Co. LLC and Jefferies LLC</w:t>
              </w:r>
            </w:hyperlink>
            <w:r>
              <w:rPr>
                <w:color w:val="000000"/>
              </w:rPr>
              <w:t xml:space="preserve"> </w:t>
            </w:r>
            <w:r>
              <w:rPr>
                <w:rFonts w:ascii="Times New Roman;sans-serif" w:hAnsi="Times New Roman;sans-serif"/>
                <w:b w:val="false"/>
                <w:color w:val="000000"/>
                <w:sz w:val="18"/>
              </w:rPr>
              <w:t>(incorporated by reference to Exhibit 1.1 of the Company’s current report on Form 8-K, filed with the SEC on May 26, 2023)</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o302cert2q2023.htm">
              <w:r>
                <w:rPr>
                  <w:rStyle w:val="InternetLink"/>
                  <w:rFonts w:ascii="Times New Roman;sans-serif" w:hAnsi="Times New Roman;sans-serif"/>
                  <w:b w:val="false"/>
                  <w:color w:val="0000FF"/>
                  <w:sz w:val="18"/>
                </w:rPr>
                <w:t>Certification of the Chief Executive Officer pursuant to Rule 13a-14(a) of the Exchange Act</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fo302cert2q2023.htm">
              <w:r>
                <w:rPr>
                  <w:rStyle w:val="InternetLink"/>
                  <w:rFonts w:ascii="Times New Roman;sans-serif" w:hAnsi="Times New Roman;sans-serif"/>
                  <w:b w:val="false"/>
                  <w:color w:val="0000FF"/>
                  <w:sz w:val="18"/>
                </w:rPr>
                <w:t>Certification of the Chief Financial Officer pursuant to Rule 13a-14(a) of the Exchange Act</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ombined906cert.htm">
              <w:r>
                <w:rPr>
                  <w:rStyle w:val="InternetLink"/>
                  <w:rFonts w:ascii="Times New Roman;sans-serif" w:hAnsi="Times New Roman;sans-serif"/>
                  <w:b w:val="false"/>
                  <w:color w:val="0000FF"/>
                  <w:sz w:val="18"/>
                </w:rPr>
                <w:t>Certification of the Chief Executive Officer and the Chief Financial Officer pursuant to Rule 13a-14(b) of the Exchange Act and 18 U.S.C. § 1350</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9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Furnished herewith</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36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00" w:before="360" w:after="283"/>
        <w:jc w:val="left"/>
        <w:rPr/>
      </w:pPr>
      <w:hyperlink w:anchor="iab21bc25fdeb4444a85c9489dc9891d8_13">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838" w:type="dxa"/>
        <w:jc w:val="left"/>
        <w:tblInd w:w="0" w:type="dxa"/>
        <w:tblLayout w:type="fixed"/>
        <w:tblCellMar>
          <w:top w:w="28" w:type="dxa"/>
          <w:left w:w="28" w:type="dxa"/>
          <w:bottom w:w="28" w:type="dxa"/>
          <w:right w:w="28" w:type="dxa"/>
        </w:tblCellMar>
      </w:tblPr>
      <w:tblGrid>
        <w:gridCol w:w="489"/>
        <w:gridCol w:w="428"/>
        <w:gridCol w:w="428"/>
        <w:gridCol w:w="428"/>
        <w:gridCol w:w="428"/>
        <w:gridCol w:w="428"/>
        <w:gridCol w:w="931"/>
        <w:gridCol w:w="931"/>
        <w:gridCol w:w="1347"/>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58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Gene Sheridan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 Sheridan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br/>
              <w:t>(principal executive officer)</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r>
    </w:tbl>
    <w:p>
      <w:pPr>
        <w:pStyle w:val="TextBody"/>
        <w:bidi w:val="0"/>
        <w:spacing w:before="240" w:after="283"/>
        <w:ind w:left="0" w:right="0" w:firstLine="540"/>
        <w:jc w:val="left"/>
        <w:rPr/>
      </w:pPr>
      <w:r>
        <w:rPr/>
      </w:r>
    </w:p>
    <w:tbl>
      <w:tblPr>
        <w:tblW w:w="6274" w:type="dxa"/>
        <w:jc w:val="left"/>
        <w:tblInd w:w="0" w:type="dxa"/>
        <w:tblLayout w:type="fixed"/>
        <w:tblCellMar>
          <w:top w:w="28" w:type="dxa"/>
          <w:left w:w="28" w:type="dxa"/>
          <w:bottom w:w="28" w:type="dxa"/>
          <w:right w:w="28" w:type="dxa"/>
        </w:tblCellMar>
      </w:tblPr>
      <w:tblGrid>
        <w:gridCol w:w="489"/>
        <w:gridCol w:w="428"/>
        <w:gridCol w:w="428"/>
        <w:gridCol w:w="428"/>
        <w:gridCol w:w="428"/>
        <w:gridCol w:w="428"/>
        <w:gridCol w:w="1058"/>
        <w:gridCol w:w="1058"/>
        <w:gridCol w:w="1529"/>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r>
      <w:tr>
        <w:trPr/>
        <w:tc>
          <w:tcPr>
            <w:tcW w:w="62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 Shelton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 Shelton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14, 2023</w:t>
            </w:r>
          </w:p>
        </w:tc>
      </w:tr>
    </w:tbl>
    <w:p>
      <w:pPr>
        <w:pStyle w:val="TextBody"/>
        <w:bidi w:val="0"/>
        <w:spacing w:before="0" w:after="0"/>
        <w:jc w:val="left"/>
        <w:rPr/>
      </w:pPr>
      <w:r>
        <w:rPr/>
      </w:r>
    </w:p>
    <w:p>
      <w:pPr>
        <w:pStyle w:val="TextBody"/>
        <w:bidi w:val="0"/>
        <w:spacing w:before="240" w:after="283"/>
        <w:jc w:val="left"/>
        <w:rPr/>
      </w:pPr>
      <w:r>
        <w:rPr/>
      </w:r>
    </w:p>
    <w:p>
      <w:pPr>
        <w:pStyle w:val="TextBody"/>
        <w:bidi w:val="0"/>
        <w:spacing w:before="4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Gene Sheridan, certify that:</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fiscal quarter ended June 30, 2023 of Navitas Semiconductor Corporation;</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2"/>
        <w:jc w:val="both"/>
        <w:rPr/>
      </w:pPr>
      <w:r>
        <w:rPr/>
      </w:r>
    </w:p>
    <w:tbl>
      <w:tblPr>
        <w:tblW w:w="548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937"/>
        <w:gridCol w:w="937"/>
        <w:gridCol w:w="133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center"/>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Ron Shelton, certify that:</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fiscal quarter ended June 30, 2023 of Navitas Semiconductor Corporation;</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40" w:before="0" w:after="0"/>
        <w:jc w:val="both"/>
        <w:rPr>
          <w:color w:val="000000"/>
        </w:rPr>
      </w:pPr>
      <w:r>
        <w:rPr>
          <w:color w:val="000000"/>
        </w:rPr>
        <w:t> </w:t>
      </w:r>
    </w:p>
    <w:tbl>
      <w:tblPr>
        <w:tblW w:w="6942"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66"/>
        <w:gridCol w:w="1366"/>
        <w:gridCol w:w="193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Ron Shelton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Ron Shelton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Sr. Vice President, Chief Financial Officer and Treasurer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ind w:left="0" w:right="0" w:firstLine="720"/>
        <w:jc w:val="both"/>
        <w:rPr/>
      </w:pPr>
      <w:r>
        <w:rPr/>
      </w:r>
    </w:p>
    <w:p>
      <w:pPr>
        <w:pStyle w:val="TextBody"/>
        <w:bidi w:val="0"/>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undersigned hereby certifies, for the purposes of section 1350 of chapter 63 of title 18 of the United States Code, as adopted pursuant to Section 906 of the Sarbanes-Oxley Act of 2002, in his capacity as an officer of Navitas Semiconductor Corporation (“Navitas”), that, to his knowledge, Navitas’ quarterly report on Form 10-Q for the period ended June 30, 2023, fully complies with the requirements of Section 13(a) of the Securities Exchange Act of 1934 and that the information contained in such report fairly presents, in all material respects, the financial condition and results of operations of Navitas. This written statement is being furnished to the Securities and Exchange Commission as an exhibit to that Form 10-Q. A signed original of this statement, which may be electronic, has been provided to Navitas and will be retained by Navitas and furnished to the Securities and Exchange Commission or its staff upon request.</w:t>
      </w:r>
    </w:p>
    <w:p>
      <w:pPr>
        <w:pStyle w:val="TextBody"/>
        <w:bidi w:val="0"/>
        <w:spacing w:before="1" w:after="1"/>
        <w:jc w:val="both"/>
        <w:rPr/>
      </w:pPr>
      <w:r>
        <w:rPr/>
      </w:r>
    </w:p>
    <w:p>
      <w:pPr>
        <w:pStyle w:val="TextBody"/>
        <w:bidi w:val="0"/>
        <w:spacing w:before="1" w:after="1"/>
        <w:jc w:val="both"/>
        <w:rPr/>
      </w:pPr>
      <w:r>
        <w:rPr/>
      </w:r>
    </w:p>
    <w:tbl>
      <w:tblPr>
        <w:tblW w:w="6942"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362"/>
        <w:gridCol w:w="1362"/>
        <w:gridCol w:w="194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August 14,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Ron Shelton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Ron Shelton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Sr. Vice President, Chief Financial Officer and Treasurer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1" w:after="1"/>
        <w:jc w:val="both"/>
        <w:rPr/>
      </w:pPr>
      <w:r>
        <w:rPr/>
      </w:r>
    </w:p>
    <w:p>
      <w:pPr>
        <w:pStyle w:val="TextBody"/>
        <w:bidi w:val="0"/>
        <w:spacing w:before="0" w:after="0"/>
        <w:ind w:left="0" w:right="0" w:firstLine="720"/>
        <w:jc w:val="both"/>
        <w:rPr/>
      </w:pPr>
      <w:r>
        <w:rPr/>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color w:val="000000"/>
        </w:rPr>
      </w:pPr>
      <w:r>
        <w:rPr>
          <w:color w:val="000000"/>
        </w:rPr>
        <w:t> </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1769/000182176923000099/exhibit11-underwritingagr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24317</Words>
  <Characters>135354</Characters>
  <CharactersWithSpaces>158398</CharactersWithSpaces>
  <Paragraphs>2293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