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25807d2_8ka.htm"/>
      <w:bookmarkStart w:id="1" w:name="kstm2625807d2_8ka"/>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F_edei--DocumentType_c20260918__20"/>
      <w:bookmarkEnd w:id="2"/>
      <w:r>
        <w:rPr>
          <w:rFonts w:ascii="Times New Roman;Times;Serif" w:hAnsi="Times New Roman;Times;Serif"/>
          <w:b/>
          <w:i w:val="false"/>
          <w:caps w:val="false"/>
          <w:smallCaps w:val="false"/>
          <w:sz w:val="32"/>
        </w:rPr>
        <w:t>8-K/A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September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4785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5715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Navitas Semiconductor Corporation</w:t>
      </w:r>
    </w:p>
    <w:p>
      <w:pPr>
        <w:pStyle w:val="TextBody"/>
        <w:pBdr>
          <w:top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275" w:type="dxa"/>
        <w:jc w:val="left"/>
        <w:tblInd w:w="0" w:type="dxa"/>
        <w:tblLayout w:type="fixed"/>
        <w:tblCellMar>
          <w:top w:w="0" w:type="dxa"/>
          <w:left w:w="0" w:type="dxa"/>
          <w:bottom w:w="28" w:type="dxa"/>
          <w:right w:w="0" w:type="dxa"/>
        </w:tblCellMar>
      </w:tblPr>
      <w:tblGrid>
        <w:gridCol w:w="2165"/>
        <w:gridCol w:w="60"/>
        <w:gridCol w:w="2210"/>
        <w:gridCol w:w="60"/>
        <w:gridCol w:w="2780"/>
      </w:tblGrid>
      <w:tr>
        <w:trPr/>
        <w:tc>
          <w:tcPr>
            <w:tcW w:w="2165" w:type="dxa"/>
            <w:tcBorders>
              <w:bottom w:val="single" w:sz="8" w:space="0" w:color="000000"/>
            </w:tcBorders>
            <w:vAlign w:val="center"/>
          </w:tcPr>
          <w:p>
            <w:pPr>
              <w:pStyle w:val="TableContents"/>
              <w:bidi w:val="0"/>
              <w:spacing w:before="0" w:after="283"/>
              <w:jc w:val="center"/>
              <w:rPr>
                <w:b/>
                <w:sz w:val="20"/>
              </w:rPr>
            </w:pPr>
            <w:bookmarkStart w:id="5" w:name="xdx_90C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sz w:val="20"/>
              </w:rPr>
            </w:pPr>
            <w:bookmarkStart w:id="6" w:name="xdx_909_edei--EntityFileNumber_c20260918"/>
            <w:bookmarkEnd w:id="6"/>
            <w:r>
              <w:rPr>
                <w:b/>
                <w:sz w:val="20"/>
              </w:rPr>
              <w:t>001-39755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9_edei--EntityTaxIdentificationNum"/>
            <w:bookmarkEnd w:id="7"/>
            <w:r>
              <w:rPr>
                <w:b/>
                <w:sz w:val="20"/>
              </w:rPr>
              <w:t>85-2560226</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3860"/>
        <w:gridCol w:w="60"/>
        <w:gridCol w:w="1040"/>
      </w:tblGrid>
      <w:tr>
        <w:trPr/>
        <w:tc>
          <w:tcPr>
            <w:tcW w:w="3860" w:type="dxa"/>
            <w:tcBorders/>
            <w:vAlign w:val="center"/>
          </w:tcPr>
          <w:p>
            <w:pPr>
              <w:pStyle w:val="TableContents"/>
              <w:bidi w:val="0"/>
              <w:spacing w:before="0" w:after="283"/>
              <w:jc w:val="center"/>
              <w:rPr>
                <w:sz w:val="20"/>
              </w:rPr>
            </w:pPr>
            <w:bookmarkStart w:id="8" w:name="xdx_90E_edei--EntityAddressAddressLine1_"/>
            <w:bookmarkEnd w:id="8"/>
            <w:r>
              <w:rPr>
                <w:b/>
                <w:sz w:val="20"/>
              </w:rPr>
              <w:t xml:space="preserve">3520 Challenger Street, </w:t>
            </w:r>
            <w:bookmarkStart w:id="9" w:name="xdx_905_edei--EntityAddressCityOrTown_c2"/>
            <w:bookmarkEnd w:id="9"/>
            <w:r>
              <w:rPr>
                <w:b/>
                <w:sz w:val="20"/>
              </w:rPr>
              <w:t xml:space="preserve">Torrance, </w:t>
            </w:r>
            <w:bookmarkStart w:id="10" w:name="xdx_90F_edei--EntityAddressStateOrProvin"/>
            <w:bookmarkEnd w:id="10"/>
            <w:r>
              <w:rPr>
                <w:b/>
                <w:sz w:val="20"/>
              </w:rPr>
              <w:t>California</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b/>
                <w:sz w:val="20"/>
              </w:rPr>
            </w:pPr>
            <w:bookmarkStart w:id="11" w:name="xdx_90C_edei--EntityAddressPostalZipCode"/>
            <w:bookmarkEnd w:id="11"/>
            <w:r>
              <w:rPr>
                <w:b/>
                <w:sz w:val="20"/>
              </w:rPr>
              <w:t>90503-1640</w:t>
            </w:r>
          </w:p>
        </w:tc>
      </w:tr>
      <w:tr>
        <w:trPr/>
        <w:tc>
          <w:tcPr>
            <w:tcW w:w="3860" w:type="dxa"/>
            <w:tcBorders>
              <w:top w:val="single" w:sz="8" w:space="0" w:color="000000"/>
            </w:tcBorders>
            <w:tcMar>
              <w:top w:w="28" w:type="dxa"/>
            </w:tcMar>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1040" w:type="dxa"/>
            <w:tcBorders>
              <w:top w:val="single" w:sz="8" w:space="0" w:color="000000"/>
            </w:tcBorders>
            <w:tcMar>
              <w:top w:w="28"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F_edei--CityAreaCode_c20260918__20"/>
      <w:bookmarkEnd w:id="12"/>
      <w:r>
        <w:rPr>
          <w:rFonts w:ascii="Times New Roman;Times;Serif" w:hAnsi="Times New Roman;Times;Serif"/>
          <w:b/>
          <w:i w:val="false"/>
          <w:caps w:val="false"/>
          <w:smallCaps w:val="false"/>
          <w:sz w:val="20"/>
        </w:rPr>
        <w:t xml:space="preserve">844) </w:t>
      </w:r>
      <w:bookmarkStart w:id="13" w:name="xdx_90E_edei--LocalPhoneNumber_c20260918"/>
      <w:bookmarkEnd w:id="13"/>
      <w:r>
        <w:rPr>
          <w:rFonts w:ascii="Times New Roman;Times;Serif" w:hAnsi="Times New Roman;Times;Serif"/>
          <w:b/>
          <w:i w:val="false"/>
          <w:caps w:val="false"/>
          <w:smallCaps w:val="false"/>
          <w:sz w:val="20"/>
        </w:rPr>
        <w:t>654-2642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2_edei--WrittenCommunications_c202"/>
            <w:bookmarkEnd w:id="14"/>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4_edei--SolicitingMaterial_c202609"/>
            <w:bookmarkEnd w:id="15"/>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5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245"/>
        <w:gridCol w:w="8885"/>
      </w:tblGrid>
      <w:tr>
        <w:trPr/>
        <w:tc>
          <w:tcPr>
            <w:tcW w:w="245" w:type="dxa"/>
            <w:tcBorders/>
            <w:vAlign w:val="center"/>
          </w:tcPr>
          <w:p>
            <w:pPr>
              <w:pStyle w:val="TableContents"/>
              <w:bidi w:val="0"/>
              <w:spacing w:before="0" w:after="283"/>
              <w:jc w:val="left"/>
              <w:rPr/>
            </w:pPr>
            <w:bookmarkStart w:id="17" w:name="xdx_90C_edei--PreCommencementIssuerTende"/>
            <w:bookmarkEnd w:id="17"/>
            <w:r>
              <w:rPr/>
              <w:t>☐</w:t>
            </w:r>
          </w:p>
        </w:tc>
        <w:tc>
          <w:tcPr>
            <w:tcW w:w="8885" w:type="dxa"/>
            <w:tcBorders/>
            <w:vAlign w:val="center"/>
          </w:tcPr>
          <w:p>
            <w:pPr>
              <w:pStyle w:val="TableContents"/>
              <w:bidi w:val="0"/>
              <w:spacing w:before="0" w:after="283"/>
              <w:jc w:val="left"/>
              <w:rPr>
                <w:sz w:val="20"/>
              </w:rPr>
            </w:pPr>
            <w:r>
              <w:rPr>
                <w:sz w:val="20"/>
              </w:rPr>
              <w:t>Pre-commencement communications pursuant to Rule 13e-4© under the Exchange Act (17 CFR 240.13© (c))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780" w:type="dxa"/>
        <w:jc w:val="left"/>
        <w:tblInd w:w="-10" w:type="dxa"/>
        <w:tblLayout w:type="fixed"/>
        <w:tblCellMar>
          <w:top w:w="28" w:type="dxa"/>
          <w:left w:w="28" w:type="dxa"/>
          <w:bottom w:w="28" w:type="dxa"/>
          <w:right w:w="0" w:type="dxa"/>
        </w:tblCellMar>
      </w:tblPr>
      <w:tblGrid>
        <w:gridCol w:w="4460"/>
        <w:gridCol w:w="1610"/>
        <w:gridCol w:w="3710"/>
      </w:tblGrid>
      <w:tr>
        <w:trPr/>
        <w:tc>
          <w:tcPr>
            <w:tcW w:w="446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b/>
                <w:sz w:val="20"/>
              </w:rPr>
            </w:pPr>
            <w:r>
              <w:rPr>
                <w:b/>
                <w:sz w:val="20"/>
              </w:rPr>
              <w:t>Trading Symbol(s)</w:t>
            </w:r>
          </w:p>
        </w:tc>
        <w:tc>
          <w:tcPr>
            <w:tcW w:w="371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b/>
                <w:sz w:val="20"/>
              </w:rPr>
            </w:pPr>
            <w:r>
              <w:rPr>
                <w:b/>
                <w:sz w:val="20"/>
              </w:rPr>
              <w:t>Name of each exchange on which registered</w:t>
            </w:r>
          </w:p>
        </w:tc>
      </w:tr>
      <w:tr>
        <w:trPr/>
        <w:tc>
          <w:tcPr>
            <w:tcW w:w="4460" w:type="dxa"/>
            <w:tcBorders>
              <w:left w:val="single" w:sz="8" w:space="0" w:color="000000"/>
              <w:bottom w:val="single" w:sz="8" w:space="0" w:color="000000"/>
            </w:tcBorders>
            <w:tcMar>
              <w:top w:w="0" w:type="dxa"/>
            </w:tcMar>
            <w:vAlign w:val="center"/>
          </w:tcPr>
          <w:p>
            <w:pPr>
              <w:pStyle w:val="TableContents"/>
              <w:bidi w:val="0"/>
              <w:spacing w:before="0" w:after="283"/>
              <w:jc w:val="center"/>
              <w:rPr>
                <w:b/>
                <w:sz w:val="20"/>
              </w:rPr>
            </w:pPr>
            <w:bookmarkStart w:id="18" w:name="xdx_904_edei--Security12bTitle_c20260918"/>
            <w:bookmarkEnd w:id="18"/>
            <w:r>
              <w:rPr>
                <w:b/>
                <w:sz w:val="20"/>
              </w:rPr>
              <w:t>Class A Common Stock, par value $0.0001 per share</w:t>
            </w:r>
          </w:p>
        </w:tc>
        <w:tc>
          <w:tcPr>
            <w:tcW w:w="161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b/>
                <w:sz w:val="20"/>
              </w:rPr>
            </w:pPr>
            <w:bookmarkStart w:id="19" w:name="xdx_90B_edei--TradingSymbol_c20260918__2"/>
            <w:bookmarkEnd w:id="19"/>
            <w:r>
              <w:rPr>
                <w:b/>
                <w:sz w:val="20"/>
              </w:rPr>
              <w:t>NVTS</w:t>
            </w:r>
          </w:p>
        </w:tc>
        <w:tc>
          <w:tcPr>
            <w:tcW w:w="371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b/>
                <w:sz w:val="20"/>
              </w:rPr>
              <w:t xml:space="preserve">The </w:t>
            </w:r>
            <w:bookmarkStart w:id="20" w:name="xdx_906_edei--SecurityExchangeName_c2026"/>
            <w:bookmarkEnd w:id="20"/>
            <w:r>
              <w:rPr>
                <w:b/>
                <w:sz w:val="20"/>
              </w:rPr>
              <w:t>Nasdaq</w:t>
            </w:r>
            <w:r>
              <w:rPr>
                <w:sz w:val="20"/>
              </w:rPr>
              <w:t xml:space="preserve"> </w:t>
            </w:r>
            <w:r>
              <w:rPr>
                <w:b/>
                <w:sz w:val="20"/>
              </w:rPr>
              <w:t>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9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to the Current Report on Form 8-K, as originally filed with the Securities and Exchange Commission on September 21, 2026 (the “Original Filing”), is being made solely to correct an inadvertent error in the date of signing of the Purchase Agreement (as defined below) reported in the Original Filing in the first sentence of the first paragraph of Item 1.01 to “September 18, 2026” (from “September 19, 2026” in the Original Filing). No other changes have been made from the Original Filing.</w:t>
      </w:r>
    </w:p>
    <w:p>
      <w:pPr>
        <w:pStyle w:val="TextBody"/>
        <w:bidi w:val="0"/>
        <w:spacing w:before="0" w:after="0"/>
        <w:ind w:left="0" w:right="0" w:hanging="0"/>
        <w:jc w:val="left"/>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102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18, 2026, Navitas Semiconductor Corporation (the “Company”) entered into a Stock Purchase Agreement (the “Purchase Agreement”) with Magnachip Semiconductor Corporation (“Magnachip”), pursuant to which Magnachip agreed to issue and sell to the Company 1,461,988 shares of Magnachip’s common stock, par value $0.01 per share (the “MX Common Stock”), at a purchase price of $3.42 per share, for an aggregate purchase price of $5,000,000.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transactions contemplated by the Purchase Agreement is expected to occur on or about September 24, 2026, subject to the satisfaction or waiver of customary closing conditions. The Purchase Agreement contains customary representations, warranties and covenants, which were made only for purposes of the Purchase Agreement and as of specific dates, were solely for the benefit of the parties to the Purchase Agreement, and may be subject to limitations agreed upon by the Company and Magnachip.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also provides that Magnachip will file with the Securities and Exchange Commission (the “SEC”), no later than 30 days after the closing, a registration statement on Form S-3 covering the resale of the shares of MX Common Stock issued in the transaction. Magnachip agreed to use commercially reasonable efforts to cause the registration statement to become effective within 60 days following the closing or 90 days following closing if the SEC reviews the registration statement, or, if earlier, by the fifth (5th) business day after the SEC notifies Magnachip that the registration statement will not be reviewed or is no longer subject to further review and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resale registration rights described in the previous paragraph, the shares of MX Common Stock issuable pursuant to the Purchase Agreement will not be registered under the Securities Act of 1933, as amended (the “Securities Act”), and will be issued in reliance on the exemption from registration requirements thereof provided by Section 4(a)(2) of the Securities Act or Rule 506 of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is filed as Exhibit 10.1 to this Current Report on Form 8-K and is incorporated herein by reference. The summary description of the Purchase Agreement in this Current Report on Form 8-K does not purport to be complete and is qualified in its entirety by reference to the full text of the Purchase Agreement.</w:t>
      </w:r>
    </w:p>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shd w:fill="FFFFFF" w:val="clear"/>
              </w:rPr>
            </w:pPr>
            <w:r>
              <w:rPr>
                <w:b/>
                <w:shd w:fill="FFFFFF" w:val="clear"/>
              </w:rPr>
              <w:t>Item 9.01.</w:t>
            </w:r>
          </w:p>
        </w:tc>
        <w:tc>
          <w:tcPr>
            <w:tcW w:w="3560" w:type="dxa"/>
            <w:tcBorders/>
            <w:vAlign w:val="center"/>
          </w:tcPr>
          <w:p>
            <w:pPr>
              <w:pStyle w:val="TableContents"/>
              <w:bidi w:val="0"/>
              <w:spacing w:before="0" w:after="283"/>
              <w:jc w:val="left"/>
              <w:rPr>
                <w:b/>
                <w:shd w:fill="FFFFFF" w:val="clear"/>
              </w:rPr>
            </w:pPr>
            <w:r>
              <w:rPr>
                <w:b/>
                <w:shd w:fill="FFFFFF" w:val="clear"/>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9540"/>
      </w:tblGrid>
      <w:tr>
        <w:trPr/>
        <w:tc>
          <w:tcPr>
            <w:tcW w:w="665" w:type="dxa"/>
            <w:tcBorders/>
            <w:vAlign w:val="center"/>
          </w:tcPr>
          <w:p>
            <w:pPr>
              <w:pStyle w:val="TableContents"/>
              <w:pBdr/>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w:t>
              <w:br/>
              <w:t>No.</w:t>
            </w:r>
          </w:p>
        </w:tc>
        <w:tc>
          <w:tcPr>
            <w:tcW w:w="954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665"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center"/>
              <w:rPr/>
            </w:pPr>
            <w:hyperlink w:anchor="tm2625807d2_ex10-1.htm">
              <w:r>
                <w:rPr>
                  <w:rStyle w:val="InternetLink"/>
                  <w:rFonts w:ascii="Times New Roman;Times;Serif" w:hAnsi="Times New Roman;Times;Serif"/>
                  <w:sz w:val="20"/>
                </w:rPr>
                <w:t>10.1</w:t>
              </w:r>
            </w:hyperlink>
          </w:p>
        </w:tc>
        <w:tc>
          <w:tcPr>
            <w:tcW w:w="9540" w:type="dxa"/>
            <w:tcBorders/>
            <w:vAlign w:val="center"/>
          </w:tcPr>
          <w:p>
            <w:pPr>
              <w:pStyle w:val="TableContents"/>
              <w:bidi w:val="0"/>
              <w:spacing w:before="0" w:after="283"/>
              <w:jc w:val="both"/>
              <w:rPr/>
            </w:pPr>
            <w:hyperlink w:anchor="tm2625807d2_ex10-1.htm">
              <w:r>
                <w:rPr>
                  <w:rStyle w:val="InternetLink"/>
                  <w:rFonts w:ascii="Times New Roman;Times;Serif" w:hAnsi="Times New Roman;Times;Serif"/>
                  <w:sz w:val="20"/>
                </w:rPr>
                <w:t>Share Purchase Agreement, dated September 18, 2026, by and between Magnachip Semiconductor Corporation and Navitas Semiconductor Corporation.</w:t>
              </w:r>
            </w:hyperlink>
          </w:p>
        </w:tc>
      </w:tr>
      <w:tr>
        <w:trPr/>
        <w:tc>
          <w:tcPr>
            <w:tcW w:w="6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9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414" w:type="dxa"/>
        <w:jc w:val="left"/>
        <w:tblInd w:w="0" w:type="dxa"/>
        <w:tblLayout w:type="fixed"/>
        <w:tblCellMar>
          <w:top w:w="0" w:type="dxa"/>
          <w:left w:w="0" w:type="dxa"/>
          <w:bottom w:w="0" w:type="dxa"/>
          <w:right w:w="0" w:type="dxa"/>
        </w:tblCellMar>
      </w:tblPr>
      <w:tblGrid>
        <w:gridCol w:w="2240"/>
        <w:gridCol w:w="391"/>
        <w:gridCol w:w="3783"/>
      </w:tblGrid>
      <w:tr>
        <w:trPr/>
        <w:tc>
          <w:tcPr>
            <w:tcW w:w="2240"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NAVITAS SEMICONDUCTOR CORPORATION</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September 21, 2026</w:t>
            </w:r>
          </w:p>
        </w:tc>
        <w:tc>
          <w:tcPr>
            <w:tcW w:w="4174" w:type="dxa"/>
            <w:gridSpan w:val="2"/>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8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 Allexandre</w:t>
            </w:r>
          </w:p>
        </w:tc>
      </w:tr>
      <w:tr>
        <w:trPr/>
        <w:tc>
          <w:tcPr>
            <w:tcW w:w="224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37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Allexandre</w:t>
            </w:r>
          </w:p>
        </w:tc>
      </w:tr>
      <w:tr>
        <w:trPr/>
        <w:tc>
          <w:tcPr>
            <w:tcW w:w="224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37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5807d2_ex10-1.htm"/>
      <w:bookmarkStart w:id="23" w:name="kstm2625807d2_ex101"/>
      <w:bookmarkEnd w:id="22"/>
      <w:bookmarkEnd w:id="23"/>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SHARE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Share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September 18, 2026 (the “</w:t>
      </w:r>
      <w:r>
        <w:rPr>
          <w:rFonts w:ascii="Times New Roman;Times;Serif" w:hAnsi="Times New Roman;Times;Serif"/>
          <w:b w:val="false"/>
          <w:i w:val="false"/>
          <w:caps w:val="false"/>
          <w:smallCaps w:val="false"/>
          <w:sz w:val="20"/>
          <w:u w:val="single"/>
        </w:rPr>
        <w:t>Execution Date</w:t>
      </w:r>
      <w:r>
        <w:rPr>
          <w:rFonts w:ascii="Times New Roman;Times;Serif" w:hAnsi="Times New Roman;Times;Serif"/>
          <w:b w:val="false"/>
          <w:i w:val="false"/>
          <w:caps w:val="false"/>
          <w:smallCaps w:val="false"/>
          <w:sz w:val="20"/>
        </w:rPr>
        <w:t>”), by and between Magnachip Semiconductor Corporation,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Navitas Semiconductor Corporation, a Delaware corporation (the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The Company and the Purchaser are each hereafter referred to individually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together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the Company desires to issue and sell to the Purchaser, and the Purchaser desires to purchase from the Company, shares of the Company’s Common Stock (as defined below) at the Per Share Purchase Price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the Purchaser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w:t>
      </w:r>
      <w:r>
        <w:rPr>
          <w:rFonts w:ascii="Times New Roman;Times;Serif" w:hAnsi="Times New Roman;Times;Serif"/>
          <w:b w:val="false"/>
          <w:i w:val="false"/>
          <w:caps w:val="false"/>
          <w:smallCaps w:val="false"/>
          <w:sz w:val="20"/>
        </w:rPr>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for all purposes of this Agreement, the following terms have the meanings set forth in this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any entity that, at the relevant time (whether as of the Execution Date or thereafter), directly or indirectly through one or more intermediaries, controls, is controlled by, or is under common control with such Person, for so long as such control exists. For purposes of this definition, “control” means (a) to possess, directly or indirectly, the power to direct or cause the direction of the management or policies of an entity, whether through ownership of voting securities or by contract relating to voting rights or corporate governance, or (b) direct or indirect ownership of fifty percent (50%) (or such lesser percentage that is the maximum allowed to be owned by a foreign entity in a particular jurisdiction) or more of the voting share capital or other equity interest in such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Saturday, Sunday or other day on which commercial banks in The City of New York are authorized or required by law to remain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means the consummation of the purchase and sale of the Shares and the other transactions contemplated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date of the Closing, on which all conditions precedent to (i) the Purchaser’s obligations to pay the Purchase Amount at the Closing and (ii) the Company’s obligations to deliver the Shares at the Closing, in each case, have been satisfied or waived, but in no event later than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Business Day following the date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 par value $0.01 per share, and any other class of securities into which such securities may hereafter be reclassified or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Disposition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Dispose of</w:t>
      </w:r>
      <w:r>
        <w:rPr>
          <w:rFonts w:ascii="Times New Roman;Times;Serif" w:hAnsi="Times New Roman;Times;Serif"/>
          <w:b w:val="false"/>
          <w:i w:val="false"/>
          <w:caps w:val="false"/>
          <w:smallCaps w:val="false"/>
          <w:sz w:val="20"/>
        </w:rPr>
        <w:t>” means (a) pledge, sale, contract to sell, sale of any option or contract to purchase, purchase of any option or contract to sell, grant of any option, right or warrant for the sale of, or other disposition of or transfer of any Common Stock, or any options, warrants or other securities or rights convertible into or exercisable or exchangeable for Common Stock, including, without limitation, any “short sale” or similar arrangement, or (b) swap, hedge, derivative instrument or any other agreement or any transaction that transfers, in whole or in part, directly or indirectly, the economic consequence of ownership of the Common Stock, whether any such swap or transaction is to be settled by delivery of securities, in cash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national, international, federal, state, provincial or local government, or political subdivision thereof, or any multinational organization or any authority, agency or commission entitled to exercise any administrative, executive, judicial, legislative, police, regulatory or taxing authority or power, and any court or tribunal (or any department, bureau or division thereof, or any governmental arbitrator or arbitral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means any change, event or occurrence that, individually or in the aggregate with any other changes, events or circumstances, has had or would reasonably be expected to have (a) a material adverse effect on the business, financial condition, assets or results of operations of the Company or its subsidiaries, taken as a whole, or (b) a material adverse effect on the Company’s ability to perform its obligations hereunder or consummate the transactions contemplated hereby;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in no event shall any of the following occurring after the Execution Date, alone or in combination, be deemed to constitute, or be taken into account in determining whether a Material Adverse Effect has occurred: (i) changes in the Company’s industry generally or in conditions in the United States, Republic of Korea or global economy or capital or financial markets generally, including changes in interest or exchange rates, (ii) any change, event or occurrence caused by the announcement or pendency of the transactions contemplated hereby, (iii) the performance of this Agreement and the transactions contemplated hereby, or any action taken or omitted to be taken by the Company at the request or with the prior consent of the Purchaser, (iv) changes in general legal, regulatory, political, economic or business conditions occurring after the Execution Date that, in each case, generally affect the semiconductor industry, (v) acts of war, sabotage or terrorism occurring after the Execution Date, or any escalation or worsening of any such acts of war, sabotage or terrorism, or (vi) earthquakes, hurricanes, floods or other natural disasters occurring after the Execution Date; provided, however, that with respect to clauses (i), (iv), (v) and (vi), such effects, alone or in combination, may be deemed to constitute, or be taken into account in determining whether a Material Adverse Effect has occurred, but only to the extent such effects disproportionately affect the Company compared to other companies in the semiconductor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w:t>
      </w:r>
      <w:r>
        <w:rPr>
          <w:rFonts w:ascii="Times New Roman;Times;Serif" w:hAnsi="Times New Roman;Times;Serif"/>
          <w:b w:val="false"/>
          <w:i w:val="false"/>
          <w:caps w:val="false"/>
          <w:smallCaps w:val="false"/>
          <w:sz w:val="20"/>
        </w:rPr>
        <w:t>” means all contracts, agreements, indentures, bonds, loans, leases, subleases, licenses, sublicenses, instruments, notes and arrangements in effect as of the Execution Date that are required to be filed as exhibits to the Company’s annual report on Form 10-K filed with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NYSE</w:t>
      </w:r>
      <w:r>
        <w:rPr>
          <w:rFonts w:ascii="Times New Roman;Times;Serif" w:hAnsi="Times New Roman;Times;Serif"/>
          <w:b w:val="false"/>
          <w:i w:val="false"/>
          <w:caps w:val="false"/>
          <w:smallCaps w:val="false"/>
          <w:sz w:val="20"/>
        </w:rPr>
        <w:t>” means the New York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xml:space="preserve">” means an Affiliate of the Purchaser;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Person shall be deemed a Permitted Transferee for any purpose under this Agreement unless: (a) the Permitted Transferee shall have agreed in writing to be subject to and bound by the terms of this Agreement as though it were “the Purchaser” hereunder, and (b) the Purchaser acknowledges that it continues to be bound by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Purchase Price</w:t>
      </w:r>
      <w:r>
        <w:rPr>
          <w:rFonts w:ascii="Times New Roman;Times;Serif" w:hAnsi="Times New Roman;Times;Serif"/>
          <w:b w:val="false"/>
          <w:i w:val="false"/>
          <w:caps w:val="false"/>
          <w:smallCaps w:val="false"/>
          <w:sz w:val="20"/>
        </w:rPr>
        <w:t>” means $3.42.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Amount</w:t>
      </w:r>
      <w:r>
        <w:rPr>
          <w:rFonts w:ascii="Times New Roman;Times;Serif" w:hAnsi="Times New Roman;Times;Serif"/>
          <w:b w:val="false"/>
          <w:i w:val="false"/>
          <w:caps w:val="false"/>
          <w:smallCaps w:val="false"/>
          <w:sz w:val="20"/>
        </w:rPr>
        <w:t>” means, as to the Purchaser, the amount to be paid for Shares purchased hereunder in United States dollars and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the shares of Common Stock issued or issuable to the Purchaser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locating and/or borrowing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which shall include any direct or indirect subsidiary of the Company formed or acquired after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Equiniti Trust Company, LLC the current transfer agent of the Company, with a mailing address of 28 Liberty Street, Floor 53, New York, NY 10005, and any successor transfer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II.</w:t>
      </w:r>
      <w:r>
        <w:rPr>
          <w:rFonts w:ascii="Times New Roman;Times;Serif" w:hAnsi="Times New Roman;Times;Serif"/>
          <w:b w:val="false"/>
          <w:i w:val="false"/>
          <w:caps w:val="false"/>
          <w:smallCaps w:val="false"/>
          <w:sz w:val="20"/>
        </w:rPr>
        <w:br/>
        <w:t>PURCHASE AND SALE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Purchase of Shares</w:t>
      </w:r>
      <w:r>
        <w:rPr>
          <w:rFonts w:ascii="Times New Roman;Times;Serif" w:hAnsi="Times New Roman;Times;Serif"/>
          <w:b w:val="false"/>
          <w:i w:val="false"/>
          <w:caps w:val="false"/>
          <w:smallCaps w:val="false"/>
          <w:sz w:val="20"/>
        </w:rPr>
        <w:t>. Subject to the terms and conditions of this Agreement, at the Closing, the Company will issue and sell to the Purchaser and the Purchaser will purchase from the Company, 1,461,988 Shares, at the Per Share Purchase Price. The Closing and the purchase and sale of the Shares shall occur on the Closing Date, subject to the satisfaction or waiver of the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xml:space="preserve">. At the Closing, the Purchaser will pay the total Purchase Amount as set forth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by wire transfer or electronic funds transfer of immediately available funds to an account designated by the Company, which account the Company shall designate to the Purchaser no less than one (1) Business Day prior to the Closing Date (or on such later date as may be permitted by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On the Closing Date, subject to the satisfaction or waiver of the conditions set forth herein, the Closing shall occur, at such time as is mutually agreed by the Parties, remotely via the exchange of documents and signatures by the Parties. At the Closing, subject to receipt by the Company of the Purchase Amount from the Purchaser as contemplated by Section 2.2, the Company shall instruct the Transfer Agent to register the Shares purchased at the Closing in book-entry in the name of the Purchaser, and the Company shall cause the Transfer Agent to deliver written confirmation of the book-entry delivery of the Shares to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III.</w:t>
      </w:r>
      <w:r>
        <w:rPr>
          <w:rFonts w:ascii="Times New Roman;Times;Serif" w:hAnsi="Times New Roman;Times;Serif"/>
          <w:b w:val="false"/>
          <w:i w:val="false"/>
          <w:caps w:val="false"/>
          <w:smallCaps w:val="false"/>
          <w:sz w:val="20"/>
        </w:rPr>
        <w:b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hereby represents and warrants to the Purchaser that, except as set forth in the SEC Reports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Private Sale</w:t>
      </w:r>
      <w:r>
        <w:rPr>
          <w:rFonts w:ascii="Times New Roman;Times;Serif" w:hAnsi="Times New Roman;Times;Serif"/>
          <w:b w:val="false"/>
          <w:i w:val="false"/>
          <w:caps w:val="false"/>
          <w:smallCaps w:val="false"/>
          <w:sz w:val="20"/>
        </w:rPr>
        <w:t>. Subject to the accuracy of the representations and warranties made by the Purchaser in Section 3.2, the Shares will be issued and sold to the Purchaser in compliance with applicable exemptions from the registration and prospectus delivery requirements of the Securities Act and the registration and qualification requirements of all applicable securities laws of the states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subsidiaries of the Company are set forth on the Company’s filings with the Commission. Except as may be set forth in the SEC Reports (defined below),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in good standing under the laws of the jurisdiction of its incorporation or organization, with the requisite corporate power and authority to own or lease and use its properties and assets, to execute and deliver this Agreement, to carry out the provisions of this Agreement and to issue and sell the Shares. True and correct copies of the Company’s organizational documents, as amended and in effect on the Execution Date, are filed or incorporated by reference as exhibits to the SEC Reports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and has taken all requisite corporate action necessary for, and no further action on the part of the Company, its officers, directors or shareholders is necessary for, (a) the authorization, execution and delivery of this Agreement, (b) the authorization of the performance of all obligations of the Company hereunder or thereunder, and (c) the sale, issuance and delivery of the Shares. This Agreement, upon execution and delivery by the Company, assuming due authorization, execution and delivery by the Purchaser, constitutes valid and binding obligations of the Company, enforceable in accordance with their terms, except (i) as limited by applicable bankruptcy, insolvency, reorganization, moratorium or other laws of general application affecting enforcement of creditors’ rights and (ii) general principles of equity that restrict the availability of equitable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Conflicts; Government Consents and Permits</w:t>
      </w:r>
      <w:r>
        <w:rPr>
          <w:rFonts w:ascii="Times New Roman;Times;Serif" w:hAnsi="Times New Roman;Times;Serif"/>
          <w:b w:val="false"/>
          <w:i w:val="false"/>
          <w:caps w:val="false"/>
          <w:smallCaps w:val="false"/>
          <w:sz w:val="20"/>
        </w:rPr>
        <w:t>. (a) The execution, delivery and performance of this Agreement by the Company and the consummation by the Company of the transactions contemplated thereby (including the issuance of the Shares) will not (i) conflict with or result in a violation of any provision of the Company’s organizational documents, (ii) result in any encumbrance upon any of the Shares, other than restrictions on resale pursuant to securities laws or as set forth in this Agreement, (iii) materially violate or conflict with, or result in a material breach, default, modification, acceleration of payment or termination under of any provision of, or constitute a default under, any Material Contract, or (iv) result in a material violation of any law, rule, regulation, order, judgment or decree (including United States federal and state securities laws and regulations and regulations of any self-regulatory organizations) applicable to the Company as of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Issuance of the Shares</w:t>
      </w:r>
      <w:r>
        <w:rPr>
          <w:rFonts w:ascii="Times New Roman;Times;Serif" w:hAnsi="Times New Roman;Times;Serif"/>
          <w:b w:val="false"/>
          <w:i w:val="false"/>
          <w:caps w:val="false"/>
          <w:smallCaps w:val="false"/>
          <w:sz w:val="20"/>
        </w:rPr>
        <w:t>. When issued, the Shares will be duly and validly issued and, when paid for in accordance with this Agreement, will be fully paid and non-assessable, and, when delivered to the Purchaser at the Closing, shall be free and clear of all encumbrances and restrictions including, but not limited to, Liens, encumbrances or restrictions on transfer, including preemptive rights, rights of first refusal, purchase options, call options, subscription rights or other similar rights of shareholders of the Company, except for restrictions on transfer set forth in this Agreement or imposed by applicable securities laws. Assuming the accuracy of the representations and warranties of the Purchaser in this Agreement, the Shares will be issued in compliance with all applicable federal and state securities laws of California, the state in which the Purchaser is located. No stop order or suspension of trading of the Common Stock has been imposed by the NYSE or the Commission and remains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Company has not issued any capital stock since its most recently filed periodic report under the Exchange Act, other than (i)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or (ii) pursuant to the Company’s “at the market” common stock offering under its Registration Statement on Form S-3 (Registration Statement No. 333-296756) and the prospectus and prospectus supplement filed with the Commission thereunder. No Person has any right of first refusal, preemptive right, right of participation, or any similar right to participate in the transactions contemplated by this Agreement. Except as a result of the purchase and sale of the Shares and set forth on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(other than the Purchaser).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two years preceding the Execution Date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Since the date of the latest audited financial statements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equity incentive plans. Except for the issuance of the Shares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prior to the date that this representation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Other than as set forth in the SEC Reports, there is no action, suit, Proceeding or investigation pending (of which the Company has received written notice or otherwise has knowledge) or, to the Company’s knowledge, threatened, against the Company that has had or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(ii) Liens for the payment of federal, state or other taxes, for which appropriate reserves have been made therefor in accordance with GAAP and, the payment of which is neither delinquent nor subject to penalties, (iii) in each case as could not have or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result in a Material Adverse Effect.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immediately after receipt of payment for the Shares, will not be, an “investment company” within the meaning of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the Foreign Corrupt Practices Act of 1977.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Representations and Warranties of the Purchaser</w:t>
      </w:r>
      <w:r>
        <w:rPr>
          <w:rFonts w:ascii="Times New Roman;Times;Serif" w:hAnsi="Times New Roman;Times;Serif"/>
          <w:b w:val="false"/>
          <w:i w:val="false"/>
          <w:caps w:val="false"/>
          <w:smallCaps w:val="false"/>
          <w:sz w:val="20"/>
        </w:rPr>
        <w:t>. The Purchaser hereby represents and warrants as of the Execution Date and as of the date of the Closing to the Company as follows (unless as of a specific date therein, in which case they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The Purchaser is an entity duly incorporated, validly existing and in good standing under the laws of the jurisdiction of its incorporation or formation with full corporate power and authority to enter into and to consummate the transactions contemplated by this Agreement and otherwise to carry out its obligations hereunder and thereunder. The execution and delivery of this Agreement and performance by the Purchaser of the transactions contemplated by this Agreement have been duly authorized by all necessary corporate action on the part of the Purchaser. This Agreement has been duly executed by the Purchaser, and when delivered by the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Understandings or Arrangements</w:t>
      </w:r>
      <w:r>
        <w:rPr>
          <w:rFonts w:ascii="Times New Roman;Times;Serif" w:hAnsi="Times New Roman;Times;Serif"/>
          <w:b w:val="false"/>
          <w:i w:val="false"/>
          <w:caps w:val="false"/>
          <w:smallCaps w:val="false"/>
          <w:sz w:val="20"/>
        </w:rPr>
        <w:t>. The Purchaser is acquiring the Shares as principal for its own account and has no direct or indirect arrangement or understandings with any other persons to distribute or regarding the distribution of such Shares. The Purchaser is acquiring the Shares hereunder in the ordinary course of its business. The Purchaser was made aware of the offering of Shares by this Agreement solely by means of private communications directly with officers and directors of the Company and not by way of advertising or any other public filing or other communication of the Company or by general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Purchaser Status</w:t>
      </w:r>
      <w:r>
        <w:rPr>
          <w:rFonts w:ascii="Times New Roman;Times;Serif" w:hAnsi="Times New Roman;Times;Serif"/>
          <w:b w:val="false"/>
          <w:i w:val="false"/>
          <w:caps w:val="false"/>
          <w:smallCaps w:val="false"/>
          <w:sz w:val="20"/>
        </w:rPr>
        <w:t>. At the time the Purchaser was offered the Shares, it was, and as of the Execution Date it is, it will be an “accredited investor” as defined in Rule 501(a)(1), (a)(2), (a)(3), (a)(7), (a)(8), (a)(9), (a)(12), or (a)(13)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Experience of the Purchaser</w:t>
      </w:r>
      <w:r>
        <w:rPr>
          <w:rFonts w:ascii="Times New Roman;Times;Serif" w:hAnsi="Times New Roman;Times;Serif"/>
          <w:b w:val="false"/>
          <w:i w:val="false"/>
          <w:caps w:val="false"/>
          <w:smallCaps w:val="false"/>
          <w:sz w:val="20"/>
        </w:rPr>
        <w:t>. The Purchaser has such knowledge, sophistication and experience in business and financial matters so as to be capable of evaluating the merits and risks of the prospective investment in the Shares, and has so evaluated the merits and risks of such investment. The Purchaser is able to bear the economic risk of an investment in the Shares and, at the present time, is able to afford a complete loss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The Purchaser acknowledges that it has had the opportunity to review this Agreement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the Purchaser has not, nor has any Person acting on behalf of or pursuant to any understanding with the Purchaser, directly or indirectly executed any purchases or sales, including Short Sales, of the securities of the Company during the period commencing as of the time that the Purchaser first received (written or oral), from the Company or any other Person representing the Company, the material terms of the transactions contemplated hereunder and ending immediately prior to the execution hereof. Other than to other Persons party to this Agreement or to the Purchaser’s representatives, including, without limitation, its officers, directors, partners, legal and other advisors, employees, agents and Affiliates, the Purchaser has maintained the confidentiality of all disclosures made to it in connection with this transaction (including the existence and terms of this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The Purchaser hereby represents that neither it, nor any other Person acting on its behalf has received or had access to information that constitutes, or the Company reasonably believes constitutes, material non-public information, unless prior thereto the Purchaser shall have consented in writing to the receipt of such information and agreed in writing with the Company to keep such information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Investment Purpose; Investment Experience</w:t>
      </w:r>
      <w:r>
        <w:rPr>
          <w:rFonts w:ascii="Times New Roman;Times;Serif" w:hAnsi="Times New Roman;Times;Serif"/>
          <w:b w:val="false"/>
          <w:i w:val="false"/>
          <w:caps w:val="false"/>
          <w:smallCaps w:val="false"/>
          <w:sz w:val="20"/>
        </w:rPr>
        <w:t>. The Purchaser is purchasing the Shares for its own account and not with a present view toward the public distribution thereof and has no arrangement or understanding with any other Persons regarding the distribution of the Shares. The Purchaser will not, directly or indirectly, offer, sell, pledge, transfer or otherwise dispose of (or solicit any offers to buy, purchase or otherwise acquire or take a pledge of) any of the Shares except in accordance with the Securities Act and to the extent permitted by this Agreement. The Purchaser has conducted its own due diligence on the Company to its satisfaction and has such knowledge and experience in financial or business matters that it is capable of evaluating the merits and risks of the investment in the Shares to be purchased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The Purchaser has not taken any of the actions set forth in, and is not subject to, the disqualification provisions of Rule 506(d)(1) under the Securities Act and did not learn of the investment in the Shares as a result of any public offering, general solicitation or advertising. The Purchaser understands that the Company intends for the Shares to be offered and sold to it in reliance upon specific exemptions from the registration requirements of United States federal and state securities laws and that the Company is relying upon the truth and accuracy of, and the Purchaser’s compliance with, the representations, warranties, agreements, acknowledgments and understandings of the Purchaser set forth herein (including in this Section 3.2(i)) in order to determine the availability of such exemptions and the eligibility of the Purchaser to acquire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Governmental Review</w:t>
      </w:r>
      <w:r>
        <w:rPr>
          <w:rFonts w:ascii="Times New Roman;Times;Serif" w:hAnsi="Times New Roman;Times;Serif"/>
          <w:b w:val="false"/>
          <w:i w:val="false"/>
          <w:caps w:val="false"/>
          <w:smallCaps w:val="false"/>
          <w:sz w:val="20"/>
        </w:rPr>
        <w:t>. The Purchaser understands that no United States federal or state agency or any other Governmental Authority has passed upon or made any recommendation or endorsement of the Shares or an investment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IV.</w:t>
      </w:r>
      <w:r>
        <w:rPr>
          <w:rFonts w:ascii="Times New Roman;Times;Serif" w:hAnsi="Times New Roman;Times;Serif"/>
          <w:b w:val="false"/>
          <w:i w:val="false"/>
          <w:caps w:val="false"/>
          <w:smallCaps w:val="false"/>
          <w:sz w:val="20"/>
        </w:rPr>
        <w:br/>
        <w:t>COVENANTS AND AGREEMENTS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Market Listing</w:t>
      </w:r>
      <w:r>
        <w:rPr>
          <w:rFonts w:ascii="Times New Roman;Times;Serif" w:hAnsi="Times New Roman;Times;Serif"/>
          <w:b w:val="false"/>
          <w:i w:val="false"/>
          <w:caps w:val="false"/>
          <w:smallCaps w:val="false"/>
          <w:sz w:val="20"/>
        </w:rPr>
        <w:t>. From the Execution Date through the Closing, the Company shall use commercially reasonable efforts to (a) maintain the listing and trading of the Common Stock on the NYSE and (b) effect the listing of the Shares on the NYSE.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Reservation of Common Stock</w:t>
      </w:r>
      <w:r>
        <w:rPr>
          <w:rFonts w:ascii="Times New Roman;Times;Serif" w:hAnsi="Times New Roman;Times;Serif"/>
          <w:b w:val="false"/>
          <w:i w:val="false"/>
          <w:caps w:val="false"/>
          <w:smallCaps w:val="false"/>
          <w:sz w:val="20"/>
        </w:rPr>
        <w:t>. As of the Execution Date, the Company has reserved and the Company shall continue to reserve and keep available at all times, free of preemptive rights, a sufficient number of shares of Common Stock for the purpose of enabling the Company to issue Shares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Transfer or Resale</w:t>
      </w:r>
      <w:r>
        <w:rPr>
          <w:rFonts w:ascii="Times New Roman;Times;Serif" w:hAnsi="Times New Roman;Times;Serif"/>
          <w:b w:val="false"/>
          <w:i w:val="false"/>
          <w:caps w:val="false"/>
          <w:smallCaps w:val="false"/>
          <w:sz w:val="20"/>
        </w:rPr>
        <w:t>. The Purchaser understands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Shares have not been registered under the Securities Act or any applicable state securities laws and, consequently, the Purchaser may have to bear the risk of owning the Shares for an indefinite period of time because the Shares may not be transferred unless (i) the resale of the Shares is registered pursuant to an effective registration statement under the Securities Act; (ii) the Purchaser has delivered to the Company an opinion of counsel (in form, substance and scope customary for opinions of counsel in comparable transactions) to the effect that the Shares to be sold or transferred may be sold or transferred pursuant to an exemption from such registration; or (iii) the Shares are sold or transferred pursuant to Rule 144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Purchaser provides the Company with reasonable assurances (including in the form of seller and broker representation letters) that the Shares may be sold pursuant to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sale of the Shares made in reliance on Rule 144 may be made only in accordance with the terms of Rule 144 and, if Rule 144 is not applicable, any resale of the Shares under circumstances in which the seller (or the Person through whom the sale is made) may be deemed to be an underwriter (as that term is defined in the Securities Act) may require compliance with some other exemption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as long as the Purchaser or any of its Affiliates beneficially owns any Shares, to the extent it shall be required to do so under the Exchange Act, the Company shall use reasonable best efforts to timely file the reports required to be filed by it under the Exchange Act or the Securities Act (including reports under Sections 13 and 15(d) of the Exchange Act referred to in subparagraph (c)(1) of Rule 144), and shall use reasonable efforts to take such further necessary action as the Purchaser may reasonably request in connection with the removal of any restrictive legend on the Shares being sold, all to the extent required from time to time to enable the Purchaser to sell the Shares without registration under the Securities Act within the limitations of the exemption provided by Rule 144, subject in all cases to compliance with the Securities Act and other applicable laws and upon receipt of customary seller and broker representation letters as the Company and its counsel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Purchaser understands that the Shares will bear restrictive legends in substantially the following form (and a stop-transfer order may be placed against transfer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HAVE NOT BEEN REGISTERED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MAY NOT BE SOLD, OFFERED FOR SALE, PLEDGED OR HYPOTHECATED IN THE ABSENCE OF A REGISTRATION STATEMENT IN EFFECT WITH RESPECT TO THE SECURITIES UNDER THE SECURITIES ACT OR AN OPINION OF COUNSEL (WHICH COUNSEL SHALL BE REASONABLY SATISFACTORY TO MAGNACHIP SEMICONDUCTOR CORPORATION) THAT SUCH REGISTRATION IS NOT REQUIRED OR UNLESS SOLD PURSUANT TO RULE 144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such Shares are transferred pursuant to Section 4.3 of this Agreement, or are to be sold pursuant to an effective registration statement covering the resale of such Shares (including pursuant to Section 4.6), the Purchaser may request that the Company remove, and if so requested, the Company shall agree to authorize and instruct (including by causing any required legal opinion to be provided) the removal of any legend from the Shares upon a sale or other Disposition, if permitted by applicable securities law, within three (3) Business Days of any such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each Party will be responsible for any fees it incurs in connection with such request and removal;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such legends may only be removed in connection with a sale pursuant to Rule 144 or (y) a sale pursuant to an effective registration statement covering the resale of such Shares, subject to customary Purchaser and/or broker representations that the Shares have been sold pursuant to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Securities Law Disclosure; Publicity</w:t>
      </w:r>
      <w:r>
        <w:rPr>
          <w:rFonts w:ascii="Times New Roman;Times;Serif" w:hAnsi="Times New Roman;Times;Serif"/>
          <w:b w:val="false"/>
          <w:i w:val="false"/>
          <w:caps w:val="false"/>
          <w:smallCaps w:val="false"/>
          <w:sz w:val="20"/>
        </w:rPr>
        <w:t>. No public release, public disclosure or announcement concerning the transactions contemplated hereby shall be made by either Party without the consent of the other Party (which consent shall not be unreasonably withheld, conditioned or delayed); provided, however, that no such consent shall be required for any disclosure that is required by applicable law or regulation, or by the rules or requirements of the Commission or the NYSE.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prepare and file with the SEC, within thirty (30) days following the Closing Date, a registration statement on Form S-3 (or if Form S-3 is not available for purposes of registering the resale of the Shares, then on another appropriate form) covering the resale of the Shares by the Purchaser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Company shall use commercially reasonable efforts to cause the Registration Statement to become effective within sixty (60) days following the Closing Date, provided, however, that if the Registration Statement is reviewed by the SEC, such period shall be extended to ninety (90) days following the Closing Date; provided, however, that in the event the Company is notified by the SEC that the Registration Statement will not be reviewed or is no longer subject to further review and comments, the Company shall request effectiveness of the Registration Statement no later than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following the date on which the Company is so notified. The Company’s obligations to include the Shares in the Registration Statement are contingent on the Purchaser furnishing in writing to the Company such information regarding the Purchaser, the securities of the Company held by the Purchaser, the intended method of disposition of the Shares (which shall be limited to non-underwritten public offerings) and such other information as shall be reasonably requested by the Company to effect the registration of the Shares, and the Purchaser shall execute such documents in connection with such registration as the Company may reasonably request that are customary of a selling stockholder in similar situations. The Company shall use commercially reasonable efforts to keep the Registration Statement effective until the earlier of (i) the date on which all of the Shares have been sold pursuant to the Registration Statement and (ii) the date on which all of the Shares may be sold by the Purchaser without restriction pursuant to Rule 144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may postpone the filing or effectiveness of the Registration Statement or suspend the use of a prospectus that is part of the Registration Statement for up to 45 consecutive days from the date of the Suspension Notice (as defined below), and no more than 90 days total in any twelve month period, and therefore suspend sales of the Shares thereunder (such period, the “</w:t>
      </w:r>
      <w:r>
        <w:rPr>
          <w:rFonts w:ascii="Times New Roman;Times;Serif" w:hAnsi="Times New Roman;Times;Serif"/>
          <w:b w:val="false"/>
          <w:i w:val="false"/>
          <w:caps w:val="false"/>
          <w:smallCaps w:val="false"/>
          <w:sz w:val="20"/>
          <w:u w:val="single"/>
        </w:rPr>
        <w:t>Suspension Period</w:t>
      </w:r>
      <w:r>
        <w:rPr>
          <w:rFonts w:ascii="Times New Roman;Times;Serif" w:hAnsi="Times New Roman;Times;Serif"/>
          <w:b w:val="false"/>
          <w:i w:val="false"/>
          <w:caps w:val="false"/>
          <w:smallCaps w:val="false"/>
          <w:sz w:val="20"/>
        </w:rPr>
        <w:t>”) by providing written notice to the Purchaser if (A) the Company’s Chief Executive Officer determines in his reasonable good faith judgment that the offer or sale of Shares would reasonably be expected to have a material adverse effect on any proposal or plan by the Company or any subsidiary to engage in any material acquisition of assets or stock or any material merger, consolidation, tender offer, recapitalization, reorganization, investment, joint venture or other transaction involving the Company or any of its subsidiaries, (B) the sale of Shares pursuant to the Registration Statement would require disclosure of material non-public information not otherwise required to be disclosed under applicable law, and (C) either (x) the Company has a bona fide business purpose for preserving the confidentiality of such transaction or (y) disclosure of such material non-public information would have a material adverse effect on the Company or the Company’s ability to consummate such transaction. In the case of an event that causes the Company to suspend the use of the Registration Statement as set forth in this paragraph (b) (a “</w:t>
      </w:r>
      <w:r>
        <w:rPr>
          <w:rFonts w:ascii="Times New Roman;Times;Serif" w:hAnsi="Times New Roman;Times;Serif"/>
          <w:b w:val="false"/>
          <w:i w:val="false"/>
          <w:caps w:val="false"/>
          <w:smallCaps w:val="false"/>
          <w:sz w:val="20"/>
          <w:u w:val="single"/>
        </w:rPr>
        <w:t>Suspension Event</w:t>
      </w:r>
      <w:r>
        <w:rPr>
          <w:rFonts w:ascii="Times New Roman;Times;Serif" w:hAnsi="Times New Roman;Times;Serif"/>
          <w:b w:val="false"/>
          <w:i w:val="false"/>
          <w:caps w:val="false"/>
          <w:smallCaps w:val="false"/>
          <w:sz w:val="20"/>
        </w:rPr>
        <w:t>”), the Company shall give notice to the Purchaser (a “</w:t>
      </w:r>
      <w:r>
        <w:rPr>
          <w:rFonts w:ascii="Times New Roman;Times;Serif" w:hAnsi="Times New Roman;Times;Serif"/>
          <w:b w:val="false"/>
          <w:i w:val="false"/>
          <w:caps w:val="false"/>
          <w:smallCaps w:val="false"/>
          <w:sz w:val="20"/>
          <w:u w:val="single"/>
        </w:rPr>
        <w:t>Suspension Notice</w:t>
      </w:r>
      <w:r>
        <w:rPr>
          <w:rFonts w:ascii="Times New Roman;Times;Serif" w:hAnsi="Times New Roman;Times;Serif"/>
          <w:b w:val="false"/>
          <w:i w:val="false"/>
          <w:caps w:val="false"/>
          <w:smallCaps w:val="false"/>
          <w:sz w:val="20"/>
        </w:rPr>
        <w:t>”) to suspend sales of the Shares and such notice shall state generally the basis for the notice and that such suspension shall continue only for so long as the Suspension Event or its effect is continuing. If the basis of such suspension is nondisclosure of material non-public information, the Company shall not be required to disclose the subject matter of such material non-public information to the Purchaser. The Purchaser shall not effect any sales of the Shares pursuant to such Registration Statement at any time after the Purchaser has received a Suspension Notice from the Company and prior to receipt of an End of Suspension Notice (as defined below). The Purchaser agrees to treat as confidential the receipt of the Suspension Notice and shall not disclose or use the information contained in such Suspension Notice without the prior written consent of the Company or until such time as the information contained therein is or becomes available to the public generally, other than as a result of disclosure by the Purchaser in breach of the terms of this Agreement. The Purchaser may recommence effecting sales of the Shares pursuant to the Registration Statement following further written notice to such effect (an “</w:t>
      </w:r>
      <w:r>
        <w:rPr>
          <w:rFonts w:ascii="Times New Roman;Times;Serif" w:hAnsi="Times New Roman;Times;Serif"/>
          <w:b w:val="false"/>
          <w:i w:val="false"/>
          <w:caps w:val="false"/>
          <w:smallCaps w:val="false"/>
          <w:sz w:val="20"/>
          <w:u w:val="single"/>
        </w:rPr>
        <w:t>End of Suspension Notice</w:t>
      </w:r>
      <w:r>
        <w:rPr>
          <w:rFonts w:ascii="Times New Roman;Times;Serif" w:hAnsi="Times New Roman;Times;Serif"/>
          <w:b w:val="false"/>
          <w:i w:val="false"/>
          <w:caps w:val="false"/>
          <w:smallCaps w:val="false"/>
          <w:sz w:val="20"/>
        </w:rPr>
        <w:t>”) from the Company, which End of Suspension Notice shall be given by the Company to the Purchaser promptly following the conclusion of any Suspension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(i) the Registration Statement is not filed within thirty (30) days following the Closing Date or the Company subsequently withdraws the filing of the Registration Statement and does not re-file a Registration Statement within thirty (30) days following the Closing Date, (ii) the Company fails to file with the SEC a request for acceleration of the Registration Statement in accordance with Rule 461 promulgated by the SEC pursuant to the Securities Act, within five (5) Business Days of the date that the Company is notified (orally or in writing, whichever is earlier) by the SEC that such Registration Statement will not be “reviewed” or will not be subject to further review, (iii) prior to the effective date of the Registration Statement, the Company fails to file a pre-effective amendment and otherwise respond in writing to comments made by the SEC in respect of the Registration Statement within ten (10) calendar days after the receipt of comments by or notice from the SEC that such amendment is required in order for the Registration Statement to be declared effective, (iv) the Registration Statement is not declared effective by the SEC within 120 calendar days after the Closing Date, or (v) after the effective date of the Registration Statement, the Registration Statement ceases for any reason to remain continuously effective as to the Shares included in such Registration Statement, or the Purchaser is otherwise not permitted to utilize the prospectus therein to resell the Shares, for more than forty-five (45) consecutive calendar days or more than an aggregate of ninety (90) calendar days (which need not be consecutive calendar days) during any 12-month period (any such failure or breach being referred to as an “</w:t>
      </w:r>
      <w:r>
        <w:rPr>
          <w:rFonts w:ascii="Times New Roman;Times;Serif" w:hAnsi="Times New Roman;Times;Serif"/>
          <w:b w:val="false"/>
          <w:i w:val="false"/>
          <w:caps w:val="false"/>
          <w:smallCaps w:val="false"/>
          <w:sz w:val="20"/>
          <w:u w:val="single"/>
        </w:rPr>
        <w:t>Event</w:t>
      </w:r>
      <w:r>
        <w:rPr>
          <w:rFonts w:ascii="Times New Roman;Times;Serif" w:hAnsi="Times New Roman;Times;Serif"/>
          <w:b w:val="false"/>
          <w:i w:val="false"/>
          <w:caps w:val="false"/>
          <w:smallCaps w:val="false"/>
          <w:sz w:val="20"/>
        </w:rPr>
        <w:t>”, and for purposes of clause (i) the date on which such Event occurs, and for purpose of clause (ii) the date on which such five (5) Business Day period is exceeded, and for purpose of clause (iii) the date which such ten (10) calendar day period is exceeded, and for purpose of clause (iv) the date on which such 120 calendar day period is exceeded, and for purpose of clause (v) fifteen (15) calendar days after the date on which such forty-five (45) or ninety (90) calendar day period, as applicable, is exceeded being referred to as “</w:t>
      </w:r>
      <w:r>
        <w:rPr>
          <w:rFonts w:ascii="Times New Roman;Times;Serif" w:hAnsi="Times New Roman;Times;Serif"/>
          <w:b w:val="false"/>
          <w:i w:val="false"/>
          <w:caps w:val="false"/>
          <w:smallCaps w:val="false"/>
          <w:sz w:val="20"/>
          <w:u w:val="single"/>
        </w:rPr>
        <w:t>Event Date</w:t>
      </w:r>
      <w:r>
        <w:rPr>
          <w:rFonts w:ascii="Times New Roman;Times;Serif" w:hAnsi="Times New Roman;Times;Serif"/>
          <w:b w:val="false"/>
          <w:i w:val="false"/>
          <w:caps w:val="false"/>
          <w:smallCaps w:val="false"/>
          <w:sz w:val="20"/>
        </w:rPr>
        <w:t>”), then, in addition to any other rights the Purchaser may have hereunder or under applicable law, on each such Event Date and on each monthly anniversary of each such Event Date (if the applicable Event shall not have been cured by such date) until the applicable Event is cured, the Company shall pay to the Purchaser an amount in cash, as partial liquidated damages and not as a penalty, equal to the product of 1.0% multiplied by the aggregate Purchase Amount paid by the Purchaser pursuant to this Agreement. The Parties agree that the maximum aggregate liquidated damages payable to the Purchaser under this Agreement shall be 10% of the aggregate Purchase Amount paid by the Purchaser pursuant to this Agreement. If the Company fails to pay any partial liquidated damages pursuant to this Section in full within seven days after the date payable, the Company will pay interest thereon at a rate of 10% per annum (or such lesser maximum amount that is permitted to be paid by applicable law) to the Purchaser,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 Notwithstanding anything herein to the contrary, the Company will not be liable for any liquidated damages (A) set forth in this Section 4.6(c) unless the applicable Event was the result of acts or omissions of the Company within its reasonable control or (B) set forth in Section 4.6(c)(v) during such time as the Company is actively negotiating a material transaction in good faith unless the applicable Event related thereto was the result of negligence or willful misconduct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V.</w:t>
      </w:r>
      <w:r>
        <w:rPr>
          <w:rFonts w:ascii="Times New Roman;Times;Serif" w:hAnsi="Times New Roman;Times;Serif"/>
          <w:b w:val="false"/>
          <w:i w:val="false"/>
          <w:caps w:val="false"/>
          <w:smallCaps w:val="false"/>
          <w:sz w:val="20"/>
        </w:rPr>
        <w:br/>
        <w:t>CONDITIONS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Mutual Conditions to Closing</w:t>
      </w:r>
      <w:r>
        <w:rPr>
          <w:rFonts w:ascii="Times New Roman;Times;Serif" w:hAnsi="Times New Roman;Times;Serif"/>
          <w:b w:val="false"/>
          <w:i w:val="false"/>
          <w:caps w:val="false"/>
          <w:smallCaps w:val="false"/>
          <w:sz w:val="20"/>
        </w:rPr>
        <w:t>. The obligations of the Parties to consummate the Closing are subject to the satisfaction or waiver of the following conditions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No Proceeding challenging this Agreement or the transactions contemplated hereby, or seeking to prohibit, alter, prevent or materially delay the Closing, will have been instituted or be pending before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Governmental Prohibition</w:t>
      </w:r>
      <w:r>
        <w:rPr>
          <w:rFonts w:ascii="Times New Roman;Times;Serif" w:hAnsi="Times New Roman;Times;Serif"/>
          <w:b w:val="false"/>
          <w:i w:val="false"/>
          <w:caps w:val="false"/>
          <w:smallCaps w:val="false"/>
          <w:sz w:val="20"/>
        </w:rPr>
        <w:t>. The sale of the Shares by the Company and the purchase of the Shares by the Purchaser will not be prohibited by any applicable law or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Conditions to Obligations of the Company to Close</w:t>
      </w:r>
      <w:r>
        <w:rPr>
          <w:rFonts w:ascii="Times New Roman;Times;Serif" w:hAnsi="Times New Roman;Times;Serif"/>
          <w:b w:val="false"/>
          <w:i w:val="false"/>
          <w:caps w:val="false"/>
          <w:smallCaps w:val="false"/>
          <w:sz w:val="20"/>
        </w:rPr>
        <w:t>. The Company’s obligation to complete the purchase and sale of the Shares and deliver the Shares to the Purchaser at the Closing is subject to the satisfaction or waiver of the following conditions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Receipt of Funds</w:t>
      </w:r>
      <w:r>
        <w:rPr>
          <w:rFonts w:ascii="Times New Roman;Times;Serif" w:hAnsi="Times New Roman;Times;Serif"/>
          <w:b w:val="false"/>
          <w:i w:val="false"/>
          <w:caps w:val="false"/>
          <w:smallCaps w:val="false"/>
          <w:sz w:val="20"/>
        </w:rPr>
        <w:t>. The Company will have received immediately available funds in the full amount of the Purchase Amount for the Shares purchased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The representations and warranties made by the Purchaser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will be true and correct as of the Closing Date, except to the extent such representations and warranties are specifically made as of a particular date, in which case such representations and warranties will be true and correct as of such other date, except in each case where the failure of such representations and warranties to be so true and correct (without giving effect to any limitation as to “materiality” set forth therein) would not reasonably be expected to have a material adverse effect on the Purchaser’s </w:t>
      </w:r>
      <w:r>
        <w:rPr>
          <w:rFonts w:ascii="Times New Roman;Times;Serif" w:hAnsi="Times New Roman;Times;Serif"/>
          <w:b w:val="false"/>
          <w:i w:val="false"/>
          <w:caps w:val="false"/>
          <w:smallCaps w:val="false"/>
          <w:sz w:val="20"/>
          <w:shd w:fill="FFFFFF" w:val="clear"/>
        </w:rPr>
        <w:t>ability to perform its obligations hereunder or consummate the transactions contemplated hereby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 All covenants and agreements contained in this Agreement to be performed or complied with by the Purchaser on or prior to the Closing Date shall have been performed or complied with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Conditions to the Purchaser’s Obligations to Close</w:t>
      </w:r>
      <w:r>
        <w:rPr>
          <w:rFonts w:ascii="Times New Roman;Times;Serif" w:hAnsi="Times New Roman;Times;Serif"/>
          <w:b w:val="false"/>
          <w:i w:val="false"/>
          <w:caps w:val="false"/>
          <w:smallCaps w:val="false"/>
          <w:sz w:val="20"/>
        </w:rPr>
        <w:t>. The Purchaser’s obligation to complete the purchase and sale of the Shares at the Closing is subject to the satisfaction or waiver of the following conditions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The representations and warranties made by the Company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of this Agreement will be true and correct as of the Closing Date, except to the extent such representations and warranties are specifically made as of a particular date, in which case such representations and warranties will be true and correct as of such other date, except in each case where the failure of such representations and warranties to be so true and correct (without giving effect to any limitation as to “materiality” set forth therein) would not reasonably be expected to have a Material Adverse Effect on the Company’s ability to perform its obligations hereunder or consummate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 All covenants and agreements contained in this Agreement to be performed or complied with by the Company on or prior to the Closing Date shall have been performed or complied with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NYSE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Prior to the Closing, the Company shall have taken all actions that are reasonably necessary, including providing appropriate notice to the NYSE of the transactions contemplated by this Agreement, for the Shares purchased at the Closing to be listed on the NYSE and shall have complied with all listing, reporting, filing and other obligations under the rules of the NYSE and of the Commission with respect to the matters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Common Stock shall not have been suspended, as of the Closing Date, by the Commission or the NYSE from trading on the NYSE nor shall any such suspension by the Commission or the NYSE have been threatened, as the Closing Date, in writing by the Commission or the NYSE.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Since the Execution Date, there shall not have been any change, development, occurrence or event that has had or would reasonably be expected to have a Material Adverse Effect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VI.</w:t>
      </w:r>
      <w:r>
        <w:rPr>
          <w:rFonts w:ascii="Times New Roman;Times;Serif" w:hAnsi="Times New Roman;Times;Serif"/>
          <w:b w:val="false"/>
          <w:i w:val="false"/>
          <w:caps w:val="false"/>
          <w:smallCaps w:val="false"/>
          <w:sz w:val="20"/>
        </w:rP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prior to the Closing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mutual written consent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upon written notice to the Purchaser, so long as the Company is not then in breach of its representations, warranties, covenants or agreements under this Agreement in a manner that would cause any of the conditions set forth in Section 5.3(a) or (b), as applicable, to fail to be satisfied by the Closing Date, (i) upon a breach of any covenant or agreement on the part of the Purchaser set forth in this Agreement or (ii) if any representation or warranty of the Purchaser shall have been or become untrue, in each case such that any of the conditions set forth in Section 5.2(b) or (c), as applicable, could not be satisfied by the Closing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Purchaser, upon written notice to the Company, so long as the Purchaser is not then in breach of its representations, warranties, covenants or agreements under this Agreement in a manner that would cause any of the conditions set forth in Section 5.2(b) or (c), as applicable, to fail to be satisfied by the Closing Date, (i) upon a breach of any covenant or agreement on the part of the Company set forth in this Agreement or (ii) if any representation or warranty of the Company shall have been or become untrue, in each case such that any of the conditions set forth in Section 5.3(a) or (b), as applicable, could not be satisfied by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this Agreement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stamp taxes and other duties levied in connection with the delivery of any Shares to the Purchaser,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required or permitted to be given by this Agreement must be in writing, in English. Any and all notices or other communications or deliveries required or permitted to be provided hereunder must be in writing and will be deemed given and effective if (a) delivered by hand or by overnight courier with tracking capabilities; (b) mailed postage prepaid by first class, registered or certified mail; or (c) delivered by electronic mail, in each case, addressed as set forth on the signature pages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by the Company and the Purchaser.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the Purchaser (other than by merger). The Purchaser may assign any or all of its rights under this Agreement to any Permitted Transferee to whom the Purchaser assigns or transfers any Shares in accordance with the terms of this Agreement, provided that such transferee agrees in writing to be bound, with respect to the transferred Shares, by the provisions of this Agreement that apply to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intended for the benefit of the parties hereto and their respective successors and permitted assigns and is not for the benefit of, nor may any provision hereof be enforced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Agreement shall be governed by and construed and enforced in accordance with the internal laws of the State of Delaware, without regard to the principles of conflicts of law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Shares at the Closing until the first anniversary following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 and the Company will be entitled to specific performance under this Agreement. The parties agree that monetary damages may not be adequate compensation for any loss incurred by reason of any breach of obligations contained in this Agreement and hereby agree to waive and not to assert in any action for specific performance of any such obligation the defense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this Agreement and, therefore, the normal rule of construction to the effect that any ambiguities are to be resolved against the drafting party shall not be employed in the interpretation of this Agreement or any amendments thereto. In addition, each and every reference to share prices and shares of Common Stock in this Agreement shall be subject to adjustment for reverse and forward stock splits, stock dividends, stock combinations and other similar transactions of the Common Stock that occur after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Subject to the provisions of this Section 6.15, the Company will indemnify and hold the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harmless from any and all losses, liabilities, obligations, claims, contingencies, damages, costs and expenses, including all judgments, amounts paid in settlements, court costs and reasonable attorneys’ fees and costs of investigation (collectively,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xml:space="preserve">”) that any such Purchaser Party may suffer or incur as a result of or caused by: (a) any action instituted against the Purchaser Parties in any capacity, or any of them or their respective Affiliates, by any stockholder of the Company who is not an Affiliate of such Purchaser Party, with respect to any of the transactions contemplated by this Agreement (unless such action is solely based upon a material breach of such Purchaser Party’s representations, warranties or covenants under this Agreement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(b) (i) any untrue or alleged untrue statement of a material fact contained in such registration statement, any prospectus included therein or in any amendment or supplement thereto, or , (ii)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 or omission or alleged untrue statement or omission is based solely upon information regarding such Purchaser Party furnished in writing to the Company by such Purchaser Party expressly for use therein, or (iii) any violation or alleged violation by the Company of the Securities Act, the Exchange Act or any state securities law, or any rule or regulation thereunder in connection therewith relating to </w:t>
      </w:r>
      <w:r>
        <w:rPr>
          <w:rFonts w:ascii="Times New Roman;Times;Serif" w:hAnsi="Times New Roman;Times;Serif"/>
          <w:b w:val="false"/>
          <w:i w:val="false"/>
          <w:caps w:val="false"/>
          <w:smallCaps w:val="false"/>
          <w:sz w:val="20"/>
          <w:u w:val="single"/>
        </w:rPr>
        <w:t>the resale of the Shares by the Purchaser</w:t>
      </w:r>
      <w:r>
        <w:rPr>
          <w:rFonts w:ascii="Times New Roman;Times;Serif" w:hAnsi="Times New Roman;Times;Serif"/>
          <w:b w:val="false"/>
          <w:i w:val="false"/>
          <w:caps w:val="false"/>
          <w:smallCaps w:val="false"/>
          <w:sz w:val="20"/>
        </w:rPr>
        <w: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(whose approval shall not be unreasonably withheld, delayed or conditioned).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or any entry of judgment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The indemnification required by this Section 6.15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 Notwithstanding anything to the contrary herein, for purposes of the indemnification obligations of the Company set forth in Section 6.15(a) or Section 6.15(b)(iii), the Company shall not be required to indemnify the Purchaser Parties or make any periodic payments with respect to any Losses arising pursuant to Section 6.15(a) or Section 6.15(b)(iii) except to the extent that such Losses are finally judicially determined to be the result of the Company’s negligence, willful misconduct, or other acts or omissions within its reasonable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Share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4614" w:type="dxa"/>
        <w:jc w:val="left"/>
        <w:tblInd w:w="0" w:type="dxa"/>
        <w:tblLayout w:type="fixed"/>
        <w:tblCellMar>
          <w:top w:w="0" w:type="dxa"/>
          <w:left w:w="0" w:type="dxa"/>
          <w:bottom w:w="0" w:type="dxa"/>
          <w:right w:w="0" w:type="dxa"/>
        </w:tblCellMar>
      </w:tblPr>
      <w:tblGrid>
        <w:gridCol w:w="80"/>
        <w:gridCol w:w="679"/>
        <w:gridCol w:w="3855"/>
      </w:tblGrid>
      <w:tr>
        <w:trPr/>
        <w:tc>
          <w:tcPr>
            <w:tcW w:w="8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8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MAGNACHIP SEMICONDUCTOR CORPORATION</w:t>
            </w:r>
          </w:p>
        </w:tc>
      </w:tr>
      <w:tr>
        <w:trPr/>
        <w:tc>
          <w:tcPr>
            <w:tcW w:w="8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Chae Lee</w:t>
            </w:r>
          </w:p>
        </w:tc>
      </w:tr>
      <w:tr>
        <w:trPr/>
        <w:tc>
          <w:tcPr>
            <w:tcW w:w="80"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Chae Lee</w:t>
            </w:r>
          </w:p>
        </w:tc>
      </w:tr>
      <w:tr>
        <w:trPr/>
        <w:tc>
          <w:tcPr>
            <w:tcW w:w="80"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8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w:t>
            </w:r>
          </w:p>
        </w:tc>
      </w:tr>
      <w:tr>
        <w:trPr/>
        <w:tc>
          <w:tcPr>
            <w:tcW w:w="8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NAVITAS SEMICONDUCTOR CORPORATION</w:t>
            </w:r>
          </w:p>
        </w:tc>
      </w:tr>
      <w:tr>
        <w:trPr/>
        <w:tc>
          <w:tcPr>
            <w:tcW w:w="8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 Allexandre</w:t>
            </w:r>
          </w:p>
        </w:tc>
      </w:tr>
      <w:tr>
        <w:trPr/>
        <w:tc>
          <w:tcPr>
            <w:tcW w:w="80"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Allexandre</w:t>
            </w:r>
          </w:p>
        </w:tc>
      </w:tr>
      <w:tr>
        <w:trPr/>
        <w:tc>
          <w:tcPr>
            <w:tcW w:w="80"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Purchasers</w:t>
      </w:r>
    </w:p>
    <w:p>
      <w:pPr>
        <w:pStyle w:val="TextBody"/>
        <w:bidi w:val="0"/>
        <w:spacing w:before="0" w:after="0"/>
        <w:ind w:left="0" w:right="0" w:hanging="0"/>
        <w:jc w:val="left"/>
        <w:rPr>
          <w:caps w:val="false"/>
          <w:smallCaps w:val="false"/>
        </w:rPr>
      </w:pPr>
      <w:r>
        <w:rPr>
          <w:caps w:val="false"/>
          <w:smallCaps w:val="false"/>
        </w:rPr>
        <w:t> </w:t>
      </w:r>
    </w:p>
    <w:tbl>
      <w:tblPr>
        <w:tblW w:w="5664" w:type="dxa"/>
        <w:jc w:val="left"/>
        <w:tblInd w:w="0" w:type="dxa"/>
        <w:tblLayout w:type="fixed"/>
        <w:tblCellMar>
          <w:top w:w="0" w:type="dxa"/>
          <w:left w:w="0" w:type="dxa"/>
          <w:bottom w:w="28" w:type="dxa"/>
          <w:right w:w="0" w:type="dxa"/>
        </w:tblCellMar>
      </w:tblPr>
      <w:tblGrid>
        <w:gridCol w:w="2960"/>
        <w:gridCol w:w="65"/>
        <w:gridCol w:w="195"/>
        <w:gridCol w:w="1324"/>
        <w:gridCol w:w="65"/>
        <w:gridCol w:w="65"/>
        <w:gridCol w:w="65"/>
        <w:gridCol w:w="845"/>
        <w:gridCol w:w="80"/>
      </w:tblGrid>
      <w:tr>
        <w:trPr/>
        <w:tc>
          <w:tcPr>
            <w:tcW w:w="29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Amount</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Semiconductor Corporation</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1,461,988</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11966</Words>
  <Characters>63156</Characters>
  <CharactersWithSpaces>76013</CharactersWithSpaces>
  <Paragraphs>488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